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rFonts w:ascii="Times New Roman;serif" w:hAnsi="Times New Roman;serif"/>
          <w:b w:val="false"/>
          <w:color w:val="000000"/>
          <w:sz w:val="20"/>
        </w:rPr>
        <w:t>______</w:t>
      </w:r>
      <w:r>
        <w:rPr>
          <w:color w:val="000000"/>
        </w:rPr>
        <w:t xml:space="preserve"> </w:t>
      </w:r>
      <w:r>
        <w:rPr>
          <w:rFonts w:ascii="Times New Roman;serif" w:hAnsi="Times New Roman;serif"/>
          <w:b/>
          <w:color w:val="000000"/>
          <w:sz w:val="20"/>
        </w:rPr>
        <w:t xml:space="preserve">to </w:t>
      </w:r>
      <w:r>
        <w:rPr>
          <w:rFonts w:ascii="Times New Roman;serif" w:hAnsi="Times New Roman;serif"/>
          <w:b w:val="false"/>
          <w:color w:val="000000"/>
          <w:sz w:val="20"/>
        </w:rPr>
        <w:t>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001-41703</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CALIBERCOS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1427"/>
        <w:gridCol w:w="1427"/>
        <w:gridCol w:w="1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(480) 295-7600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9554" w:type="dxa"/>
        <w:jc w:val="left"/>
        <w:tblInd w:w="0" w:type="dxa"/>
        <w:tblLayout w:type="fixed"/>
        <w:tblCellMar>
          <w:top w:w="28" w:type="dxa"/>
          <w:left w:w="28" w:type="dxa"/>
          <w:bottom w:w="28" w:type="dxa"/>
          <w:right w:w="28" w:type="dxa"/>
        </w:tblCellMar>
      </w:tblPr>
      <w:tblGrid>
        <w:gridCol w:w="1532"/>
        <w:gridCol w:w="1341"/>
        <w:gridCol w:w="1357"/>
        <w:gridCol w:w="539"/>
        <w:gridCol w:w="539"/>
        <w:gridCol w:w="541"/>
        <w:gridCol w:w="1085"/>
        <w:gridCol w:w="1085"/>
        <w:gridCol w:w="1535"/>
      </w:tblGrid>
      <w:tr>
        <w:trPr/>
        <w:tc>
          <w:tcPr>
            <w:tcW w:w="15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Class A common stock, $0.001 par value per share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2,415,038 shares of common stock, comprised of 2,044,216 shares of Class A Common Stock and 370,822 shares of Class B Common Stock of CaliberCos Inc. as of August 12,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estimates of our expenses, future revenues, capital requirements and our needs for additional financing;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estimates of the size of our market opportunities;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successfully enter new markets, manage our growth expansion and comply with any applicable laws and regulations;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effects of increased competition from our market competitors;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attraction and retention of qualified employees and key personnel;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effectiveness of our internal controls;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in laws and government regulation affecting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impact of adverse economic conditions;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sufficiency of our cash and cash equivalents to meet our liquidity needs and service our indebtedness;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outcomes of legal or administrative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14"/>
        <w:gridCol w:w="2972"/>
        <w:gridCol w:w="2979"/>
        <w:gridCol w:w="109"/>
        <w:gridCol w:w="109"/>
        <w:gridCol w:w="109"/>
        <w:gridCol w:w="149"/>
        <w:gridCol w:w="149"/>
        <w:gridCol w:w="215"/>
      </w:tblGrid>
      <w:tr>
        <w:trPr/>
        <w:tc>
          <w:tcPr>
            <w:tcW w:w="3414"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229">
              <w:r>
                <w:rPr>
                  <w:rStyle w:val="InternetLink"/>
                  <w:rFonts w:ascii="Times New Roman;serif" w:hAnsi="Times New Roman;serif"/>
                  <w:b/>
                  <w:color w:val="0000FF"/>
                  <w:sz w:val="20"/>
                  <w:u w:val="single"/>
                </w:rPr>
                <w:t>Part I - Financial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pPr>
            <w:hyperlink w:anchor="i30c33e4da70a40fbb50e8a33b49fc578_229">
              <w:r>
                <w:rPr>
                  <w:rStyle w:val="InternetLink"/>
                  <w:rFonts w:ascii="Times New Roman;serif" w:hAnsi="Times New Roman;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232">
              <w:r>
                <w:rPr>
                  <w:rStyle w:val="InternetLink"/>
                  <w:rFonts w:ascii="Times New Roman;serif" w:hAnsi="Times New Roman;serif"/>
                  <w:b w:val="false"/>
                  <w:color w:val="0000FF"/>
                  <w:sz w:val="20"/>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232">
              <w:r>
                <w:rPr>
                  <w:rStyle w:val="InternetLink"/>
                  <w:rFonts w:ascii="Times New Roman;serif" w:hAnsi="Times New Roman;serif"/>
                  <w:b w:val="false"/>
                  <w:color w:val="0000FF"/>
                  <w:sz w:val="20"/>
                  <w:u w:val="single"/>
                </w:rPr>
                <w:t>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235">
              <w:r>
                <w:rPr>
                  <w:rStyle w:val="InternetLink"/>
                  <w:rFonts w:ascii="Times New Roman;serif" w:hAnsi="Times New Roman;serif"/>
                  <w:b w:val="false"/>
                  <w:color w:val="0000FF"/>
                  <w:sz w:val="20"/>
                  <w:u w:val="single"/>
                </w:rPr>
                <w:t>Condensed Consolidated Balance Sheets as of June 30, 2025 and December 31, 2024</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235">
              <w:r>
                <w:rPr>
                  <w:rStyle w:val="InternetLink"/>
                  <w:rFonts w:ascii="Times New Roman;serif" w:hAnsi="Times New Roman;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238">
              <w:r>
                <w:rPr>
                  <w:rStyle w:val="InternetLink"/>
                  <w:rFonts w:ascii="Times New Roman;serif" w:hAnsi="Times New Roman;serif"/>
                  <w:b w:val="false"/>
                  <w:color w:val="0000FF"/>
                  <w:sz w:val="20"/>
                  <w:u w:val="single"/>
                </w:rPr>
                <w:t>Condensed Consolidated Statements of Operations for the Three and Six Months Ended June 30, 2025 and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238">
              <w:r>
                <w:rPr>
                  <w:rStyle w:val="InternetLink"/>
                  <w:rFonts w:ascii="Times New Roman;serif" w:hAnsi="Times New Roman;serif"/>
                  <w:b w:val="false"/>
                  <w:color w:val="0000FF"/>
                  <w:sz w:val="20"/>
                  <w:u w:val="single"/>
                </w:rPr>
                <w:t>6</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241">
              <w:r>
                <w:rPr>
                  <w:rStyle w:val="InternetLink"/>
                  <w:rFonts w:ascii="Times New Roman;serif" w:hAnsi="Times New Roman;serif"/>
                  <w:b w:val="false"/>
                  <w:color w:val="0000FF"/>
                  <w:sz w:val="20"/>
                  <w:u w:val="single"/>
                </w:rPr>
                <w:t>Condensed Consolidated Statements of Changes in Stockholders’ (Deficit) Equity for the Three and Six Months Ended June 30, 2025 and 2024</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241">
              <w:r>
                <w:rPr>
                  <w:rStyle w:val="InternetLink"/>
                  <w:rFonts w:ascii="Times New Roman;serif" w:hAnsi="Times New Roman;serif"/>
                  <w:b w:val="false"/>
                  <w:color w:val="0000FF"/>
                  <w:sz w:val="20"/>
                  <w:u w:val="single"/>
                </w:rPr>
                <w:t>7</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244">
              <w:r>
                <w:rPr>
                  <w:rStyle w:val="InternetLink"/>
                  <w:rFonts w:ascii="Times New Roman;serif" w:hAnsi="Times New Roman;serif"/>
                  <w:b w:val="false"/>
                  <w:color w:val="0000FF"/>
                  <w:sz w:val="20"/>
                  <w:u w:val="single"/>
                </w:rPr>
                <w:t>Condensed Consolidated Statements of Cash Flows for the Six Months Ended June 30, 2025 and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244">
              <w:r>
                <w:rPr>
                  <w:rStyle w:val="InternetLink"/>
                  <w:rFonts w:ascii="Times New Roman;serif" w:hAnsi="Times New Roman;serif"/>
                  <w:b w:val="false"/>
                  <w:color w:val="0000FF"/>
                  <w:sz w:val="20"/>
                  <w:u w:val="single"/>
                </w:rPr>
                <w:t>9</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247">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247">
              <w:r>
                <w:rPr>
                  <w:rStyle w:val="InternetLink"/>
                  <w:rFonts w:ascii="Times New Roman;serif" w:hAnsi="Times New Roman;serif"/>
                  <w:b w:val="false"/>
                  <w:color w:val="0000FF"/>
                  <w:sz w:val="20"/>
                  <w:u w:val="single"/>
                </w:rPr>
                <w:t>11</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1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13">
              <w:r>
                <w:rPr>
                  <w:rStyle w:val="InternetLink"/>
                  <w:rFonts w:ascii="Times New Roman;serif" w:hAnsi="Times New Roman;serif"/>
                  <w:b w:val="false"/>
                  <w:color w:val="0000FF"/>
                  <w:sz w:val="20"/>
                  <w:u w:val="single"/>
                </w:rPr>
                <w:t>44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58">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58">
              <w:r>
                <w:rPr>
                  <w:rStyle w:val="InternetLink"/>
                  <w:rFonts w:ascii="Times New Roman;serif" w:hAnsi="Times New Roman;serif"/>
                  <w:b w:val="false"/>
                  <w:color w:val="0000FF"/>
                  <w:sz w:val="20"/>
                  <w:u w:val="single"/>
                </w:rPr>
                <w:t>68</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61">
              <w:r>
                <w:rPr>
                  <w:rStyle w:val="InternetLink"/>
                  <w:rFonts w:ascii="Times New Roman;serif" w:hAnsi="Times New Roman;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61">
              <w:r>
                <w:rPr>
                  <w:rStyle w:val="InternetLink"/>
                  <w:rFonts w:ascii="Times New Roman;serif" w:hAnsi="Times New Roman;serif"/>
                  <w:b w:val="false"/>
                  <w:color w:val="0000FF"/>
                  <w:sz w:val="20"/>
                  <w:u w:val="single"/>
                </w:rPr>
                <w:t>69</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64">
              <w:r>
                <w:rPr>
                  <w:rStyle w:val="InternetLink"/>
                  <w:rFonts w:ascii="Times New Roman;serif" w:hAnsi="Times New Roman;serif"/>
                  <w:b/>
                  <w:color w:val="0000FF"/>
                  <w:sz w:val="20"/>
                  <w:u w:val="single"/>
                </w:rPr>
                <w:t>Part II - Other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64">
              <w:r>
                <w:rPr>
                  <w:rStyle w:val="InternetLink"/>
                  <w:rFonts w:ascii="Times New Roman;serif" w:hAnsi="Times New Roman;serif"/>
                  <w:b w:val="false"/>
                  <w:color w:val="0000FF"/>
                  <w:sz w:val="20"/>
                  <w:u w:val="single"/>
                </w:rPr>
                <w:t>70</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67">
              <w:r>
                <w:rPr>
                  <w:rStyle w:val="InternetLink"/>
                  <w:rFonts w:ascii="Times New Roman;serif" w:hAnsi="Times New Roman;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67">
              <w:r>
                <w:rPr>
                  <w:rStyle w:val="InternetLink"/>
                  <w:rFonts w:ascii="Times New Roman;serif" w:hAnsi="Times New Roman;serif"/>
                  <w:b w:val="false"/>
                  <w:color w:val="0000FF"/>
                  <w:sz w:val="20"/>
                  <w:u w:val="single"/>
                </w:rPr>
                <w:t>70</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70">
              <w:r>
                <w:rPr>
                  <w:rStyle w:val="InternetLink"/>
                  <w:rFonts w:ascii="Times New Roman;serif" w:hAnsi="Times New Roman;serif"/>
                  <w:b w:val="false"/>
                  <w:color w:val="0000FF"/>
                  <w:sz w:val="20"/>
                  <w:u w:val="single"/>
                </w:rPr>
                <w:t xml:space="preserve">Item 1A. Risk Factors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70">
              <w:r>
                <w:rPr>
                  <w:rStyle w:val="InternetLink"/>
                  <w:rFonts w:ascii="Times New Roman;serif" w:hAnsi="Times New Roman;serif"/>
                  <w:b w:val="false"/>
                  <w:color w:val="0000FF"/>
                  <w:sz w:val="20"/>
                  <w:u w:val="single"/>
                </w:rPr>
                <w:t>70</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73">
              <w:r>
                <w:rPr>
                  <w:rStyle w:val="InternetLink"/>
                  <w:rFonts w:ascii="Times New Roman;serif" w:hAnsi="Times New Roman;serif"/>
                  <w:b w:val="false"/>
                  <w:color w:val="0000FF"/>
                  <w:sz w:val="20"/>
                  <w:u w:val="single"/>
                </w:rPr>
                <w:t>Item 2. Unregistered Sales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73">
              <w:r>
                <w:rPr>
                  <w:rStyle w:val="InternetLink"/>
                  <w:rFonts w:ascii="Times New Roman;serif" w:hAnsi="Times New Roman;serif"/>
                  <w:b w:val="false"/>
                  <w:color w:val="0000FF"/>
                  <w:sz w:val="20"/>
                  <w:u w:val="single"/>
                </w:rPr>
                <w:t>70</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76">
              <w:r>
                <w:rPr>
                  <w:rStyle w:val="InternetLink"/>
                  <w:rFonts w:ascii="Times New Roman;serif" w:hAnsi="Times New Roman;serif"/>
                  <w:b w:val="false"/>
                  <w:color w:val="0000FF"/>
                  <w:sz w:val="20"/>
                  <w:u w:val="single"/>
                </w:rPr>
                <w:t>Item 3. Defaults Upon Senior Securities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76">
              <w:r>
                <w:rPr>
                  <w:rStyle w:val="InternetLink"/>
                  <w:rFonts w:ascii="Times New Roman;serif" w:hAnsi="Times New Roman;serif"/>
                  <w:b w:val="false"/>
                  <w:color w:val="0000FF"/>
                  <w:sz w:val="20"/>
                  <w:u w:val="single"/>
                </w:rPr>
                <w:t>70</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79">
              <w:r>
                <w:rPr>
                  <w:rStyle w:val="InternetLink"/>
                  <w:rFonts w:ascii="Times New Roman;serif" w:hAnsi="Times New Roman;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79">
              <w:r>
                <w:rPr>
                  <w:rStyle w:val="InternetLink"/>
                  <w:rFonts w:ascii="Times New Roman;serif" w:hAnsi="Times New Roman;serif"/>
                  <w:b w:val="false"/>
                  <w:color w:val="0000FF"/>
                  <w:sz w:val="20"/>
                  <w:u w:val="single"/>
                </w:rPr>
                <w:t>70</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82">
              <w:r>
                <w:rPr>
                  <w:rStyle w:val="InternetLink"/>
                  <w:rFonts w:ascii="Times New Roman;serif" w:hAnsi="Times New Roman;serif"/>
                  <w:b w:val="false"/>
                  <w:color w:val="0000FF"/>
                  <w:sz w:val="20"/>
                  <w:u w:val="single"/>
                </w:rPr>
                <w:t xml:space="preserve">Item 5. Other Information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82">
              <w:r>
                <w:rPr>
                  <w:rStyle w:val="InternetLink"/>
                  <w:rFonts w:ascii="Times New Roman;serif" w:hAnsi="Times New Roman;serif"/>
                  <w:b w:val="false"/>
                  <w:color w:val="0000FF"/>
                  <w:sz w:val="20"/>
                  <w:u w:val="single"/>
                </w:rPr>
                <w:t>70</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85">
              <w:r>
                <w:rPr>
                  <w:rStyle w:val="InternetLink"/>
                  <w:rFonts w:ascii="Times New Roman;serif" w:hAnsi="Times New Roman;serif"/>
                  <w:b w:val="false"/>
                  <w:color w:val="0000FF"/>
                  <w:sz w:val="20"/>
                  <w:u w:val="single"/>
                </w:rPr>
                <w:t>Item 6. Exhibit Index</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85">
              <w:r>
                <w:rPr>
                  <w:rStyle w:val="InternetLink"/>
                  <w:rFonts w:ascii="Times New Roman;serif" w:hAnsi="Times New Roman;serif"/>
                  <w:b w:val="false"/>
                  <w:color w:val="0000FF"/>
                  <w:sz w:val="20"/>
                  <w:u w:val="single"/>
                </w:rPr>
                <w:t>71</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c33e4da70a40fbb50e8a33b49fc578_388">
              <w:r>
                <w:rPr>
                  <w:rStyle w:val="InternetLink"/>
                  <w:rFonts w:ascii="Times New Roman;serif" w:hAnsi="Times New Roman;serif"/>
                  <w:b w:val="false"/>
                  <w:color w:val="0000FF"/>
                  <w:sz w:val="20"/>
                  <w:u w:val="single"/>
                </w:rPr>
                <w:t>Signatures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c33e4da70a40fbb50e8a33b49fc578_388">
              <w:r>
                <w:rPr>
                  <w:rStyle w:val="InternetLink"/>
                  <w:rFonts w:ascii="Times New Roman;serif" w:hAnsi="Times New Roman;serif"/>
                  <w:b w:val="false"/>
                  <w:color w:val="0000FF"/>
                  <w:sz w:val="20"/>
                  <w:u w:val="singl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934"/>
        <w:gridCol w:w="2227"/>
        <w:gridCol w:w="2217"/>
        <w:gridCol w:w="226"/>
        <w:gridCol w:w="774"/>
        <w:gridCol w:w="116"/>
        <w:gridCol w:w="109"/>
        <w:gridCol w:w="109"/>
        <w:gridCol w:w="109"/>
        <w:gridCol w:w="244"/>
        <w:gridCol w:w="958"/>
        <w:gridCol w:w="182"/>
      </w:tblGrid>
      <w:tr>
        <w:trPr/>
        <w:tc>
          <w:tcPr>
            <w:tcW w:w="2934"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 allowance of $296 and zero, respectively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from related parties, allowance of $4,098 and $3,985, respectively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 of consolidated funds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from related parties, allowance of zero and $28, respectively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 Equity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Series AA cumulative redeemable preferred stock, net of issuance costs, $25.00 per share stated value, 800,000 shares authorized, 36,770 and zero shares issued and outstanding as of June 30, 2025 and December 31, 2024, respectively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 of consolidated funds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658"/>
        <w:gridCol w:w="2335"/>
        <w:gridCol w:w="2346"/>
        <w:gridCol w:w="228"/>
        <w:gridCol w:w="782"/>
        <w:gridCol w:w="118"/>
        <w:gridCol w:w="109"/>
        <w:gridCol w:w="109"/>
        <w:gridCol w:w="109"/>
        <w:gridCol w:w="249"/>
        <w:gridCol w:w="977"/>
        <w:gridCol w:w="185"/>
      </w:tblGrid>
      <w:tr>
        <w:trPr/>
        <w:tc>
          <w:tcPr>
            <w:tcW w:w="2658"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Series A non-cumulative convertible preferred stock, $0.001 par value; 22,500,000 shares authorized, and 5,875 and 5,000 shares issued and outstanding as of June 30, 2025 and December 31, 2024, respectively</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Class A, $0.001 par value; 100,000,000 shares authorized, 951,386 and 759,370 shares issued and outstanding as of June 30, 2025 and December 31, 2024, respectively</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Common stock Class B, $0.001 par value; 15,000,000 shares authorized, 370,822 shares issued and outstanding as June 30, 2025 and December 31, 2024</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 attributable to CaliberCos Inc.</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attributable to noncontrolling interests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equity</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819"/>
        <w:gridCol w:w="1560"/>
        <w:gridCol w:w="1574"/>
        <w:gridCol w:w="229"/>
        <w:gridCol w:w="740"/>
        <w:gridCol w:w="118"/>
        <w:gridCol w:w="118"/>
        <w:gridCol w:w="118"/>
        <w:gridCol w:w="118"/>
        <w:gridCol w:w="229"/>
        <w:gridCol w:w="740"/>
        <w:gridCol w:w="118"/>
        <w:gridCol w:w="109"/>
        <w:gridCol w:w="109"/>
        <w:gridCol w:w="109"/>
        <w:gridCol w:w="213"/>
        <w:gridCol w:w="685"/>
        <w:gridCol w:w="109"/>
        <w:gridCol w:w="109"/>
        <w:gridCol w:w="109"/>
        <w:gridCol w:w="109"/>
        <w:gridCol w:w="213"/>
        <w:gridCol w:w="685"/>
        <w:gridCol w:w="165"/>
      </w:tblGrid>
      <w:tr>
        <w:trPr/>
        <w:tc>
          <w:tcPr>
            <w:tcW w:w="181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8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 EQUITY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1579" w:type="dxa"/>
        <w:jc w:val="left"/>
        <w:tblInd w:w="0" w:type="dxa"/>
        <w:tblLayout w:type="fixed"/>
        <w:tblCellMar>
          <w:top w:w="28" w:type="dxa"/>
          <w:left w:w="28" w:type="dxa"/>
          <w:bottom w:w="28" w:type="dxa"/>
          <w:right w:w="28" w:type="dxa"/>
        </w:tblCellMar>
      </w:tblPr>
      <w:tblGrid>
        <w:gridCol w:w="516"/>
        <w:gridCol w:w="282"/>
        <w:gridCol w:w="283"/>
        <w:gridCol w:w="203"/>
        <w:gridCol w:w="203"/>
        <w:gridCol w:w="171"/>
        <w:gridCol w:w="109"/>
        <w:gridCol w:w="109"/>
        <w:gridCol w:w="109"/>
        <w:gridCol w:w="181"/>
        <w:gridCol w:w="406"/>
        <w:gridCol w:w="109"/>
        <w:gridCol w:w="109"/>
        <w:gridCol w:w="109"/>
        <w:gridCol w:w="109"/>
        <w:gridCol w:w="202"/>
        <w:gridCol w:w="204"/>
        <w:gridCol w:w="171"/>
        <w:gridCol w:w="109"/>
        <w:gridCol w:w="109"/>
        <w:gridCol w:w="109"/>
        <w:gridCol w:w="195"/>
        <w:gridCol w:w="211"/>
        <w:gridCol w:w="109"/>
        <w:gridCol w:w="109"/>
        <w:gridCol w:w="109"/>
        <w:gridCol w:w="109"/>
        <w:gridCol w:w="202"/>
        <w:gridCol w:w="204"/>
        <w:gridCol w:w="171"/>
        <w:gridCol w:w="109"/>
        <w:gridCol w:w="109"/>
        <w:gridCol w:w="109"/>
        <w:gridCol w:w="181"/>
        <w:gridCol w:w="406"/>
        <w:gridCol w:w="109"/>
        <w:gridCol w:w="109"/>
        <w:gridCol w:w="109"/>
        <w:gridCol w:w="109"/>
        <w:gridCol w:w="181"/>
        <w:gridCol w:w="541"/>
        <w:gridCol w:w="109"/>
        <w:gridCol w:w="109"/>
        <w:gridCol w:w="109"/>
        <w:gridCol w:w="109"/>
        <w:gridCol w:w="109"/>
        <w:gridCol w:w="109"/>
        <w:gridCol w:w="181"/>
        <w:gridCol w:w="581"/>
        <w:gridCol w:w="109"/>
        <w:gridCol w:w="109"/>
        <w:gridCol w:w="109"/>
        <w:gridCol w:w="109"/>
        <w:gridCol w:w="222"/>
        <w:gridCol w:w="664"/>
        <w:gridCol w:w="135"/>
        <w:gridCol w:w="109"/>
        <w:gridCol w:w="109"/>
        <w:gridCol w:w="109"/>
        <w:gridCol w:w="198"/>
        <w:gridCol w:w="609"/>
        <w:gridCol w:w="169"/>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(Deficit)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December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preferred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March 31,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23,166 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net of issuance costs</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June 30,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(17,604)</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11579" w:type="dxa"/>
        <w:jc w:val="center"/>
        <w:tblInd w:w="0" w:type="dxa"/>
        <w:tblLayout w:type="fixed"/>
        <w:tblCellMar>
          <w:top w:w="28" w:type="dxa"/>
          <w:left w:w="28" w:type="dxa"/>
          <w:bottom w:w="28" w:type="dxa"/>
          <w:right w:w="28" w:type="dxa"/>
        </w:tblCellMar>
      </w:tblPr>
      <w:tblGrid>
        <w:gridCol w:w="516"/>
        <w:gridCol w:w="282"/>
        <w:gridCol w:w="283"/>
        <w:gridCol w:w="203"/>
        <w:gridCol w:w="203"/>
        <w:gridCol w:w="171"/>
        <w:gridCol w:w="109"/>
        <w:gridCol w:w="109"/>
        <w:gridCol w:w="109"/>
        <w:gridCol w:w="181"/>
        <w:gridCol w:w="406"/>
        <w:gridCol w:w="109"/>
        <w:gridCol w:w="109"/>
        <w:gridCol w:w="109"/>
        <w:gridCol w:w="109"/>
        <w:gridCol w:w="202"/>
        <w:gridCol w:w="204"/>
        <w:gridCol w:w="171"/>
        <w:gridCol w:w="109"/>
        <w:gridCol w:w="109"/>
        <w:gridCol w:w="109"/>
        <w:gridCol w:w="195"/>
        <w:gridCol w:w="211"/>
        <w:gridCol w:w="109"/>
        <w:gridCol w:w="109"/>
        <w:gridCol w:w="109"/>
        <w:gridCol w:w="109"/>
        <w:gridCol w:w="202"/>
        <w:gridCol w:w="204"/>
        <w:gridCol w:w="171"/>
        <w:gridCol w:w="109"/>
        <w:gridCol w:w="109"/>
        <w:gridCol w:w="109"/>
        <w:gridCol w:w="181"/>
        <w:gridCol w:w="406"/>
        <w:gridCol w:w="109"/>
        <w:gridCol w:w="109"/>
        <w:gridCol w:w="109"/>
        <w:gridCol w:w="109"/>
        <w:gridCol w:w="181"/>
        <w:gridCol w:w="541"/>
        <w:gridCol w:w="109"/>
        <w:gridCol w:w="109"/>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63,395 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Redemptions of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March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87,235 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June 30, 2024</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99,948 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95,204 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651"/>
        <w:gridCol w:w="2307"/>
        <w:gridCol w:w="2321"/>
        <w:gridCol w:w="109"/>
        <w:gridCol w:w="109"/>
        <w:gridCol w:w="109"/>
        <w:gridCol w:w="211"/>
        <w:gridCol w:w="792"/>
        <w:gridCol w:w="109"/>
        <w:gridCol w:w="109"/>
        <w:gridCol w:w="109"/>
        <w:gridCol w:w="109"/>
        <w:gridCol w:w="211"/>
        <w:gridCol w:w="792"/>
        <w:gridCol w:w="157"/>
      </w:tblGrid>
      <w:tr>
        <w:trPr/>
        <w:tc>
          <w:tcPr>
            <w:tcW w:w="265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notes payable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right-of-use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from operating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the disposition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advanced key money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above-market/below market leases and straight-line 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right-of-use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220" w:type="dxa"/>
        <w:jc w:val="center"/>
        <w:tblInd w:w="0" w:type="dxa"/>
        <w:tblLayout w:type="fixed"/>
        <w:tblCellMar>
          <w:top w:w="28" w:type="dxa"/>
          <w:left w:w="28" w:type="dxa"/>
          <w:bottom w:w="28" w:type="dxa"/>
          <w:right w:w="28" w:type="dxa"/>
        </w:tblCellMar>
      </w:tblPr>
      <w:tblGrid>
        <w:gridCol w:w="2343"/>
        <w:gridCol w:w="2053"/>
        <w:gridCol w:w="2069"/>
        <w:gridCol w:w="109"/>
        <w:gridCol w:w="109"/>
        <w:gridCol w:w="109"/>
        <w:gridCol w:w="228"/>
        <w:gridCol w:w="667"/>
        <w:gridCol w:w="118"/>
        <w:gridCol w:w="118"/>
        <w:gridCol w:w="118"/>
        <w:gridCol w:w="118"/>
        <w:gridCol w:w="228"/>
        <w:gridCol w:w="667"/>
        <w:gridCol w:w="166"/>
      </w:tblGrid>
      <w:tr>
        <w:trPr/>
        <w:tc>
          <w:tcPr>
            <w:tcW w:w="234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received on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received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redeemable preferred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Organization and Liquidity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200" w:after="283"/>
        <w:jc w:val="both"/>
        <w:rPr/>
      </w:pPr>
      <w:r>
        <w:rPr>
          <w:rFonts w:ascii="Times New Roman;serif" w:hAnsi="Times New Roman;serif"/>
          <w:b w:val="false"/>
          <w:color w:val="000000"/>
          <w:sz w:val="20"/>
        </w:rPr>
        <w:t>CaliberCos Inc., a Delaware corporation, and its wholly-owned subsidiaries (the “Company”, “we”, “our”), is an alternative asset manager of private syndication and direct</w:t>
      </w:r>
      <w:r>
        <w:rPr>
          <w:color w:val="000000"/>
          <w:shd w:fill="FFFFFF" w:val="clear"/>
        </w:rPr>
        <w:t xml:space="preserve"> </w:t>
      </w:r>
      <w:r>
        <w:rPr>
          <w:rFonts w:ascii="Times New Roman;serif" w:hAnsi="Times New Roman;serif"/>
          <w:b w:val="false"/>
          <w:color w:val="000000"/>
          <w:sz w:val="20"/>
          <w:shd w:fill="FFFFFF" w:val="clear"/>
        </w:rPr>
        <w:t>investment real estate funds and provider of a full suite of traditional real estate services. The Company was formed in November 2014, and originally began as Caliber Companies, LLC, an Arizona limited liability company, which commenced operations in January 2009. The Company provides various support services, under its asset management platform segment (“Platform”) to the investments it manages, including asset management services, fund set-up services, lending support, construction and development management, and real estate brokerage. As of June 30, 2025, the Company has operat</w:t>
      </w:r>
      <w:r>
        <w:rPr>
          <w:rFonts w:ascii="Times New Roman;serif" w:hAnsi="Times New Roman;serif"/>
          <w:b w:val="false"/>
          <w:color w:val="000000"/>
          <w:sz w:val="20"/>
        </w:rPr>
        <w:t>ions in Arizona with</w:t>
      </w:r>
      <w:r>
        <w:rPr>
          <w:color w:val="000000"/>
          <w:shd w:fill="FFFFFF" w:val="clear"/>
        </w:rPr>
        <w:t xml:space="preserve"> </w:t>
      </w:r>
      <w:r>
        <w:rPr>
          <w:rFonts w:ascii="Times New Roman;serif" w:hAnsi="Times New Roman;serif"/>
          <w:b w:val="false"/>
          <w:color w:val="000000"/>
          <w:sz w:val="20"/>
          <w:shd w:fill="FFFFFF" w:val="clear"/>
        </w:rPr>
        <w:t>a focus on hospitality, multifamily, and multi-tenant industrial real estate.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general, the Company’s private equity real estate funds are organized as operating partnerships, in which multiple unrelated passive investors own partnership interests. In addition, the Company is designated as the manager and/or general partner of the partnership. Depending on the legal structure and arrangements between the Company and the funds, the Company may or may not consolidate the partnerships for financial reporting purposes. For funds in which the Company is determined to be the controlling party or primary beneficiary for financial reporting purposes, the fund is consolidated, and the passive investors’ ownership is presented as noncontrolling interest in the accompanying condensed consolidated financial statements (“Consolidated Funds”, and collectively with the Company, the “Consolidated Company”, “Caliber”, “we”, “our”, and “us”). For funds in which the Company is not determined to be the controlling party for financial reporting purposes, the fund is not consolidated, and any fees earned from the fund are included in fund management revenue in the accompanying condensed consolidated financial statements. See Note 2 – Summary of Significant Accounting Policies for details.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Reverse Stock Split: 1-to-20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2025, the Company held a Special Meeting of Stockholders (the “Special Meeting”). At the Special Meeting, the stockholders approved a proposal authorizing a reverse stock split of the Company’s Class A common stock, par value $0.001 per share (the “Class A Common Stock”) and the Company’s Class B common stock, par value $0.001 per share (the “Class B Common Stock”, together with the Class A Common Stock, the “Common Stock”), at an exchange ratio within the range of 1-for-5 to 1-for-20, inclusive, as determined by the board of directors of the Company (the “Board”).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Following the Special Meeting, the Board approved a one-for-twenty (1-for-20) reverse stock split of the Common Stock (the “Reverse Stock Split”) and the Company filed a Certificate of Amendment (the “Amendment”) to its Third Amended and Restated Certificate of Incorporation (as amended to date, the “Certificate of Incorporation”) with the Secretary of State of the State of Delaware to effect the Reverse Stock Split of its Common Stock. The Reverse Stock Split became effective on May 2, 2025 (the “Effective Date”).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Reverse Stock Split, at the Effective Date, every twenty (20) shares of the Company’s pre-Reverse Stock Split Common Stock combined and automatically become one (1) share of Common Stock. The Company’s Class A Common Stock began trading on a split-adjusted basis when the Nasdaq Stock Market opened for trading on May 2, 2025. As of the Effective Date, the number of outstanding shares of Class A Common Stock of the Company was reduced from 15,127,516 to 931,202 shares and the Class B Common Stock from 7,416,414 to 370,822 shares.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Class A Common Stock continues to trade on the Nasdaq Stock Market under the existing symbol “CWD”. The Reverse Stock Split affected all holders of our Common Stock uniformly and did not affect any stockholder’s percentage ownership interests or proportionate voting power. The other principal effects of the Amendment was that the number of shares of Common Stock issuable upon conversion or exercise of notes, warrants, preferred stock and other convertible securities, as well as any commitments to issue securities, that provide for adjustments in the event of a reverse stock split were appropriately adjusted pursuant to their applicable terms for the Reverse Stock Split. If applicable, the conversion price for each outstanding note and outstanding share of preferred stock and the per share exercise price of all outstanding options and warrants was increased, pursuant to their terms, in inverse proportion to the 1-for-20 split ratio such that upon conversion or exercise, the aggregate conversion price for each note or preferred stock and the aggregate exercise price payable by the option or warrant holder to the Company for shares of Common Stock subject to such option or warrant remains approximately the same as the aggregate conversion or exercise price, as applicable, prior to the Reverse Stock Split. Pursuant to the terms of the Company’s 2024 Equity Incentive Plan, shares of Common Stock available for issuance also are subject to adjustment as a result of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Reverse Stock Split did not change the authorized number of shares or the par value of the Common Stock nor modify any voting rights of the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fractional shares were issued in connection with the Reverse Stock Split. All shares of Common Stock held by a stockholder were aggregated subsequent to the Reverse Stock Split and each fractional share resulting from such aggregation held by a stockholder was rounded up to the next whole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accompanying condensed consolidated financial statements have been retroactively adjusted to reflect the Reverse Stock Split for all periods presented.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Securities Purchase Agreement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20, 2025, the Company entered into a securities purchase agreement (the “Purchase Agreement”) with Mast Hill Fund, L.P. (the “Investor”) as the purchaser, pursuant to which the Company issued the Investor a senior secured promissory note in the aggregate principal amount of up to $1.7 million (as the principal amount thereof may be increased pursuant to the terms thereof), a common stock purchase warrant for the purchase of 10,000 shares of Class A Common Stock, with an initial exercise price of $15.00 per share, and 10,000 shares of Common Stock (the “Commitment Shares”).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Purchase Agreement, the Company entered into a registration rights agreement (the “RRA”) with the Investor to provide certain registration rights under the Securities Act of 1933, as amended (the “Securities Act”), and the rules and regulations thereunder, or any similar successor statute, and applicable state securities laws. The Company agreed to file with the Securities and Exchange Commission (“SEC”) an initial Registration Statement covering the maximum number of Registrable Securities (as defined in the RRA) within ten (10) business days from the date that the Company filed its Form 10-K with the SEC for the period ended December 31,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Equity Line of Credit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Concurrent with the execution of the Purchase Agreement with the Investor above, the Company entered into an equity purchase agreement (the “Equity Purchase Agreement”) with the Investor pursuant to which the Company may sell and issue to the Investor, and the Investor may purchase from the Company, up to $25.0 million of Common Stock (the “Put Shares”). Under the Equity Purchase Agreement, the Company has the right, but not the obligation, to direct the Investor, by its delivery to the Investor of a put notice from time to time, to purchase Put Shares (i) in a minimum amount not less than $5,000 and (ii) in a maximum amount up to the lesser of (a) $500,000 or (b) 40% of the Average Daily Trading Value (as defined in the Equity Purchase Agreement). In connection with the Equity Purchase Agreement, the Company issued the Investor a five year common stock purchase warrant for the purchase of 10,000 shares of the Common Stock at an initial exercise price of $30.00 per share (the “ELOC Warrant”).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shall not effect any sales of the Put Shares under the Equity Purchase Agreement and the Investor shall not have the obligation to purchase Put Shares under the Equity Purchase Agreement to the extent that such issuance would exceed the Exchange Cap (as defined below). Shareholder approval is required to effectuate the transactions contemplated by the Equity Purchase Agreement, including but not limited to the issuance of Common Stock and the ELOC Warrant in excess of 78,441 shares of Common Stock (the “Exchange Cap”).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not exercised its right to issue a put notice to the Investor pursuant to the Equity Purchase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prepared in accordance with generally accepted accounting principles in the United States of America (“U.S. GAAP”) applicable to a going concern, which contemplates the realization of assets and the satisfaction of liabilities in the normal course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2025, the Company had a portfolio of corporate notes, whose composition and characteristics are similar to those reported in prior periods. At June 30, 2025, the portfolio consists of 195 unsecured notes with an aggregate principal balance of $33.0 million. As of August 14, 2025, an aggregate of $26.3 million of corporate and convertible notes mature within the 12-month period subsequent to when these financial statements were issued. The notes generally have either a 12-month or 36-month term, with the 12-month note holders having the option to extend for an additional 12-month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the Company incurred recurring operating losses and negative cash flow from operations,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 In response to these conditions, management considered the impact of these near-term maturities on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satisfy the maturity of these corporate notes, the Company intends to raise $20.0 million of preferred stock series AA financing through its Reg A+ offering, which was qualified on March 12, 2025, and has raised $1.2 million, net of issuance costs as of August 14, 2025. The Company also continues its push to refinance its existing 12-month term notes into its new 36-month term corporate note program. Year to date through August 14, 2025, the Company has successfully refinanced $4.8 million of 12-month term corporate notes into its new 36-month term corporate note program.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financing actions noted, management continues to execute various plans implemented in the year to address operating losses and near-term maturities or demands for repayment of its notes. Consistent with reported actions taken in prior reporting periods, management plans to continue to i) reduce operating costs, ii) collect all or part of its $7.5 million in receivables, iii) collect all or part of its $12.3 million in investments from its managed funds, iv) increase capital raise through continued expansion of fundraising channels, v) sell or accept investment into its corporate headquarters, vi) place debt on unencumbered assets, and/or vii) generate planned cash from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as part of the execution of our aforementioned plans, the Company collected $0.2 million in notes receivable, $7.9 million in accounts receivable, and $1.6 million in redemptions of investments from its managed funds. In addition, the Company has implemented broad-based costs reductions, most notably being further workforce reductions, which are expected to result in annualized cost savings of $3.9 million in compensation and employee benefit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After consideration of the implemented and planned actions, management concluded these plans are not within the Company’s control and therefore cannot be deemed probable. As a result, the Company has concluded that management’s plans do not alleviate substantial doubt about the Company’s ability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prepared on the accrual basis of accounting in accordance with U.S. GAAP. The accompanying condensed consolidated financial statements include the Company’s accounts, its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condensed consolidated balance sheets, statements of operations, and statements of changes in stockholders’ equity. All intercompany balances and transactions have been eliminated in consolidation.</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entity is a variable interest entity (“VIE”) based on several factors, including whether the equity holders, as a group, lack the characteristics of a controlling financial interest. The Company analyzes any investments in VIEs to determine if we are the primary beneficiary. A reporting entity is determined to be the primary beneficiary if it holds a controlling financial interest in a VIE.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potentially be significant to such entity. Performance of that analysis requires the exercise of judgment. The Company consolidates any VIEs for which we are the primary beneficiary, and the Company discloses our maximum exposure to loss related to the consolidated VIEs. See Note 3 – VIEs for more detail.</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Voting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Entities that do not qualify as VIEs are generally assessed for consolidation as voting interest entities (“VOEs”). For VOEs, the Company consolidates an entity if we have a controlling financial interest. The Company has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Interim Unaudited Financial Data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condensed consolidated financial statements, including notes, are unaudited, exclude some of the disclosures required for annual consolidated financial statements, and should be read in conjunction with our audited consolidated financial statements for the year ended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U.S. GAAP requires the Company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cash held in escrow accounts by contractual agreement with lenders as part of financial loan covenant requirements.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Investments in Unconsolidated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an entity is not a VIE, the Company’s determination of the appropriate accounting method with respect to our investments in limited liability companies and other investments is based on voting control. For the Company’s managing member interests in limited liability companies, the Company is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The Company accounts for our non-controlling investments in these entities under the equity method. The Company’s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The Company’s share of the earnings or loss from equity method investments is included in other income (expenses), net on the accompanying condensed consolidated statements of operations. The Company evaluates its investments in unconsolidated entities for impairment when events and circumstances indicate that the fair value of the entities might be less than the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determination of the appropriate accounting treatment for an investment in a subsidiary requires judgment of several factors, including the size and nature of our ownership interest and the other owners’ substantive rights to make decisions for the entity. Different judgments or conclusions as to the level of our control or influence, could result in a different accounting treatment, such as consolidation. While consolidating an investment generally has no impact on the Company’s net income or stockholders’ deficit, consolidation does impact the individual income statement and balance sheet line items on the Company’s consolidated financial statements, by effectively “grossing up” the Company’s consolidated statements of operations and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carrying amount of the Company’s investments in unconsolidated entities was $12.2 million, and $15.6 million, respectively, net of $6.4 million and $4.0 million, respectively, of impairments primarily related to the winding down of Caliber Fixed Income Fund III (“CFIF III”) in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three and six months ended June 30, 2025, the Company had impairment losses of $2.1 million and $2.3 million related to its investments in unconsolidated entities. There were no impairment losses during the three and six months ended June 30,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Depreciation and Amortization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Intangible lease assets are amortized using the straight-line method over the shorter of the respective estimated useful life or the lease term.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depreciation expense for the Company was $0.2 million and $0.3 million, respectively. For the three and six months ended June 30, 2024, depreciation expense for the Company was $0.2 million and $0.3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the Company makes an assessment of its recoverability by comparing the carrying amount to the Company’s estimate of the undiscounted net future cash flows resulting from the use of the asset, excluding interest charges. If the carrying amount exceeds the aggregate undiscounted future cash flows, the Company recognizes an impairment loss to the extent the carrying amount exceeds the estimated fair value of the asset.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Company had no impairment losses related to its real estate and other long-lived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200" w:after="283"/>
        <w:jc w:val="both"/>
        <w:rPr/>
      </w:pPr>
      <w:r>
        <w:rPr>
          <w:rFonts w:ascii="Times New Roman;serif" w:hAnsi="Times New Roman;serif"/>
          <w:b w:val="false"/>
          <w:color w:val="000000"/>
          <w:sz w:val="20"/>
        </w:rPr>
        <w:t>Substantially all of the Company’s revenues are generated from activities completed through its Platform, including the management, ownership and/or operations of real estate assets located in Alaska, Arizona, Colorado, Kansas, Texas, and Virginia</w:t>
      </w:r>
      <w:r>
        <w:rPr>
          <w:rFonts w:ascii="Times New Roman;serif" w:hAnsi="Times New Roman;serif"/>
          <w:b w:val="false"/>
          <w:color w:val="000000"/>
          <w:sz w:val="20"/>
          <w:shd w:fill="FFFFFF" w:val="clear"/>
        </w:rPr>
        <w:t>. Th</w:t>
      </w:r>
      <w:r>
        <w:rPr>
          <w:rFonts w:ascii="Times New Roman;serif" w:hAnsi="Times New Roman;serif"/>
          <w:b w:val="false"/>
          <w:color w:val="000000"/>
          <w:sz w:val="20"/>
        </w:rPr>
        <w:t>e Company mitigates the associated risk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across hospitality, multi-family, and multi-tenant industrial asset types;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Noncontrolling Interests in Consolidated Real Estate Partnerships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reports the unaffiliated partners’ interests in the net assets of the Company’s consolidated real estate partnerships as noncontrolling interests within the accompanying condensed consolidated statements of changes in stockholders’ equity. Noncontrolling interests consist of equity interests held by limited partners in consolidated real estate partnerships. The Company attributes to noncontrolling interests their share of income or loss of the consolidated partnerships based on the Company’s proportionate interest in the results of operations of the partnerships, including the Company’s share of losses even if such attribution results in a deficit noncontrolling interest balance within our equity and partners’ capital accounts.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partnership agreements generally require the partnerships to be liquidated following the sale of the underlying real estate assets. As the general partner in these partnerships, the Company ordinarily controls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In accordance with the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includes fixed fee arrangements with related party affiliates to provide certain associated activities which are ancillary to and generally add value to the assets the Company manages,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the Company’s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Company’s revenue recognition policy related to the fees the Company earns from providing services under its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condensed consolidated statements of operations. Fund set-up fees replaced fund formation fees that are earned at a point in time at a fixed rate based on the amount of capital raised into certain managed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Financing fees are earned for services the Company performs in securing third-party financing on behalf of our private equity real estate funds. These fees are recognized at the point in time when the performance under the contract is complete, which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essentially upon closing of a loan. In addition, the Company earns fees for guaranteeing certain loans, representing a performance obligation that the Company satisfies over time.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when the related performance obligations are satisfied and the customer obtains control of the promised service, including negotiation, due diligence, entitlements, planning, and design activities. During the construction period, development fee revenue is recognized ratably over time as the performance obligation(s) is satisfied.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condensed consolidated statements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an arrangement in which the Company is entitled to an allocation of investment returns, generated within the investment funds which the Company manages, based on a contractual formula. The Company typically receives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condensed consolidated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Lessor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June 30, 2025 and December 31, 2024. For operating leases with minimum scheduled rent increases, the Company recognizes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Company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Lessee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impairment assessment for ROU assets is consistent with the impairment analysis for the Company's other long-lived assets and is reviewed quarterly.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of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Accounting for Real Estate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Acquired real estate properties accounted for as asset acquisitions are recorded at cost, including acquisition and closing costs. The consolidated funds allocate the cost of real estate properties to the tangible and intangible assets and liabilities acquired based on their estimated relative fair values. The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The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Capitalization and Depreciation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The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Depreciation for all tangible real estate assets is calculated using the straight-line method over the estimated useful lives of the assets. The estimated useful lives of our building and building improvements are generally 15 to 40 years. The estimated useful lives of the consolidated funds furniture, fixtures and equipment are generally three to seven years beginning in the first full month the asset is placed in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depreciation expense of the consolidated funds was $0.4 million and $1.4 million, respectively. For the three and six months ended June 30, 2024, depreciation expense of the consolidated funds was $1.3 million and $3.4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the consolidated funds recognize an impairment loss to the extent the carrying amount exceeds the estimated fair value of the asset.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consolidated funds did not record an impairment loss related to its real estate and other long-lived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 the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consolidated funds’ revenues primarily consist of hospitality revenues, rental income and interest income.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hospitality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other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funds – other revenue includes rental revenue of $0.2 million and $0.3 million for the three and six months ended June 30, 2025, respectively, and $0.5 million and $0.9 million for the three and six months ended June 30, 2024, respectively. Rental revenue includes the revenues generated primarily by the rental operations of the residential (multi-family and single-family) and commercial properties of the consolidated funds.</w:t>
      </w:r>
    </w:p>
    <w:p>
      <w:pPr>
        <w:pStyle w:val="TextBody"/>
        <w:bidi w:val="0"/>
        <w:spacing w:lineRule="auto" w:line="288" w:before="200" w:after="283"/>
        <w:jc w:val="both"/>
        <w:rPr/>
      </w:pPr>
      <w:r>
        <w:rPr>
          <w:rFonts w:ascii="Times New Roman;serif" w:hAnsi="Times New Roman;serif"/>
          <w:b w:val="false"/>
          <w:color w:val="000000"/>
          <w:sz w:val="20"/>
        </w:rPr>
        <w:t xml:space="preserve">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at the inception of a new lease arrangement, including new leases that arise from amendments, the consolidated funds assess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consolidated funds obtain a guarantee for the value of the asset from a third party, the consolidated funds classify the lease as a direct financing lease. All other leases are classified as operating leases. The consolidated funds did not have any sales-type or direct financing leases as of June 30, 2025.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identified two separate lease components as follows: i) land lease component, and ii) single property lease component comprised of building, land improvements and tenant improvements. The consolidated funds leases also contain provisions for tenants to reimburse the consolidated funds for maintenance and other property operating expenses, which are considered to be non-lease components. The consolidated funds elected the practical expedient to combine lease and non-lease components and the non-lease components will be included with the single property lease component as the predominant component.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consolidated funds - other revenue includes interest income, which is generated by a consolidated fund’s lending activity. There was no interest income for the three and six months ended June 30, 2025, respectively. For the three and six months ended June 30, 2024, there was $1.6 million and $2.6 million of interest income, respectively. Interest income is recognized on the accrual basis of accounting in accordance with the lending agreements over the term of the respective loan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 expenses consist primarily of costs, expenses and fees that are incurred by, or arise out of the operation and activities of or otherwise related to, the consolidated funds, including, without limitation, operating costs, depreciation and amortization, interest expense on debt held by the consolidated funds, insurance expenses, professional fees and other costs associated with administering and supporting those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primarily consists of amounts due from guests or groups for hotel rooms and services provided by the hotel properties. Accounts receivable also include due, but unpaid, rental payments. The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If the collectability of a receivable is uncertain, the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condensed consolidated statements of operations. There were no allowances for doubtful accounts as of June 30, 2025 and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funds record all derivative instruments on the accompanying condensed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 or liability hedged. If the consolidated fund elects not to apply hedge accounting treatment, any changes in the fair value of the derivative instruments is recognized immediately in consolidated funds - hospitality expenses in the accompanying condensed consolidated statements of operations. If the derivative is designated and qualifies for hedge accounting treatment, the change in fair value of the derivative is recorded in other comprehensive income (loss).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1 – Inputs are quoted prices in active markets for identical assets or liabilities that can be accessed at the measurement date.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TextBody"/>
        <w:bidi w:val="0"/>
        <w:spacing w:lineRule="auto" w:line="288" w:before="200" w:after="283"/>
        <w:jc w:val="both"/>
        <w:rPr>
          <w:rFonts w:ascii="Times New Roman;serif" w:hAnsi="Times New Roman;serif"/>
          <w:b/>
          <w:i/>
          <w:color w:val="000000"/>
          <w:sz w:val="20"/>
          <w:u w:val="single"/>
        </w:rPr>
      </w:pPr>
      <w:r>
        <w:rPr>
          <w:rFonts w:ascii="Times New Roman;serif" w:hAnsi="Times New Roman;serif"/>
          <w:b/>
          <w:i/>
          <w:color w:val="000000"/>
          <w:sz w:val="20"/>
          <w:u w:val="single"/>
        </w:rPr>
        <w:t>Recent Accounting Pronouncements</w:t>
      </w:r>
    </w:p>
    <w:p>
      <w:pPr>
        <w:pStyle w:val="TextBody"/>
        <w:bidi w:val="0"/>
        <w:spacing w:lineRule="auto" w:line="288" w:before="200" w:after="283"/>
        <w:jc w:val="both"/>
        <w:rPr/>
      </w:pPr>
      <w:r>
        <w:rPr>
          <w:rFonts w:ascii="Times New Roman;serif" w:hAnsi="Times New Roman;serif"/>
          <w:b w:val="false"/>
          <w:color w:val="000000"/>
          <w:sz w:val="20"/>
        </w:rPr>
        <w:t>The Company adopted the Financial Accounting Standards Board (“FASB”) issued ASU 2020-06, </w:t>
      </w:r>
      <w:r>
        <w:rPr>
          <w:rFonts w:ascii="Times New Roman;serif" w:hAnsi="Times New Roman;serif"/>
          <w:b w:val="false"/>
          <w:i/>
          <w:color w:val="000000"/>
          <w:sz w:val="20"/>
        </w:rPr>
        <w:t>Debt – Debt with Conversion and Other Options (Subtopic 470-20) and Derivatives and Hedging – Contracts in Entity’s Own Equity (Subtopic 815-40)</w:t>
      </w:r>
      <w:r>
        <w:rPr>
          <w:rFonts w:ascii="Times New Roman;serif" w:hAnsi="Times New Roman;serif"/>
          <w:b w:val="false"/>
          <w:color w:val="000000"/>
          <w:sz w:val="20"/>
        </w:rPr>
        <w:t>, effective January 1, 2024, which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adoption of this guidance did not have a material impact on the Company’s consolidated financial statements.</w:t>
      </w:r>
    </w:p>
    <w:p>
      <w:pPr>
        <w:pStyle w:val="TextBody"/>
        <w:bidi w:val="0"/>
        <w:spacing w:lineRule="auto" w:line="288" w:before="200" w:after="283"/>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and is effective for fiscal years beginning after December 15, 2023, and interim periods within fiscal years beginning after December 15, 2024, with early adoption permitted. The Company adopted this guidance effective December 31, 2024. The adoption of this standard did not have a material effect on the Company’s balance sheets, statements of operations, or statements of cash flows, but resulted in additional disclosures in the notes to the financial statements, most notably payroll and payroll related costs as a significant segment expense. See Note 16 – Segments for detail.</w:t>
      </w:r>
    </w:p>
    <w:p>
      <w:pPr>
        <w:pStyle w:val="TextBody"/>
        <w:bidi w:val="0"/>
        <w:spacing w:lineRule="auto" w:line="288" w:before="20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 (Topic 740, Income Taxes)</w:t>
      </w:r>
      <w:r>
        <w:rPr>
          <w:rFonts w:ascii="Times New Roman;serif" w:hAnsi="Times New Roman;serif"/>
          <w:b w:val="false"/>
          <w:color w:val="000000"/>
          <w:sz w:val="20"/>
        </w:rPr>
        <w:t>. ASU 2023-09, which serves to enhance income tax disclosures by requiring a tabular rate reconciliation and additional information on income taxes paid. The guidance is effective for annual periods beginning after December 15, 2024, with early adoption permitted. The Company is currently evaluating the impact of the adoption of ASU 2023-09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to improve the disclosures about a public business entity’s expenses and provide more detailed information about the types of expenses included in certain expense captions in the consolidated financial statements. The amendments in this update are effective for annual reporting periods beginning after December 15, 2026, and interim reporting periods beginning after December 15, 2027. Early adoption is permitted and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the adoption of ASU 2024-03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3 – VIEs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has determined that the equity holders in its consolidated entities, as a group, lack the power to direct the activities that most significantly impact the entities’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Generally, the assets of the individual consolidated VIEs can only be used to settle liabilities of each respective individual consolidated VIE and the liabilities of each respective VIE, including VIEs which it consolidates,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the Company’s maximum exposure to loss due to involvement with the consolidated VIEs is limited to the amount of capital investment in the VIE, if any, or the potential obligation to perform on the guarantee of debts.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deconsolidated DoubleTree by Hilton Tucson Convention Center (“TCC”), a VIE which refinanced a loan secured by a hotel property it owns. With the refinancing of this loan, the company no longer guarantees the debt and it is therefore not obligated to absorb the respective VIE’s income or loss and is no longer determined to be the primary beneficiary. The Company aggregates and reports the results of operations of TCC in consolidated fund revenues and consolidated fund expenses within the accompanying condensed consolidated statements of operations through the date of deconsolidation.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7, 2024, L.T.D. Hospitality Group LLC (“L.T.D.”) contributed one hotel from its portfolio to Caliber Hospitality, LP in exchange for $4.9 million in cash, net of closing costs, and $9.6 million in operating partnership units. In conjunction with the L.T.D. contribution, Caliber Hospitality, LP entered into a new $14.1 million loan facility with a third-party lender resulting in a consolidation reconsideration event. Upon this reconsideration event, the Company reconsidered its consolidation conclusion, given the change in economics, and concluded that it was no longer the primary beneficiary, as its potential obligation to absorb the losses, through its guarantee of the indebtedness secured by the hospitality assets, was no longer significant to Caliber Hospitality, LP or the Caliber Hospitality Trust. As such, during the six months ended June 30, 2024, the Company deconsolidated Caliber Hospitality, LP, the Caliber Hospitality Trust, and their consolidated subsidiaries. The Company aggregated and reported the results of operations of these VIEs in consolidated fund revenues and consolidated fund expenses within the accompanying condensed consolidated statements of operations through the date of deconsolidation. Additionally, during 2024, the Company deconsolidated Elliot, DT Mesa, and CFIF III. The Company’s investment in these assets, as well as the assets of Caliber Hospitality, LP, are no longer eliminated and are included in investments in unconsolidated entities on the accompanying condensed consolidated balance sheets dated June 30, 2025 and December 31,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See Note 11 – Commitments and Contingencies for information related to the commitments and contingencies of these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4 – Real Estate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material asset acquisitions or dispositions by the Company or the consolidated funds during the three and six months ended June 30,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Prepaid and Other Assets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Prepaid and Other Assets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and other assets of the Company consisted of the following as of June 30, 2025 and December 31, 2024 (in thousands):</w:t>
      </w:r>
    </w:p>
    <w:tbl>
      <w:tblPr>
        <w:tblW w:w="6160" w:type="dxa"/>
        <w:jc w:val="left"/>
        <w:tblInd w:w="0" w:type="dxa"/>
        <w:tblLayout w:type="fixed"/>
        <w:tblCellMar>
          <w:top w:w="28" w:type="dxa"/>
          <w:left w:w="28" w:type="dxa"/>
          <w:bottom w:w="28" w:type="dxa"/>
          <w:right w:w="28" w:type="dxa"/>
        </w:tblCellMar>
      </w:tblPr>
      <w:tblGrid>
        <w:gridCol w:w="1009"/>
        <w:gridCol w:w="888"/>
        <w:gridCol w:w="893"/>
        <w:gridCol w:w="287"/>
        <w:gridCol w:w="839"/>
        <w:gridCol w:w="148"/>
        <w:gridCol w:w="109"/>
        <w:gridCol w:w="109"/>
        <w:gridCol w:w="109"/>
        <w:gridCol w:w="380"/>
        <w:gridCol w:w="1110"/>
        <w:gridCol w:w="279"/>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Pursuit costs </w:t>
            </w:r>
            <w:r>
              <w:rPr>
                <w:rFonts w:ascii="Times New Roman;serif" w:hAnsi="Times New Roman;serif"/>
                <w:b w:val="false"/>
                <w:color w:val="000000"/>
                <w:sz w:val="13"/>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right of use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assets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Prepaid and Other Assets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and other assets of the consolidated funds consisted of the following as of June 30, 2025 and December 31, 2024 (in thousands):</w:t>
      </w:r>
    </w:p>
    <w:tbl>
      <w:tblPr>
        <w:tblW w:w="5905" w:type="dxa"/>
        <w:jc w:val="left"/>
        <w:tblInd w:w="0" w:type="dxa"/>
        <w:tblLayout w:type="fixed"/>
        <w:tblCellMar>
          <w:top w:w="28" w:type="dxa"/>
          <w:left w:w="28" w:type="dxa"/>
          <w:bottom w:w="28" w:type="dxa"/>
          <w:right w:w="28" w:type="dxa"/>
        </w:tblCellMar>
      </w:tblPr>
      <w:tblGrid>
        <w:gridCol w:w="918"/>
        <w:gridCol w:w="804"/>
        <w:gridCol w:w="812"/>
        <w:gridCol w:w="395"/>
        <w:gridCol w:w="676"/>
        <w:gridCol w:w="204"/>
        <w:gridCol w:w="109"/>
        <w:gridCol w:w="109"/>
        <w:gridCol w:w="109"/>
        <w:gridCol w:w="448"/>
        <w:gridCol w:w="992"/>
        <w:gridCol w:w="329"/>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franchise fees,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assets</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6 – Notes Payable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Notes Payable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Notes payable consisted of the following as of June 30, 2025 and December 31, 2024 (in thousands):</w:t>
      </w:r>
    </w:p>
    <w:tbl>
      <w:tblPr>
        <w:tblW w:w="10205" w:type="dxa"/>
        <w:jc w:val="left"/>
        <w:tblInd w:w="0" w:type="dxa"/>
        <w:tblLayout w:type="fixed"/>
        <w:tblCellMar>
          <w:top w:w="28" w:type="dxa"/>
          <w:left w:w="28" w:type="dxa"/>
          <w:bottom w:w="28" w:type="dxa"/>
          <w:right w:w="28" w:type="dxa"/>
        </w:tblCellMar>
      </w:tblPr>
      <w:tblGrid>
        <w:gridCol w:w="732"/>
        <w:gridCol w:w="593"/>
        <w:gridCol w:w="568"/>
        <w:gridCol w:w="109"/>
        <w:gridCol w:w="109"/>
        <w:gridCol w:w="109"/>
        <w:gridCol w:w="239"/>
        <w:gridCol w:w="818"/>
        <w:gridCol w:w="123"/>
        <w:gridCol w:w="109"/>
        <w:gridCol w:w="109"/>
        <w:gridCol w:w="109"/>
        <w:gridCol w:w="293"/>
        <w:gridCol w:w="1004"/>
        <w:gridCol w:w="151"/>
        <w:gridCol w:w="109"/>
        <w:gridCol w:w="109"/>
        <w:gridCol w:w="109"/>
        <w:gridCol w:w="567"/>
        <w:gridCol w:w="483"/>
        <w:gridCol w:w="1205"/>
        <w:gridCol w:w="109"/>
        <w:gridCol w:w="109"/>
        <w:gridCol w:w="109"/>
        <w:gridCol w:w="673"/>
        <w:gridCol w:w="595"/>
        <w:gridCol w:w="853"/>
      </w:tblGrid>
      <w:tr>
        <w:trPr/>
        <w:tc>
          <w:tcPr>
            <w:tcW w:w="73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r>
      <w:tr>
        <w:trPr/>
        <w:tc>
          <w:tcPr>
            <w:tcW w:w="1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2024 - March 2028</w:t>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2024 - September 2026</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2027 - November 2029</w:t>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December 2024 - March 2026</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 on corporate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Real Estate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the loan agreements described below include, among other things, certain financial covenants, as defined in the respective loan agreements, including key financial ratios and liquidity requirements.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Gateway II HoldCo,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31, 2023, the Company assumed a loan which is secured by the Company’s headquarters office building.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June 30, 2025 and December 31, 2024, the outstanding principal balance of the loan was $15.8 million and $15.9 million, respectively. Upon assumption of the loan, the Company is required to abide by a clause in the agreement requiring the Company to transfer funds to a cash management account. As of June 30, 2025, the debt service coverage ratio required by the loan agreement was not satisfied.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Saddleback Ranch,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$1.2 million financing agreement which is secured by a deed of trust for the land owned by Saddleback Ranch, LLC. The financing agreement has a fixed interest rate of 10.00% through February 2026, then a fixed rate of 14.00% until maturity in February 2027. The financing agreement requires an interest only payment in February 2026, with all accrued interest added to the outstanding balance monthly. Beginning in February 2026, interest only payments are due quarterly, with the final interest and principal amount due upon maturity. The terms of the financing agreement do not allow the repayment of the outstanding balance in part prior to maturity, but does allow for the entire outstanding balance to be repaid at any time before the maturity date. As of June 30, 2025, the outstanding principal balance of the loan was $1.2 million.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Notes and Convertible Corporate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multiple general corporate financing arrangements with third parties. The arrangements are generally evidenced in the form of an unsecured promissory note and require monthly or quarterly interest-only payments until maturity. The loans generally have a 12-month or 36-month 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there were 195 individual corporate notes outstanding, with an average outstanding principal balance of $0.2 million, interest rates ranging from 5.00% to 12.00%, with a weighted average interest rate of 10.95%, and maturity dates ranging from January 2024 to March 2028. At June 30, 2025, the corporate notes outstanding had an aggregate principal balance of $33.0 million, of which $26.3 million of the corporate notes have matured or will mature within the 12-month period subsequent to August 14, 2025. During the six months ended June 30, 2025, there were no conversions of debt into common stock.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there were 202 individual corporate notes outstanding, with an average outstanding principal balance of $0.2 million, interest rates ranging from 8.25% to 12.00%, with a weighted average interest rate of 11.30%, and maturity dates ranging from April 2023 to December 2027.</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issued corporate notes, generally convertible at $151.40 per common share, except for a secured promissory note issued to Mast Hill (the “Mast Hill Note”) in March 2025, which is convertible at $8.25 per common share. Holders may convert all or part of their note principal balance at any time. As of June 30, 2025 and December 31, 2024, the Mast Hill Note had an outstanding principal balance of $1.5 million and $0, respectively, while other convertible corporate notes totaled $0.9 million and $1.1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executed short-term operating loan agreements with an aggregate outstanding balance of $1.4 million. The short-term operating loan agreements incur interest rates ranging from 79.86% to 212.94% and mature from December 31, 2024 to September 2025. In addition, the Company executed insurance premium financing agreements pursuant to which the Company financed certain annual insurance premiums with an aggregate outstanding balance of $0.4 million at June 30, 2025, primarily consisting of premiums for directors' and officers' insurance. The insurance premiums financing agreements incur interest rates ranging from 7.96% to 9.15%, and mature from August 2025 through March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Minimum Payments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principal repayments of the Company’s indebtedness as of June 30, 2025 (in thousands):</w:t>
      </w:r>
    </w:p>
    <w:tbl>
      <w:tblPr>
        <w:tblW w:w="4262"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for the Company was $0.1 million for each of three and six months ended June 30, 2025. Amortization of deferred financing costs for the Company was immaterial during the three and six months ended June 30, 2024. There were no deferred financing cost write-offs during each of the three and six months ended June 30, 2025 and 2024.</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Notes Payable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Notes payable of the consolidated funds consisted of the following as of June 30, 2025 and December 31, 2024, respectively (in thousands):</w:t>
      </w:r>
    </w:p>
    <w:tbl>
      <w:tblPr>
        <w:tblW w:w="10205" w:type="dxa"/>
        <w:jc w:val="left"/>
        <w:tblInd w:w="0" w:type="dxa"/>
        <w:tblLayout w:type="fixed"/>
        <w:tblCellMar>
          <w:top w:w="28" w:type="dxa"/>
          <w:left w:w="28" w:type="dxa"/>
          <w:bottom w:w="28" w:type="dxa"/>
          <w:right w:w="28" w:type="dxa"/>
        </w:tblCellMar>
      </w:tblPr>
      <w:tblGrid>
        <w:gridCol w:w="1305"/>
        <w:gridCol w:w="1072"/>
        <w:gridCol w:w="1074"/>
        <w:gridCol w:w="109"/>
        <w:gridCol w:w="109"/>
        <w:gridCol w:w="109"/>
        <w:gridCol w:w="244"/>
        <w:gridCol w:w="837"/>
        <w:gridCol w:w="126"/>
        <w:gridCol w:w="109"/>
        <w:gridCol w:w="109"/>
        <w:gridCol w:w="109"/>
        <w:gridCol w:w="310"/>
        <w:gridCol w:w="1061"/>
        <w:gridCol w:w="160"/>
        <w:gridCol w:w="109"/>
        <w:gridCol w:w="109"/>
        <w:gridCol w:w="109"/>
        <w:gridCol w:w="403"/>
        <w:gridCol w:w="403"/>
        <w:gridCol w:w="405"/>
        <w:gridCol w:w="109"/>
        <w:gridCol w:w="109"/>
        <w:gridCol w:w="109"/>
        <w:gridCol w:w="461"/>
        <w:gridCol w:w="436"/>
        <w:gridCol w:w="438"/>
        <w:gridCol w:w="162"/>
      </w:tblGrid>
      <w:tr>
        <w:trPr/>
        <w:tc>
          <w:tcPr>
            <w:tcW w:w="130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DoubleTree by Hilton Tucson Convention Center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2025.</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six months ended June 30, 2025, the Company deconsolidated TCC (as discussed in Note 3 – VIEs).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Real Estate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June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DoubleTree by Hilton Tucson Convention Center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2019, the consolidated fund entered into a loan agreement which was secured by a deed of trust and assignment of rents of the DoubleTree by Hilton Tucson Convention Center located in Tucson, Arizona. The loan had a variable interest rate per annum equal to LIBOR plus 2.50%. In connection with the loan, the consolidated fund entered into an interest rate swap agreement, which set the interest at a fixed rate of 4.22% from September 2022 through August 2027. The loan required interest-only payments until September 2022 and principal and interest payments thereafter until maturity. The terms of the loan allowed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prepayment of the outstanding balance in whole or in part at any time prior to the maturity date. The loan matured in August 2027 and was guaranteed by the Company. In May 2024, the consolidated fund terminated the interest rate swap agreement and received $1.6 million. In May 2025, the consolidated fund paid the loan amount outstanding in full.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the consolidated fund entered into a $22.5 million loan agreement which is secured by a deed of trust and assignment of rents of the DoubleTree by Hilton Tucson Convention Center located in Tucson, Arizona. Per the terms of the loan agreement, the loan has a fixed interest rate of 7.43%, matures in June 2030, and requires interest-only payments until maturity. The terms of the loan do not allow the prepayment of the outstanding balance prior to the maturity date but can be prepaid subject to certain conditions and terms outlined in the loan agreement. The loan is not guaranteed by the Company. During the six months ended June 30, 2025, the Company deconsolidated DoubleTree by Hilton Tucson Convention Center (as discussed in Note 3 – VIEs).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Southpointe Fundco,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June 2022, the consolidated fund entered into a loan agreement which is secured by a deed of trust and assignment of rents of a residential development property in Phoenix, Arizona. The loan initially had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August 2024, and March 2025, extension agreements were executed with the lender, extending the maturity date to September 2024, March 2025, and then September 2025, respectively. The terms of the loan allow the prepayment of the outstanding balance in part or in whole at any time prior to the maturity date with no prepayment penalty. The loan is guaranteed by an individual who is an affiliate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West Frontier Holdco,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In April 2025, the loan was converted into a term loan with the interest rate, repayment schedule and prepayment terms remaining the same.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Member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2022 and 2023, the consolidated fund, Southpointe Fundco, LLC, entered into 10.0% unsecured promissory notes with individual investors. The notes mature in December 2025 and require quarterly interest-only payments. The terms of the notes allow the prepayment of the outstanding balance in part or in whole at any time prior to the maturity date with no prepayment penalty.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executed an insurance premium financing agreement pursuant to which the consolidated funds financed certain annual insurance premiums, with an immaterial balance at June 30, 2025, primarily consisting of premiums for directors' and officers' insurance. The insurance premium payable incurs interest at 7.96%, and matures in September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Debt Maturities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future aggregate principal repayments due on the consolidated funds notes payable are as follows (in thousands):</w:t>
      </w:r>
    </w:p>
    <w:tbl>
      <w:tblPr>
        <w:tblW w:w="4262"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for the consolidated funds was immaterial during each of the three and six months ended June 30, 2025, and $0.1 million and $0.4 million during the three and six months ended June 30, 2024, respectively. There were no deferred financing cost write-offs during each of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Related Party Transactions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Related Party Transactions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the total revenues earned for providing services under Platform as described in the Revenue Recognition section of Note 2 – Summary of Significant Accounting Policies for the three and six months ended June 30, 2025 and 2024.</w:t>
      </w:r>
    </w:p>
    <w:tbl>
      <w:tblPr>
        <w:tblW w:w="8749"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related party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amounts due to the Company from related parties for services performed under the Platform was $6.3 million and $6.2 million, respectively, net of allowance for doubtful accounts of $3.3 million and $3.1 million, respectively, which is included in due from related parties on the accompanying condensed consolidated balance sheets.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unsecured promissory notes with related parties. No payments are required prior to the maturity of the notes. The notes may be prepaid in whole, or in part, without penalty.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notes receivable – related parties of the Company as of June 30, 2025 and December 31,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2"/>
        <w:gridCol w:w="1001"/>
        <w:gridCol w:w="1007"/>
        <w:gridCol w:w="109"/>
        <w:gridCol w:w="109"/>
        <w:gridCol w:w="109"/>
        <w:gridCol w:w="331"/>
        <w:gridCol w:w="731"/>
        <w:gridCol w:w="170"/>
        <w:gridCol w:w="109"/>
        <w:gridCol w:w="109"/>
        <w:gridCol w:w="109"/>
        <w:gridCol w:w="443"/>
        <w:gridCol w:w="983"/>
        <w:gridCol w:w="233"/>
        <w:gridCol w:w="109"/>
        <w:gridCol w:w="109"/>
        <w:gridCol w:w="109"/>
        <w:gridCol w:w="446"/>
        <w:gridCol w:w="446"/>
        <w:gridCol w:w="448"/>
        <w:gridCol w:w="109"/>
        <w:gridCol w:w="109"/>
        <w:gridCol w:w="109"/>
        <w:gridCol w:w="446"/>
        <w:gridCol w:w="440"/>
        <w:gridCol w:w="630"/>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Olathe Behavioral Health MezzCo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Encore Caliber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2027</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DFW Behavioral Health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Blue Spruce Ridge MezzCo,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Ridge MezzCo,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Ridge II MezzCo,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Ironwood 92 Partners LLC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Ketch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SF Alaska, LP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As of June 30, 2025.</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Company entered into unsecured promissory notes with related parties which were repaid or impaired during the six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the Company earned an immaterial amount of interest in connection with the notes, which is included in interest income on the accompanying condensed consolidated statements of operations. Interest that accrues on certain related party notes receivable can be added to the principal outstanding balance, due at the respective loan maturity date and incurs interest at the respective interest rate. There was an immaterial amount of interest due to the Company as of June 30, 2025 and December 31,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June 30, 2025 notes receivable - related parties balance above is net of a $0.3 million allowance for doubtful accounts. There was no allowance at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June 30, 2025 and December 31, 2024, other amounts due from related parties was $0.8 million and $0.8 million, respectively, net of allowance for doubtful accounts at both June 30, 2025 and December 31, 2024 of $0.9 million, and are included in due from related parties on the accompanying condensed consolidated balance sheets. As of June 30, 2025 and December 31, 2024, other amounts due to related parties from the Company were $0.5 million and $0.3 million, respectively, which are included in due to related parties on the accompanying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Related Party Transactions of the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entered into unsecured promissory notes with related parties. The notes may be repaid in whole, or in part, without penalty. The notes receivable – related parties consisted of the following as of June 30, 2025 and December 31, 2024 (in thousands):</w:t>
      </w:r>
    </w:p>
    <w:tbl>
      <w:tblPr>
        <w:tblW w:w="10205" w:type="dxa"/>
        <w:jc w:val="left"/>
        <w:tblInd w:w="0" w:type="dxa"/>
        <w:tblLayout w:type="fixed"/>
        <w:tblCellMar>
          <w:top w:w="28" w:type="dxa"/>
          <w:left w:w="28" w:type="dxa"/>
          <w:bottom w:w="28" w:type="dxa"/>
          <w:right w:w="28" w:type="dxa"/>
        </w:tblCellMar>
      </w:tblPr>
      <w:tblGrid>
        <w:gridCol w:w="1166"/>
        <w:gridCol w:w="1022"/>
        <w:gridCol w:w="1028"/>
        <w:gridCol w:w="109"/>
        <w:gridCol w:w="109"/>
        <w:gridCol w:w="109"/>
        <w:gridCol w:w="332"/>
        <w:gridCol w:w="734"/>
        <w:gridCol w:w="171"/>
        <w:gridCol w:w="109"/>
        <w:gridCol w:w="109"/>
        <w:gridCol w:w="109"/>
        <w:gridCol w:w="374"/>
        <w:gridCol w:w="1097"/>
        <w:gridCol w:w="195"/>
        <w:gridCol w:w="109"/>
        <w:gridCol w:w="109"/>
        <w:gridCol w:w="109"/>
        <w:gridCol w:w="434"/>
        <w:gridCol w:w="434"/>
        <w:gridCol w:w="436"/>
        <w:gridCol w:w="109"/>
        <w:gridCol w:w="109"/>
        <w:gridCol w:w="109"/>
        <w:gridCol w:w="430"/>
        <w:gridCol w:w="430"/>
        <w:gridCol w:w="614"/>
      </w:tblGrid>
      <w:tr>
        <w:trPr/>
        <w:tc>
          <w:tcPr>
            <w:tcW w:w="116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Interest Rate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Maturity Date</w:t>
            </w:r>
            <w:r>
              <w:rPr>
                <w:rFonts w:ascii="Times New Roman;serif" w:hAnsi="Times New Roman;serif"/>
                <w:b/>
                <w:color w:val="000000"/>
                <w:sz w:val="13"/>
              </w:rPr>
              <w:t>(1)</w:t>
            </w:r>
          </w:p>
        </w:tc>
      </w:tr>
      <w:tr>
        <w:trPr/>
        <w:tc>
          <w:tcPr>
            <w:tcW w:w="3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Caliber Hospitality, LP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Elliot &amp; 51st Street,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2026</w:t>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2025.</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six months ended June 30, 2025, the Company deconsolidated TCC (as discussed in Note 3 – VIEs), who is the lender of a promissory note with Caliber Hospitality, 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funds did not earn interest in connection with the notes during each of the three and six months ended June 30, 2025. During the three and six months ended June 30, 2024, the consolidated funds earned $1.6 million and $2.6 million, respectively, of interest in connection with the notes, which is included in consolidated funds – other revenues on the accompanying condensed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Interest due to the consolidated funds was $0.2 million and $0.3 million as of June 30, 2025 and December 31, 2024, respectively, which is included in prepaid and other assets on the accompanying condensed consolidated balance sheets.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June 30, 2025 and December 31, 2024, the consolidated funds had a note payable outstanding of $2.2 million and $2.0 million, respectively, to CFIF III. The note has a fixed interest rate of 13.00% and matures in September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June 30, 2025, the consolidated funds incurred $0.1 million of interest expense in connection with the notes payable – related parties, which is included in consolidated funds - hospitality expenses and consolidated funds - other expenses on the accompanying condensed consolidated statements of operations. An immaterial amount and $0.3 million of interest expense was incurred by the consolidated funds during the three and six months ended June 30, 2024, respectively, which is included in consolidated funds - hospitality expenses and consolidated funds - other expenses on the accompanying condensed consolidated statements of operations. No interest was payable as of June 30, 2025 and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June 30, 2025, no other amounts were due from related parties. As of December 31, 2024, there were an immaterial amount of other amounts due from related parties, which is included in prepaid and other assets on the accompanying condensed consolidated balance sheets. As of June 30, 2025 and December 31, 2024, there was an immaterial amount and $0.1 million, respectively, of other amounts due to related parties, which is included in due to related parties on the accompanying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Leases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Lessor -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Rental revenue of the Company includes the revenues generated by the rental operations of one commercial office property. As of June 30, 2025, the leases have non-cancelable remaining lease terms from 0.7 years to 9.0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June 30, 2025, the Company does not have any material related party leases as a lessor. The components of rental revenue of the Company for the three and six months ended June 30, 2025 and 2024, are presented in the table below (in thousands). Variable rental revenue is primarily costs reimbursed related to common area maintenance.</w:t>
      </w:r>
    </w:p>
    <w:tbl>
      <w:tblPr>
        <w:tblW w:w="6227" w:type="dxa"/>
        <w:jc w:val="left"/>
        <w:tblInd w:w="0" w:type="dxa"/>
        <w:tblLayout w:type="fixed"/>
        <w:tblCellMar>
          <w:top w:w="28" w:type="dxa"/>
          <w:left w:w="28" w:type="dxa"/>
          <w:bottom w:w="28" w:type="dxa"/>
          <w:right w:w="28" w:type="dxa"/>
        </w:tblCellMar>
      </w:tblPr>
      <w:tblGrid>
        <w:gridCol w:w="309"/>
        <w:gridCol w:w="271"/>
        <w:gridCol w:w="275"/>
        <w:gridCol w:w="291"/>
        <w:gridCol w:w="644"/>
        <w:gridCol w:w="150"/>
        <w:gridCol w:w="150"/>
        <w:gridCol w:w="150"/>
        <w:gridCol w:w="150"/>
        <w:gridCol w:w="291"/>
        <w:gridCol w:w="644"/>
        <w:gridCol w:w="150"/>
        <w:gridCol w:w="109"/>
        <w:gridCol w:w="109"/>
        <w:gridCol w:w="109"/>
        <w:gridCol w:w="244"/>
        <w:gridCol w:w="540"/>
        <w:gridCol w:w="126"/>
        <w:gridCol w:w="126"/>
        <w:gridCol w:w="126"/>
        <w:gridCol w:w="126"/>
        <w:gridCol w:w="244"/>
        <w:gridCol w:w="715"/>
        <w:gridCol w:w="17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due to the Company under non-cancellable operating leases over the next five years and thereafter as of June 30, 2025, are as follows (in thousands): </w:t>
      </w:r>
    </w:p>
    <w:tbl>
      <w:tblPr>
        <w:tblW w:w="4157"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61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Lessor -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Rental revenue of the consolidated funds includes the revenues generated primarily by the rental operations of one multi-family residential property and one commercial property which was deconsolidated during the year ended December 31, 2024. As of June 30, 2025, the leases have non-cancelable remaining lease terms from 0.1 years to 1.2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June 30, 2025, the consolidated funds do not have any material related party leases as a lessor. The components of rental revenue of the consolidated funds for the three and six months ended June 30, 2025 and 2024, are presented in the table below (in thousands). Variable rental revenue are primarily costs reimbursed related to common area maintenance.</w:t>
      </w:r>
    </w:p>
    <w:tbl>
      <w:tblPr>
        <w:tblW w:w="6228" w:type="dxa"/>
        <w:jc w:val="left"/>
        <w:tblInd w:w="0" w:type="dxa"/>
        <w:tblLayout w:type="fixed"/>
        <w:tblCellMar>
          <w:top w:w="28" w:type="dxa"/>
          <w:left w:w="28" w:type="dxa"/>
          <w:bottom w:w="28" w:type="dxa"/>
          <w:right w:w="28" w:type="dxa"/>
        </w:tblCellMar>
      </w:tblPr>
      <w:tblGrid>
        <w:gridCol w:w="309"/>
        <w:gridCol w:w="271"/>
        <w:gridCol w:w="275"/>
        <w:gridCol w:w="291"/>
        <w:gridCol w:w="644"/>
        <w:gridCol w:w="150"/>
        <w:gridCol w:w="150"/>
        <w:gridCol w:w="150"/>
        <w:gridCol w:w="150"/>
        <w:gridCol w:w="291"/>
        <w:gridCol w:w="644"/>
        <w:gridCol w:w="150"/>
        <w:gridCol w:w="109"/>
        <w:gridCol w:w="109"/>
        <w:gridCol w:w="109"/>
        <w:gridCol w:w="263"/>
        <w:gridCol w:w="582"/>
        <w:gridCol w:w="136"/>
        <w:gridCol w:w="136"/>
        <w:gridCol w:w="136"/>
        <w:gridCol w:w="136"/>
        <w:gridCol w:w="263"/>
        <w:gridCol w:w="582"/>
        <w:gridCol w:w="192"/>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due to the consolidated funds under non-cancellable operating leases over the next five years and thereafter as of June 30, 2025, are as follows (in thousands): </w:t>
      </w:r>
    </w:p>
    <w:tbl>
      <w:tblPr>
        <w:tblW w:w="4007"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6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Other Liabilities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Liabilities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liabilities of the Company consisted of the following as of June 30, 2025 and December 31, 2024 (in thousands):</w:t>
      </w:r>
    </w:p>
    <w:tbl>
      <w:tblPr>
        <w:tblW w:w="6055" w:type="dxa"/>
        <w:jc w:val="left"/>
        <w:tblInd w:w="0" w:type="dxa"/>
        <w:tblLayout w:type="fixed"/>
        <w:tblCellMar>
          <w:top w:w="28" w:type="dxa"/>
          <w:left w:w="28" w:type="dxa"/>
          <w:bottom w:w="28" w:type="dxa"/>
          <w:right w:w="28" w:type="dxa"/>
        </w:tblCellMar>
      </w:tblPr>
      <w:tblGrid>
        <w:gridCol w:w="970"/>
        <w:gridCol w:w="854"/>
        <w:gridCol w:w="861"/>
        <w:gridCol w:w="287"/>
        <w:gridCol w:w="839"/>
        <w:gridCol w:w="148"/>
        <w:gridCol w:w="109"/>
        <w:gridCol w:w="109"/>
        <w:gridCol w:w="109"/>
        <w:gridCol w:w="448"/>
        <w:gridCol w:w="992"/>
        <w:gridCol w:w="329"/>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w:t>
            </w:r>
            <w:r>
              <w:rPr>
                <w:rFonts w:ascii="Times New Roman;serif" w:hAnsi="Times New Roman;serif"/>
                <w:b w:val="false"/>
                <w:color w:val="000000"/>
                <w:sz w:val="13"/>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 allowance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tenant security deposits.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Other Liabilities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liabilities of the consolidated funds consisted of the following as of June 30, 2025 and December 31, 2024 (in thousands):</w:t>
      </w:r>
    </w:p>
    <w:tbl>
      <w:tblPr>
        <w:tblW w:w="5215" w:type="dxa"/>
        <w:jc w:val="left"/>
        <w:tblInd w:w="0" w:type="dxa"/>
        <w:tblLayout w:type="fixed"/>
        <w:tblCellMar>
          <w:top w:w="28" w:type="dxa"/>
          <w:left w:w="28" w:type="dxa"/>
          <w:bottom w:w="28" w:type="dxa"/>
          <w:right w:w="28" w:type="dxa"/>
        </w:tblCellMar>
      </w:tblPr>
      <w:tblGrid>
        <w:gridCol w:w="668"/>
        <w:gridCol w:w="586"/>
        <w:gridCol w:w="590"/>
        <w:gridCol w:w="395"/>
        <w:gridCol w:w="676"/>
        <w:gridCol w:w="204"/>
        <w:gridCol w:w="109"/>
        <w:gridCol w:w="109"/>
        <w:gridCol w:w="109"/>
        <w:gridCol w:w="448"/>
        <w:gridCol w:w="992"/>
        <w:gridCol w:w="329"/>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w:t>
            </w:r>
            <w:r>
              <w:rPr>
                <w:rFonts w:ascii="Times New Roman;serif" w:hAnsi="Times New Roman;serif"/>
                <w:b w:val="false"/>
                <w:color w:val="000000"/>
                <w:sz w:val="13"/>
              </w:rPr>
              <w:t>(1)</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hotel advance deposits and tenant security and pet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Supplemental Cash Flow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consisted of the following for the six months ended June 30, 2025 and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39"/>
        <w:gridCol w:w="2362"/>
        <w:gridCol w:w="2374"/>
        <w:gridCol w:w="109"/>
        <w:gridCol w:w="109"/>
        <w:gridCol w:w="109"/>
        <w:gridCol w:w="215"/>
        <w:gridCol w:w="630"/>
        <w:gridCol w:w="111"/>
        <w:gridCol w:w="111"/>
        <w:gridCol w:w="111"/>
        <w:gridCol w:w="111"/>
        <w:gridCol w:w="215"/>
        <w:gridCol w:w="738"/>
        <w:gridCol w:w="161"/>
      </w:tblGrid>
      <w:tr>
        <w:trPr/>
        <w:tc>
          <w:tcPr>
            <w:tcW w:w="273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 none of which was capitalized for the six months ended June 30,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Non-cash bonus settlement via employee accounts receivable offset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capitalized interest of $2 for each of the six months ended June 30,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note receivable - related party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 - related party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investments in unconsolidated entities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for investor buy-out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included in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lieu of cash payment for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note rollovers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corporate note to preferred stock, including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note increase due to rollovers,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convertible note and related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note receivable - related party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notes receivable - related party due to payment of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 payable - non-cash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6260" w:type="dxa"/>
        <w:jc w:val="left"/>
        <w:tblInd w:w="0" w:type="dxa"/>
        <w:tblLayout w:type="fixed"/>
        <w:tblCellMar>
          <w:top w:w="28" w:type="dxa"/>
          <w:left w:w="28" w:type="dxa"/>
          <w:bottom w:w="28" w:type="dxa"/>
          <w:right w:w="28" w:type="dxa"/>
        </w:tblCellMar>
      </w:tblPr>
      <w:tblGrid>
        <w:gridCol w:w="1222"/>
        <w:gridCol w:w="1074"/>
        <w:gridCol w:w="1078"/>
        <w:gridCol w:w="109"/>
        <w:gridCol w:w="109"/>
        <w:gridCol w:w="109"/>
        <w:gridCol w:w="211"/>
        <w:gridCol w:w="721"/>
        <w:gridCol w:w="109"/>
        <w:gridCol w:w="109"/>
        <w:gridCol w:w="109"/>
        <w:gridCol w:w="109"/>
        <w:gridCol w:w="211"/>
        <w:gridCol w:w="82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Commitments and Contingencies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does not know of any existing environmental condition nor has the Company been notified by any governmental authority of any non-compliance, liability or other claim, in each case, that could result in a material effect on the Company’s financial condition or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Caliber Tax Advantaged Opportunity Fund 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June 30, 2025 and December 31, 2024, the Company estimated the fair value of CTAF was less than the 6% IRR for the limited partners.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Caliber Tax Advantaged Opportunity Fund II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June 30, 2025 and December 31, 2024, the Company estimated the fair value of CTAF II was less than the 6% IRR for the investor members.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Commitments and Contingencies of the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Franchise Agreements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funds which were consolidated during the three and six months ended June 30, 2025 and 2024, were parties to franchise agreements where the fund is required to pay monthly fees, generally consisting of royalty, program, and food and beverage fees. At June 30, 2025, the consolidated funds were not party to any franchise agreements. During the three and six months ended June 30, 2025, the consolidated funds recognized total franchise fees of $0.1 million and $0.4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and during the three and six months ended June 30, 2024, the consolidated funds recognized total franchise fees of $0.2 million, and $2.6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 Net Income (Loss)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by dividing net income (loss) attributable to common stockholders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considered the two-class method in calculating the basic and diluted earnings per share; however, it was determined there was no impact to the calculation of basic and diluted net income (loss) per share attributable to common shareholders as Class A and Class B common stock share in the same earnings and profits; thus, having no impact on the calculation.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earnings per share calculation and dilutive share calculations below have been effected for the Reverse Stock Split, retroactively, for all periods presented.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calculated the basic and diluted earnings per share during the three and six months ended June 30, 2025 and 2024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816"/>
        <w:gridCol w:w="1562"/>
        <w:gridCol w:w="1571"/>
        <w:gridCol w:w="229"/>
        <w:gridCol w:w="741"/>
        <w:gridCol w:w="118"/>
        <w:gridCol w:w="118"/>
        <w:gridCol w:w="118"/>
        <w:gridCol w:w="118"/>
        <w:gridCol w:w="229"/>
        <w:gridCol w:w="741"/>
        <w:gridCol w:w="118"/>
        <w:gridCol w:w="109"/>
        <w:gridCol w:w="109"/>
        <w:gridCol w:w="109"/>
        <w:gridCol w:w="213"/>
        <w:gridCol w:w="685"/>
        <w:gridCol w:w="109"/>
        <w:gridCol w:w="109"/>
        <w:gridCol w:w="109"/>
        <w:gridCol w:w="109"/>
        <w:gridCol w:w="213"/>
        <w:gridCol w:w="685"/>
        <w:gridCol w:w="167"/>
      </w:tblGrid>
      <w:tr>
        <w:trPr/>
        <w:tc>
          <w:tcPr>
            <w:tcW w:w="181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8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CaliberCos Inc.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interest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of CaliberCos Inc.</w:t>
            </w:r>
          </w:p>
        </w:tc>
        <w:tc>
          <w:tcPr>
            <w:tcW w:w="22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w:t>
            </w:r>
          </w:p>
        </w:tc>
        <w:tc>
          <w:tcPr>
            <w:tcW w:w="1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w:t>
            </w:r>
          </w:p>
        </w:tc>
        <w:tc>
          <w:tcPr>
            <w:tcW w:w="1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w:t>
            </w:r>
          </w:p>
        </w:tc>
        <w:tc>
          <w:tcPr>
            <w:tcW w:w="16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08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shareholders</w:t>
            </w:r>
          </w:p>
        </w:tc>
        <w:tc>
          <w:tcPr>
            <w:tcW w:w="229"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18" w:type="dxa"/>
            <w:tcBorders>
              <w:bottom w:val="double" w:sz="8" w:space="0" w:color="000000"/>
            </w:tcBorders>
            <w:shd w:fill="CCED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18" w:type="dxa"/>
            <w:tcBorders>
              <w:bottom w:val="double" w:sz="8" w:space="0" w:color="000000"/>
            </w:tcBorders>
            <w:shd w:fill="CCED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9" w:type="dxa"/>
            <w:tcBorders>
              <w:bottom w:val="double" w:sz="8" w:space="0" w:color="000000"/>
            </w:tcBorders>
            <w:shd w:fill="CCED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67" w:type="dxa"/>
            <w:tcBorders>
              <w:bottom w:val="double" w:sz="8" w:space="0" w:color="000000"/>
            </w:tcBorders>
            <w:shd w:fill="CCED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 xml:space="preserve">The number of antidilutive shares </w:t>
      </w:r>
      <w:r>
        <w:rPr>
          <w:rFonts w:ascii="Times New Roman;serif" w:hAnsi="Times New Roman;serif"/>
          <w:b w:val="false"/>
          <w:color w:val="000000"/>
          <w:sz w:val="20"/>
          <w:shd w:fill="FFFFFF" w:val="clear"/>
        </w:rPr>
        <w:t xml:space="preserve">consisted of the potential exercise of stock options and warrants, as well as the potential conversion of preferred shares and convertible debt. The following table summarizes these potential exercises and conversions during the </w:t>
      </w:r>
      <w:r>
        <w:rPr>
          <w:rFonts w:ascii="Times New Roman;serif" w:hAnsi="Times New Roman;serif"/>
          <w:b w:val="false"/>
          <w:color w:val="000000"/>
          <w:sz w:val="20"/>
        </w:rPr>
        <w:t>three and six months ended June 30, 2025 and 2024</w:t>
      </w:r>
      <w:r>
        <w:rPr>
          <w:rFonts w:ascii="Times New Roman;serif" w:hAnsi="Times New Roman;serif"/>
          <w:b w:val="false"/>
          <w:color w:val="000000"/>
          <w:sz w:val="20"/>
          <w:shd w:fill="FFFFFF" w:val="clear"/>
        </w:rPr>
        <w:t>, which h</w:t>
      </w:r>
      <w:r>
        <w:rPr>
          <w:rFonts w:ascii="Times New Roman;serif" w:hAnsi="Times New Roman;serif"/>
          <w:b w:val="false"/>
          <w:color w:val="000000"/>
          <w:sz w:val="20"/>
        </w:rPr>
        <w:t>ave been excluded from the computation of diluted earnings per share attributable to common shareholders (in thousands):</w:t>
      </w:r>
    </w:p>
    <w:tbl>
      <w:tblPr>
        <w:tblW w:w="10205" w:type="dxa"/>
        <w:jc w:val="left"/>
        <w:tblInd w:w="0" w:type="dxa"/>
        <w:tblLayout w:type="fixed"/>
        <w:tblCellMar>
          <w:top w:w="28" w:type="dxa"/>
          <w:left w:w="28" w:type="dxa"/>
          <w:bottom w:w="28" w:type="dxa"/>
          <w:right w:w="28" w:type="dxa"/>
        </w:tblCellMar>
      </w:tblPr>
      <w:tblGrid>
        <w:gridCol w:w="1790"/>
        <w:gridCol w:w="1572"/>
        <w:gridCol w:w="1581"/>
        <w:gridCol w:w="291"/>
        <w:gridCol w:w="284"/>
        <w:gridCol w:w="281"/>
        <w:gridCol w:w="281"/>
        <w:gridCol w:w="281"/>
        <w:gridCol w:w="281"/>
        <w:gridCol w:w="291"/>
        <w:gridCol w:w="282"/>
        <w:gridCol w:w="281"/>
        <w:gridCol w:w="109"/>
        <w:gridCol w:w="109"/>
        <w:gridCol w:w="109"/>
        <w:gridCol w:w="258"/>
        <w:gridCol w:w="255"/>
        <w:gridCol w:w="250"/>
        <w:gridCol w:w="250"/>
        <w:gridCol w:w="250"/>
        <w:gridCol w:w="250"/>
        <w:gridCol w:w="258"/>
        <w:gridCol w:w="252"/>
        <w:gridCol w:w="359"/>
      </w:tblGrid>
      <w:tr>
        <w:trPr/>
        <w:tc>
          <w:tcPr>
            <w:tcW w:w="179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stock options were exercised</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warrants were exercised</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preferred shares were converted</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convertible debt were converted</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Fair Value of Financial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of Financial Instruments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values of financial instruments held by the Company are estimated using available market information and established valuation methodologies. Accordingly, the estimates presented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pPr>
      <w:r>
        <w:rPr>
          <w:rFonts w:ascii="Times New Roman;serif" w:hAnsi="Times New Roman;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Company’s variable rate and short-term debt as of June 30, 2025 and December 31, 2024, approximated fair value. The fair value of the Company’s fixed rate debt were measured with</w:t>
      </w:r>
      <w:r>
        <w:rPr>
          <w:color w:val="000000"/>
          <w:shd w:fill="FFFFFF" w:val="clear"/>
        </w:rPr>
        <w:t xml:space="preserve"> </w:t>
      </w:r>
      <w:r>
        <w:rPr>
          <w:rFonts w:ascii="Times New Roman;serif" w:hAnsi="Times New Roman;serif"/>
          <w:b w:val="false"/>
          <w:color w:val="000000"/>
          <w:sz w:val="20"/>
          <w:shd w:fill="FFFFFF" w:val="clear"/>
        </w:rPr>
        <w:t xml:space="preserve">Level 2 inputs. The estimated fair value of the Company’s instruments below were determined by management based on a discounted future cash-flow model (in thousands): </w:t>
      </w:r>
    </w:p>
    <w:p>
      <w:pPr>
        <w:pStyle w:val="TextBody"/>
        <w:bidi w:val="0"/>
        <w:spacing w:before="0" w:after="0"/>
        <w:jc w:val="both"/>
        <w:rPr/>
      </w:pPr>
      <w:r>
        <w:rPr/>
      </w:r>
    </w:p>
    <w:tbl>
      <w:tblPr>
        <w:tblW w:w="7616" w:type="dxa"/>
        <w:jc w:val="left"/>
        <w:tblInd w:w="0" w:type="dxa"/>
        <w:tblLayout w:type="fixed"/>
        <w:tblCellMar>
          <w:top w:w="28" w:type="dxa"/>
          <w:left w:w="28" w:type="dxa"/>
          <w:bottom w:w="28" w:type="dxa"/>
          <w:right w:w="28" w:type="dxa"/>
        </w:tblCellMar>
      </w:tblPr>
      <w:tblGrid>
        <w:gridCol w:w="761"/>
        <w:gridCol w:w="668"/>
        <w:gridCol w:w="67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Saddleback Ranch,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of Financial Instruments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consolidated funds’ variable rate and short-term debt as of June 30, 2025 and December 31, 2024, approximated fair value. The fair value of the consolidated funds’ fixed rate debt were measured with Level 2 inputs. The estimated fair values for the consolidated funds’ instruments below were determined by management based on a discounted future cash-flow model (in thousands):</w:t>
      </w:r>
    </w:p>
    <w:tbl>
      <w:tblPr>
        <w:tblW w:w="7514" w:type="dxa"/>
        <w:jc w:val="left"/>
        <w:tblInd w:w="0" w:type="dxa"/>
        <w:tblLayout w:type="fixed"/>
        <w:tblCellMar>
          <w:top w:w="28" w:type="dxa"/>
          <w:left w:w="28" w:type="dxa"/>
          <w:bottom w:w="28" w:type="dxa"/>
          <w:right w:w="28" w:type="dxa"/>
        </w:tblCellMar>
      </w:tblPr>
      <w:tblGrid>
        <w:gridCol w:w="816"/>
        <w:gridCol w:w="716"/>
        <w:gridCol w:w="718"/>
        <w:gridCol w:w="109"/>
        <w:gridCol w:w="109"/>
        <w:gridCol w:w="109"/>
        <w:gridCol w:w="211"/>
        <w:gridCol w:w="616"/>
        <w:gridCol w:w="109"/>
        <w:gridCol w:w="109"/>
        <w:gridCol w:w="109"/>
        <w:gridCol w:w="109"/>
        <w:gridCol w:w="230"/>
        <w:gridCol w:w="671"/>
        <w:gridCol w:w="118"/>
        <w:gridCol w:w="109"/>
        <w:gridCol w:w="109"/>
        <w:gridCol w:w="109"/>
        <w:gridCol w:w="211"/>
        <w:gridCol w:w="616"/>
        <w:gridCol w:w="109"/>
        <w:gridCol w:w="109"/>
        <w:gridCol w:w="109"/>
        <w:gridCol w:w="109"/>
        <w:gridCol w:w="229"/>
        <w:gridCol w:w="669"/>
        <w:gridCol w:w="167"/>
      </w:tblGrid>
      <w:tr>
        <w:trPr/>
        <w:tc>
          <w:tcPr>
            <w:tcW w:w="8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 Derivative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 Management Objective of Using Derivatives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utilize derivative instruments, including interest rate caps and swaps, to reduce interest rate risk associated with its borrowings. The consolidated funds do not intend to utilize derivatives for purposes other than interest rate risk management.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Derivatives Designated as Hedging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consolidated funds did not have any derivatives designated as hedging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consolidated funds did not have any non-designated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consolidated funds’ gain or loss recognized in consolidated funds - hospitality expenses in the accompanying condensed consolidated statements of operations for three and six months ended June 30, 2025 and 2024 (in thousands):</w:t>
      </w:r>
    </w:p>
    <w:tbl>
      <w:tblPr>
        <w:tblW w:w="10205" w:type="dxa"/>
        <w:jc w:val="left"/>
        <w:tblInd w:w="0" w:type="dxa"/>
        <w:tblLayout w:type="fixed"/>
        <w:tblCellMar>
          <w:top w:w="28" w:type="dxa"/>
          <w:left w:w="28" w:type="dxa"/>
          <w:bottom w:w="28" w:type="dxa"/>
          <w:right w:w="28" w:type="dxa"/>
        </w:tblCellMar>
      </w:tblPr>
      <w:tblGrid>
        <w:gridCol w:w="562"/>
        <w:gridCol w:w="494"/>
        <w:gridCol w:w="496"/>
        <w:gridCol w:w="109"/>
        <w:gridCol w:w="109"/>
        <w:gridCol w:w="109"/>
        <w:gridCol w:w="1005"/>
        <w:gridCol w:w="969"/>
        <w:gridCol w:w="971"/>
        <w:gridCol w:w="109"/>
        <w:gridCol w:w="109"/>
        <w:gridCol w:w="109"/>
        <w:gridCol w:w="279"/>
        <w:gridCol w:w="536"/>
        <w:gridCol w:w="143"/>
        <w:gridCol w:w="143"/>
        <w:gridCol w:w="143"/>
        <w:gridCol w:w="143"/>
        <w:gridCol w:w="279"/>
        <w:gridCol w:w="616"/>
        <w:gridCol w:w="143"/>
        <w:gridCol w:w="109"/>
        <w:gridCol w:w="109"/>
        <w:gridCol w:w="109"/>
        <w:gridCol w:w="257"/>
        <w:gridCol w:w="494"/>
        <w:gridCol w:w="132"/>
        <w:gridCol w:w="132"/>
        <w:gridCol w:w="132"/>
        <w:gridCol w:w="132"/>
        <w:gridCol w:w="257"/>
        <w:gridCol w:w="568"/>
        <w:gridCol w:w="198"/>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5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55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cap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six months ended June 30, 2024, the interest rate swap was terminated.</w:t>
      </w:r>
    </w:p>
    <w:p>
      <w:pPr>
        <w:pStyle w:val="TextBody"/>
        <w:bidi w:val="0"/>
        <w:spacing w:lineRule="auto" w:line="288" w:before="0" w:after="0"/>
        <w:ind w:left="0" w:right="0" w:hanging="27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six months ended June 30, 2024, the Company deconsolidated Caliber Hospitality, LP and the Caliber Hospitality Trust, which included activity from six hospitality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15 – Preferred Stock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Series A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Company entered in to an offering agreement to issue up to $15.0 million, of Series A Convertible Preferred Stock (“Series A Preferred”) and warrants to purchase its Class A Common Stock, with a stated value of $400 per share and a 12% annual, non-cumulative dividend payable annually in cash or shares of Class A Common Stock, at the Company’s discretion.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Series A Preferred is convertible anytime at the option of the stockholder, in four sequential tranches. Each tranche allows the stockholder to convert up to 25% of its initial investment, beginning at a conversion price $10.23 per share of Class A Common Stock, and increasing in 50% increments for each successive tranche. Each tranche of Series A Preferred is mandatorily convertible if the market price of the Class A Common Stock is 200% higher than any respective tranche’s conversion price for 20 of 30 consecutive trading days.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Company had 5,875 and 5,000 shares, respectively, of its Series A Preferred stock issued and outstanding, representing additional paid-in capital of $2.4 million and $2.0 million,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Series AA cumulative redeemable preferred stock (Reg A+) - Liability classified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qualified its preferred stock series AA financing, registered under regulation A+, with the SEC in March 2025. The Company is authorized to issue up to 800,000 shares of the Series AA Cumulative Redeemable Preferred Stock (“Series AA Preferred”) for gross proceeds of $20.0 million. The Series AA Preferred shares have a stated value of $25 per share and a cumulative monthly cash dividend equal to 9.5% per annum. If the Company does not make an interest payment within 30 days after an unpaid month, it goes into default. In the event of default, the cash dividend rate increases to 18% per annum until cured.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Holders of the Series AA Preferred may elect to convert all or any portion of their preferred stock to equivalent shares of Class A Common Stock, after the third anniversary. The Company can redeem the Series AA Preferred at any time at no cost. The stockholder can redeem at any time as well; however, if redeemed in year one, two, or three, the redemption would be subject to a 10%, 8%, or 6% redemption fee, respectively. Redemption of the Series AA Preferred at stated value is mandatory on the third anniversary of the issuance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AA Preferred is classified as a liability on the condensed consolidated balance sheet, rather than in shareholders’ equity, due to its contractual obligation to redeem the shares for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36,770 shares of its Series AA Preferred issued and outstanding, representing funds raised to date of $0.8 million, net of issuance costs. No shares were issued prior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Prior to the Reverse Stock Split, the Company had warrants outstanding to purchase a total of 2,201,123 shares of Class A common stock, at weighted average exercise price of $0.96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Reverse Stock Split, and pursuant to the terms of the applicable warrant agreement, the number of warrants outstanding to purchase a share of Class A Common Stock was proportionately decreased at a 20:1 ratio consistent with the increase 20:1 increase in the price of a share of Class A Common Stock. There was no change to the value of the warrant as a result of this adjustment.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below warrant disclosure has been effected for the Reverse Stock Split.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issues warrants for the purchase of its Class A Common Stock, either as stand-alone transactions or combined with other debt and/or equity instruments. The warrants may be exercised up to the fifth anniversary of their origination date and transferred independently at any time. Using the Black-Scholes model, the Company estimates the relative fair value of warrants on the date of issuance. The relative fair value of warrants is included in Paid-in capital on the condensed consolidated balance sheets. At June 30, 2025 and December 31, 2024, the Company had warrants outstanding to purchase 139,040 and 52,943 shares of Class A Common Stock, respectively, with a weighted average exercise price per share of $18.00 and $16.41, respectively, and weighted average remaining exercise periods of 4.6 and 4.7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through one operating segment, its asset management platform which it refers to simply as “Platform”. The Company’s chief operating decision maker (“CODM”) is its Chief Executive Officer, John C. Loeffler. The Company’s CODM assesses performance and allocates resources based on the results of Platform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assesses revenue, operating costs and key operating statistics to evaluate performance and allocate resources on a basis that eliminates the impact of the consolidated funds (intercompany eliminations required by U.S. GAAP) and noncontrolling interests. Operating costs consist primarily of payroll related costs that are provided quarterly to the CODM. Platform payroll and payroll related costs were $3.1 million and $4.9 million for the three months ended June 30, 2025 and 2024, respectively, and $6.8 million and $9.7 million for the six months ended June 30, 2025 and 2024, respectively. Management concluded that the consolidated funds do not meet the requirements in ASC 280, Segment Reporting, of operating segments, as the Company’s CODM does not review, nor is he provided with the operating results of these consolidated funds for the purposes of allocating resources, assessing performance or determining whether additional investments or advances will be made to these funds. The consolidated funds are consolidated based on the requirement in ASC 810, Consolidation, as the Company was determined to be the primary beneficiary of each of these variable interest entities since the Company has the power to direct the activities of the entities and the right to absorb losses, generally in the form of guarantees of indebtedness that are significant to the individual investment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total Platform revenues were $4.1 million and $4.2 million, respectively, representing a period-over-period decrease of 2.0%. For the six months ended June 30, 2025 and 2024, total Platform revenues were $7.7 million and $8.9 million, respectively, representing a period-over-period decrease of 14.1%. The tables below compare the revenues earned for providing services under the Company’s asset management Platform as described in the Revenue Recognition section of Note 2 – Summary of Significant Accounting Policies for the three and six months ended June 30, 2025, to the revenues earned for the same period in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8461" w:type="dxa"/>
        <w:jc w:val="left"/>
        <w:tblInd w:w="0" w:type="dxa"/>
        <w:tblLayout w:type="fixed"/>
        <w:tblCellMar>
          <w:top w:w="28" w:type="dxa"/>
          <w:left w:w="28" w:type="dxa"/>
          <w:bottom w:w="28" w:type="dxa"/>
          <w:right w:w="28" w:type="dxa"/>
        </w:tblCellMar>
      </w:tblPr>
      <w:tblGrid>
        <w:gridCol w:w="1080"/>
        <w:gridCol w:w="947"/>
        <w:gridCol w:w="958"/>
        <w:gridCol w:w="211"/>
        <w:gridCol w:w="616"/>
        <w:gridCol w:w="109"/>
        <w:gridCol w:w="109"/>
        <w:gridCol w:w="109"/>
        <w:gridCol w:w="109"/>
        <w:gridCol w:w="691"/>
        <w:gridCol w:w="1576"/>
        <w:gridCol w:w="358"/>
        <w:gridCol w:w="109"/>
        <w:gridCol w:w="109"/>
        <w:gridCol w:w="109"/>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61" w:type="dxa"/>
        <w:jc w:val="left"/>
        <w:tblInd w:w="0" w:type="dxa"/>
        <w:tblLayout w:type="fixed"/>
        <w:tblCellMar>
          <w:top w:w="28" w:type="dxa"/>
          <w:left w:w="28" w:type="dxa"/>
          <w:bottom w:w="28" w:type="dxa"/>
          <w:right w:w="28" w:type="dxa"/>
        </w:tblCellMar>
      </w:tblPr>
      <w:tblGrid>
        <w:gridCol w:w="1080"/>
        <w:gridCol w:w="947"/>
        <w:gridCol w:w="958"/>
        <w:gridCol w:w="211"/>
        <w:gridCol w:w="616"/>
        <w:gridCol w:w="109"/>
        <w:gridCol w:w="109"/>
        <w:gridCol w:w="109"/>
        <w:gridCol w:w="109"/>
        <w:gridCol w:w="691"/>
        <w:gridCol w:w="1576"/>
        <w:gridCol w:w="358"/>
        <w:gridCol w:w="109"/>
        <w:gridCol w:w="109"/>
        <w:gridCol w:w="109"/>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61" w:type="dxa"/>
        <w:jc w:val="left"/>
        <w:tblInd w:w="0" w:type="dxa"/>
        <w:tblLayout w:type="fixed"/>
        <w:tblCellMar>
          <w:top w:w="28" w:type="dxa"/>
          <w:left w:w="28" w:type="dxa"/>
          <w:bottom w:w="28" w:type="dxa"/>
          <w:right w:w="28" w:type="dxa"/>
        </w:tblCellMar>
      </w:tblPr>
      <w:tblGrid>
        <w:gridCol w:w="1080"/>
        <w:gridCol w:w="947"/>
        <w:gridCol w:w="958"/>
        <w:gridCol w:w="211"/>
        <w:gridCol w:w="616"/>
        <w:gridCol w:w="109"/>
        <w:gridCol w:w="109"/>
        <w:gridCol w:w="109"/>
        <w:gridCol w:w="109"/>
        <w:gridCol w:w="691"/>
        <w:gridCol w:w="1576"/>
        <w:gridCol w:w="358"/>
        <w:gridCol w:w="109"/>
        <w:gridCol w:w="109"/>
        <w:gridCol w:w="109"/>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8460" w:type="dxa"/>
        <w:jc w:val="left"/>
        <w:tblInd w:w="0" w:type="dxa"/>
        <w:tblLayout w:type="fixed"/>
        <w:tblCellMar>
          <w:top w:w="28" w:type="dxa"/>
          <w:left w:w="28" w:type="dxa"/>
          <w:bottom w:w="28" w:type="dxa"/>
          <w:right w:w="28" w:type="dxa"/>
        </w:tblCellMar>
      </w:tblPr>
      <w:tblGrid>
        <w:gridCol w:w="1080"/>
        <w:gridCol w:w="947"/>
        <w:gridCol w:w="958"/>
        <w:gridCol w:w="211"/>
        <w:gridCol w:w="616"/>
        <w:gridCol w:w="109"/>
        <w:gridCol w:w="109"/>
        <w:gridCol w:w="109"/>
        <w:gridCol w:w="109"/>
        <w:gridCol w:w="580"/>
        <w:gridCol w:w="1740"/>
        <w:gridCol w:w="304"/>
        <w:gridCol w:w="109"/>
        <w:gridCol w:w="109"/>
        <w:gridCol w:w="109"/>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revenues, expenses and net loss to the most comparable U.S. GAAP measure for the three and six months ended June 30, 2025 and 2024 (in thousands):</w:t>
      </w:r>
    </w:p>
    <w:tbl>
      <w:tblPr>
        <w:tblW w:w="9911" w:type="dxa"/>
        <w:jc w:val="left"/>
        <w:tblInd w:w="0" w:type="dxa"/>
        <w:tblLayout w:type="fixed"/>
        <w:tblCellMar>
          <w:top w:w="28" w:type="dxa"/>
          <w:left w:w="28" w:type="dxa"/>
          <w:bottom w:w="28" w:type="dxa"/>
          <w:right w:w="28" w:type="dxa"/>
        </w:tblCellMar>
      </w:tblPr>
      <w:tblGrid>
        <w:gridCol w:w="1431"/>
        <w:gridCol w:w="1257"/>
        <w:gridCol w:w="1272"/>
        <w:gridCol w:w="313"/>
        <w:gridCol w:w="936"/>
        <w:gridCol w:w="162"/>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3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9911" w:type="dxa"/>
        <w:jc w:val="left"/>
        <w:tblInd w:w="0" w:type="dxa"/>
        <w:tblLayout w:type="fixed"/>
        <w:tblCellMar>
          <w:top w:w="28" w:type="dxa"/>
          <w:left w:w="28" w:type="dxa"/>
          <w:bottom w:w="28" w:type="dxa"/>
          <w:right w:w="28" w:type="dxa"/>
        </w:tblCellMar>
      </w:tblPr>
      <w:tblGrid>
        <w:gridCol w:w="1431"/>
        <w:gridCol w:w="1257"/>
        <w:gridCol w:w="1272"/>
        <w:gridCol w:w="313"/>
        <w:gridCol w:w="936"/>
        <w:gridCol w:w="162"/>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3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9511"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9510"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580"/>
        <w:gridCol w:w="1740"/>
        <w:gridCol w:w="304"/>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24,044 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0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w:t>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assets to the most comparable U.S. GAAP measure as of June 30, 2025 and December 31, 2024 (in thousands):</w:t>
      </w:r>
    </w:p>
    <w:tbl>
      <w:tblPr>
        <w:tblW w:w="8834" w:type="dxa"/>
        <w:jc w:val="left"/>
        <w:tblInd w:w="0" w:type="dxa"/>
        <w:tblLayout w:type="fixed"/>
        <w:tblCellMar>
          <w:top w:w="28" w:type="dxa"/>
          <w:left w:w="28" w:type="dxa"/>
          <w:bottom w:w="28" w:type="dxa"/>
          <w:right w:w="28" w:type="dxa"/>
        </w:tblCellMar>
      </w:tblPr>
      <w:tblGrid>
        <w:gridCol w:w="1172"/>
        <w:gridCol w:w="1033"/>
        <w:gridCol w:w="1049"/>
        <w:gridCol w:w="211"/>
        <w:gridCol w:w="721"/>
        <w:gridCol w:w="109"/>
        <w:gridCol w:w="109"/>
        <w:gridCol w:w="109"/>
        <w:gridCol w:w="109"/>
        <w:gridCol w:w="580"/>
        <w:gridCol w:w="1740"/>
        <w:gridCol w:w="304"/>
        <w:gridCol w:w="109"/>
        <w:gridCol w:w="109"/>
        <w:gridCol w:w="109"/>
        <w:gridCol w:w="245"/>
        <w:gridCol w:w="837"/>
        <w:gridCol w:w="179"/>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34" w:type="dxa"/>
        <w:jc w:val="left"/>
        <w:tblInd w:w="0" w:type="dxa"/>
        <w:tblLayout w:type="fixed"/>
        <w:tblCellMar>
          <w:top w:w="28" w:type="dxa"/>
          <w:left w:w="28" w:type="dxa"/>
          <w:bottom w:w="28" w:type="dxa"/>
          <w:right w:w="28" w:type="dxa"/>
        </w:tblCellMar>
      </w:tblPr>
      <w:tblGrid>
        <w:gridCol w:w="1172"/>
        <w:gridCol w:w="1033"/>
        <w:gridCol w:w="1049"/>
        <w:gridCol w:w="211"/>
        <w:gridCol w:w="721"/>
        <w:gridCol w:w="109"/>
        <w:gridCol w:w="109"/>
        <w:gridCol w:w="109"/>
        <w:gridCol w:w="109"/>
        <w:gridCol w:w="580"/>
        <w:gridCol w:w="1740"/>
        <w:gridCol w:w="304"/>
        <w:gridCol w:w="109"/>
        <w:gridCol w:w="109"/>
        <w:gridCol w:w="109"/>
        <w:gridCol w:w="245"/>
        <w:gridCol w:w="837"/>
        <w:gridCol w:w="179"/>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has evaluated events and transactions that occurred after June 30, 2025 through August 14, 2025, the date these condensed consolidated financial statements were available to be issued. There were no material events or transactions in addition to those matters discussed in Note 1 – Organization and Liquidity and Note 6 – Notes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(unaudited)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our Annual Report on Form 10-K filed with the SEC on March 31, 2025. Capitalized terms used herein, but not otherwise defined, shall have the meaning ascribed to those terms in the “Part I - Financial Information,” including the related notes to the condensed consolidated financial statements contained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Over the past 16 years, we have grown into a leading diversified alternative asset management firm, with more than $2.8 billion in assets under management (“AUM”) and assets under development (“AUD”). Our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direct channels and to wholesale channels.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some of which are on land owned by our funds or are under contract to purchase. Completing these development activities may ultimately result in income-producing assets, assets we may sell to third parties, or both. If we complete all AUD at June 30, 2025, up through sale, we estimate we could earn up to $84.8 million in performance allocations. As of June 30, 2025, we are actively developing 1,776 multifamily units, 697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 party, is $2.0 billion, which we expect would be funded through a combination of undeployed fund cash, third-party equity, project sales, tax credit financing and similar incentives, and secured debt financing.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strive to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the Platform:</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Asset Management Revenues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Organizational &amp; Offering fees include fund set-up fees and are a one-time fee earned during the initial formation, administration, and set-up of fund products we distribute and manage. These fees are recognized at the point in time when the performance under the contract is complete.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the Caliber Hospitality Trust, we earn a fund management fee of 0.7% of the Caliber Hospitality Trust’s enterprise value and are reimbursed for certain costs incurred on behalf of the Caliber Hospitality Trust.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Real estate development revenues are generally based on two fee-based contracts, not to exceed 6.0%. The first, a real estate development contract that provides for up to 4.0% of the total expected costs of the development and is paid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services performed by Caliber Development, LLC as the principal developer of our projects. These services may include obtaining new entitlements or zoning changes and managing and supervising third-party developers. The second, a construction management contract that provides for up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Performance Allocations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the Company’s Chief Executive Officer, John C. Loeffler. The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our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we were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were originally founded as Caliber Companies, LLC, an Arizona limited liability company, organized under the laws of Arizona, and commenced operations in January 2009. In November 2014, we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Trends Affecting Our Business</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Our business is driven by trends which affect the following:</w:t>
      </w:r>
    </w:p>
    <w:p>
      <w:pPr>
        <w:pStyle w:val="TextBody"/>
        <w:bidi w:val="0"/>
        <w:spacing w:lineRule="auto" w:line="288" w:before="200" w:after="283"/>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Capital formation:</w:t>
      </w:r>
      <w:r>
        <w:rPr>
          <w:color w:val="000000"/>
        </w:rPr>
        <w:t> </w:t>
      </w:r>
      <w:r>
        <w:rPr>
          <w:rFonts w:ascii="Times New Roman;serif" w:hAnsi="Times New Roman;serif"/>
          <w:b w:val="false"/>
          <w:color w:val="000000"/>
          <w:sz w:val="20"/>
        </w:rPr>
        <w:t>any trend which increases or decreases investors’ knowledge of alternative investments, desire to acquire them, access to acquire them, and knowledge and appreciation of us as a potential provider, will affect our ability to attract and raise new capital. Capital formation also drives investment acquisitions, which contribute to our revenues.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Investment acquisition:</w:t>
      </w:r>
      <w:r>
        <w:rPr>
          <w:color w:val="000000"/>
        </w:rPr>
        <w:t> </w:t>
      </w:r>
      <w:r>
        <w:rPr>
          <w:rFonts w:ascii="Times New Roman;serif" w:hAnsi="Times New Roman;serif"/>
          <w:b w:val="false"/>
          <w:color w:val="000000"/>
          <w:sz w:val="20"/>
        </w:rPr>
        <w:t>any trend which increases or decreases the supply of middle-market real estate projects or loans, the accessibility of developments or development incentives, or enhances or detracts from our ability to access those projects will affect our ability to generate revenue. Coincidentally, investment acquisitions, or the rights to acquire an investment, drive capital formation, which acts as a growth engine for the Platform which acts as a growth engine for the Platform.</w:t>
      </w:r>
    </w:p>
    <w:p>
      <w:pPr>
        <w:pStyle w:val="TextBody"/>
        <w:bidi w:val="0"/>
        <w:spacing w:lineRule="auto" w:line="288" w:before="200" w:after="283"/>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Project execution:</w:t>
      </w:r>
      <w:r>
        <w:rPr>
          <w:color w:val="000000"/>
        </w:rPr>
        <w:t> </w:t>
      </w:r>
      <w:r>
        <w:rPr>
          <w:rFonts w:ascii="Times New Roman;serif" w:hAnsi="Times New Roman;serif"/>
          <w:b w:val="false"/>
          <w:color w:val="000000"/>
          <w:sz w:val="20"/>
        </w:rPr>
        <w:t>any trend which increases or decreases the costs of execution on a real estate project, including materials pricing, labor pricing, access to materials, delays due to governmental action, and the general labor market, will affect our ability to generate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pPr>
      <w:r>
        <w:rPr>
          <w:rFonts w:ascii="Times New Roman;serif" w:hAnsi="Times New Roman;serif"/>
          <w:b w:val="false"/>
          <w:color w:val="000000"/>
          <w:sz w:val="20"/>
        </w:rPr>
        <w:t>Our business depends in large part on our ability to raise capital for our funds from investors. Since our inception, we have continued to successfully raise capital into our funds with our total capital raised through June 30, 2025 of</w:t>
      </w:r>
      <w:r>
        <w:rPr>
          <w:color w:val="000000"/>
          <w:shd w:fill="FFFFFF" w:val="clear"/>
        </w:rPr>
        <w:t xml:space="preserve"> </w:t>
      </w:r>
      <w:r>
        <w:rPr>
          <w:rFonts w:ascii="Times New Roman;serif" w:hAnsi="Times New Roman;serif"/>
          <w:b w:val="false"/>
          <w:color w:val="000000"/>
          <w:sz w:val="20"/>
        </w:rPr>
        <w:t>$750.0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we manage throughout the deal cycle will continue to offer an attractive value proposition to investors.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advancement of real estate investment-oriented technology, sometimes referred to as “proptech” offers us the benefit of new and innovative technologies to better execute on capital formation strategies, investment acquisition strategies, and investment management strategies. In recent years, we have added to our technology stack with systems that we believe lead the market in their specific ability to enhance execution on our projects. Several of these technologies seek to incorporate investments in artificial intelligence, which we believe will be a prevailing trend in helping us to enhance our project execution going 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Business Environment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Global markets are experiencing significant volatility driven by concerns over inflation, elevated interest rates, global tariffs, slowing economic growth and geopolitical uncertainty. The annual inflation rate in the United States increased to 9.1% in June 2022, the highest rate since November 1981, but decreased to 2.7% in June 2025. As a result, from January 1, 2022 through September 18, 2024, the Federal Reserve increased the federal funds rate by 525 basis points. Subsequently, the Federal Reserve decreased the federal funds rate by 50 basis points in September 2024, by 25 basis points in November 2024, and by 25 basis points in December 2024, resulting in a target rate range of 4.25% to 4.50% at June 30, 2025.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our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our early years of operations. In both a buyer’s market and a stressed or distressed market, we expect our business model to outperform, as our direct access to investor capital and our ability to invest in a variety of asset classes allows us to move with the market and take advantage of potentially attractive prices. For project execution, inflation has increased the cost of nearly all building materials and labor types, increasing the cost of construction and renovation of our funds’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resulting in significant and lasting changes to the Qualified Opportunity Zone (“QOZ”) program. Most notably, the OBBBA eliminates the program’s original sunset date of December 31, 2026, and extends the QOZ program indefinitely. This legislative change could potentially impact our real estate investment strategy, particularly for our funds with existing or future exposure to QOZ-designated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actively evaluating the potential long-term implications of the OBBBA, including increased investor demand for QOZ-aligned strategies and shifts in capital deployment across target markets. However, the full scope and operational impact of these changes remain subject to further guidance. Accordingly, there can be no assurance that the legislative changes will lead to improved fund performance or investor outcomes. We will continue to monitor developments and adjust its strategies as appropriate to align with the evolving QOZ landscape.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Key Financial Measures and Indicators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consolidated financial statements included herein.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the majority of our revenue in the form of asset management fee revenues and performance allocations. Included within our consolidated results, are the related revenues of certain consolidated VIEs.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(Loss)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(loss) income includes rental revenue, interest expense and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Consolidated Results of Operations for the Three Months Ended June 30,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we deconsolidated DoubleTree by Hilton Tucson Convention Center during the three months ended June 30, 2025. The following table and discussion provide insight into our consolidated results of operations for the three months ended June 30, 2025 and 2024 (in thousands):</w:t>
      </w:r>
    </w:p>
    <w:tbl>
      <w:tblPr>
        <w:tblW w:w="9438" w:type="dxa"/>
        <w:jc w:val="left"/>
        <w:tblInd w:w="0" w:type="dxa"/>
        <w:tblLayout w:type="fixed"/>
        <w:tblCellMar>
          <w:top w:w="28" w:type="dxa"/>
          <w:left w:w="28" w:type="dxa"/>
          <w:bottom w:w="28" w:type="dxa"/>
          <w:right w:w="28" w:type="dxa"/>
        </w:tblCellMar>
      </w:tblPr>
      <w:tblGrid>
        <w:gridCol w:w="1432"/>
        <w:gridCol w:w="1258"/>
        <w:gridCol w:w="1270"/>
        <w:gridCol w:w="235"/>
        <w:gridCol w:w="772"/>
        <w:gridCol w:w="121"/>
        <w:gridCol w:w="121"/>
        <w:gridCol w:w="121"/>
        <w:gridCol w:w="121"/>
        <w:gridCol w:w="235"/>
        <w:gridCol w:w="772"/>
        <w:gridCol w:w="121"/>
        <w:gridCol w:w="109"/>
        <w:gridCol w:w="109"/>
        <w:gridCol w:w="109"/>
        <w:gridCol w:w="237"/>
        <w:gridCol w:w="541"/>
        <w:gridCol w:w="123"/>
        <w:gridCol w:w="109"/>
        <w:gridCol w:w="109"/>
        <w:gridCol w:w="109"/>
        <w:gridCol w:w="343"/>
        <w:gridCol w:w="347"/>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w:t>
            </w:r>
          </w:p>
        </w:tc>
        <w:tc>
          <w:tcPr>
            <w:tcW w:w="12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total revenues were $5.1 million and $8.2 million, respectively, representing a period-over-period decrease of 38.0%, which was primarily due to a decrease in consolidated fund revenues resulting from the deconsolidation of Caliber Hospitality Trust and Caliber Hospitality, LP and its consolidated subsidiaries in March 2024. In addition, Elliot &amp; 51st St LLC (“Elliot”), DT Mesa Holdco II, LLC (“DT Mesa”), and CFIF III were deconsolidated during the year ended December 31, 2024. This decrease, was partially offset by an increase in asset management revenues, primarily driven by an increase in fund management revenues.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total expenses were $6.9 million and $12.7 million, respectively, representing a period-over-period decrease of 45.5%. The decrease was primarily due to a decrease in consolidated fund expenses which was primarily due to the deconsolidation of Caliber Hospitality Trust, Caliber Hospitality, LP, Elliot, DT Mesa, and CFIF III and a decrease in operating costs related to payroll and bonus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and 2024, other (loss) income, were $(2.2) million and $0.3 million, respectively, representing a period-over-period decrease of $2.5 million. The decrease was primarily due to investment impairment charges related to a real estate fund the Platform both invests in and manages, and to a lesser extent due to unrealized losses related to certain of the Platform’s investments during the three months ended June 30, 2025 as compared to the same period in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Platform (Unconsolidated) Results of Operations for the Three Months Ended June 30,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results of operations of the Platform for the three months ended June 30, 2025 and 2024 (in thousands). Unconsolidated Platform revenues and expenses are presented on a basis that deconsolidates our consolidated funds (intercompany eliminations) and eliminates noncontrolling interest. As a result, unconsolidated Platform revenues are different than those presented on a consolidated basis in accordance with U.S. GAAP, because fee revenue is eliminated in consolidation when it is derived from a consolidated fund and due to the exclusion of the fund revenue recognized by the consolidated funds. Furthermore, unconsolidated Platform expenses are also different than those presented on a consolidated U.S. GAAP basis due to the exclusion of fund expenses that are paid by the consolidated funds. See the Non-GAAP Measures section below for reconciliations of the unconsolidated Platform results to the most comparable U.S. GAAP measure.</w:t>
      </w:r>
    </w:p>
    <w:tbl>
      <w:tblPr>
        <w:tblW w:w="8072" w:type="dxa"/>
        <w:jc w:val="left"/>
        <w:tblInd w:w="0" w:type="dxa"/>
        <w:tblLayout w:type="fixed"/>
        <w:tblCellMar>
          <w:top w:w="28" w:type="dxa"/>
          <w:left w:w="28" w:type="dxa"/>
          <w:bottom w:w="28" w:type="dxa"/>
          <w:right w:w="28" w:type="dxa"/>
        </w:tblCellMar>
      </w:tblPr>
      <w:tblGrid>
        <w:gridCol w:w="938"/>
        <w:gridCol w:w="824"/>
        <w:gridCol w:w="832"/>
        <w:gridCol w:w="235"/>
        <w:gridCol w:w="772"/>
        <w:gridCol w:w="121"/>
        <w:gridCol w:w="121"/>
        <w:gridCol w:w="121"/>
        <w:gridCol w:w="121"/>
        <w:gridCol w:w="235"/>
        <w:gridCol w:w="772"/>
        <w:gridCol w:w="121"/>
        <w:gridCol w:w="109"/>
        <w:gridCol w:w="109"/>
        <w:gridCol w:w="109"/>
        <w:gridCol w:w="237"/>
        <w:gridCol w:w="541"/>
        <w:gridCol w:w="123"/>
        <w:gridCol w:w="109"/>
        <w:gridCol w:w="109"/>
        <w:gridCol w:w="109"/>
        <w:gridCol w:w="344"/>
        <w:gridCol w:w="346"/>
        <w:gridCol w:w="61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12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total revenues were $4.1 million and $4.2 million, respectively, representing a period-over-period decrease of 2.0%. The table below (in thousands) compares the revenues earned for providing services under our asset management Platform as described in the Revenue Recognition section of Note 2 – Summary of Significant Accounting Policies for the three months ended June 30, 2025, to the revenues earned for the same period in 2024.</w:t>
      </w:r>
    </w:p>
    <w:tbl>
      <w:tblPr>
        <w:tblW w:w="9019" w:type="dxa"/>
        <w:jc w:val="left"/>
        <w:tblInd w:w="0" w:type="dxa"/>
        <w:tblLayout w:type="fixed"/>
        <w:tblCellMar>
          <w:top w:w="28" w:type="dxa"/>
          <w:left w:w="28" w:type="dxa"/>
          <w:bottom w:w="28" w:type="dxa"/>
          <w:right w:w="28" w:type="dxa"/>
        </w:tblCellMar>
      </w:tblPr>
      <w:tblGrid>
        <w:gridCol w:w="1191"/>
        <w:gridCol w:w="1045"/>
        <w:gridCol w:w="1049"/>
        <w:gridCol w:w="109"/>
        <w:gridCol w:w="109"/>
        <w:gridCol w:w="109"/>
        <w:gridCol w:w="251"/>
        <w:gridCol w:w="735"/>
        <w:gridCol w:w="130"/>
        <w:gridCol w:w="130"/>
        <w:gridCol w:w="130"/>
        <w:gridCol w:w="130"/>
        <w:gridCol w:w="251"/>
        <w:gridCol w:w="735"/>
        <w:gridCol w:w="130"/>
        <w:gridCol w:w="109"/>
        <w:gridCol w:w="109"/>
        <w:gridCol w:w="109"/>
        <w:gridCol w:w="237"/>
        <w:gridCol w:w="541"/>
        <w:gridCol w:w="123"/>
        <w:gridCol w:w="109"/>
        <w:gridCol w:w="109"/>
        <w:gridCol w:w="109"/>
        <w:gridCol w:w="308"/>
        <w:gridCol w:w="308"/>
        <w:gridCol w:w="61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unconsolidated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decrease in fund management fees is related to a decrease in fund-set up fees as there were no new funds set-up during the three months ended June 30, 2025, partially offset by an increase in asset management fees earned. Fund management fees are based on 1.0% to 1.5% of the unreturned capital contributions in each fund and a fund management fee of 0.7% of the Caliber Hospitality Trust’s enterprise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development and construction fees is primarily due to an increase in development fees related to the achievement of pre-construction milestones completed development activities during the three months ended June 30, 2025 as compared to the same period in 2024. </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total expenses were $5.3 million and $8.2 million, respectively, representing a period-over-period decrease of 34.8%. The decrease was primarily due to a decrease in payroll and bonus expense due to a decrease in employee headcount.</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and 2024, other (loss) income, net was $(2.0) million and $0.5 million, respectively. The decrease was primarily due to investment impairment charges related to a real estate fund the Platform both invests in and manages, and to a lesser extent due to unrealized losses related to certain of the Platform’s investments during the three months ended June 30, 2025, as compared to the same period in 2024.</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interest expense was $1.7 million and $1.3 million, respectively. The increase was primarily due to an increase in short-term operating loans outstanding during the three months ended June 30, 2025, as compared to the same period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Consolidated Results of Operations for the Six Months Ended June 30,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we deconsolidated DoubleTree by Hilton Tucson Convention Center during the six months ended June 30, 2025. Additionally, we deconsolidated Caliber Hospitality, LP, the Caliber Hospitality Trust, and their consolidated subsidiaries, and Elliot during the six months ended June 30, 2024. The following table and discussion provide insight into our consolidated results of operations for the six months ended June 30, 2025 and 2024 (in thousands):</w:t>
      </w:r>
    </w:p>
    <w:tbl>
      <w:tblPr>
        <w:tblW w:w="9309" w:type="dxa"/>
        <w:jc w:val="left"/>
        <w:tblInd w:w="0" w:type="dxa"/>
        <w:tblLayout w:type="fixed"/>
        <w:tblCellMar>
          <w:top w:w="28" w:type="dxa"/>
          <w:left w:w="28" w:type="dxa"/>
          <w:bottom w:w="28" w:type="dxa"/>
          <w:right w:w="28" w:type="dxa"/>
        </w:tblCellMar>
      </w:tblPr>
      <w:tblGrid>
        <w:gridCol w:w="1432"/>
        <w:gridCol w:w="1258"/>
        <w:gridCol w:w="1270"/>
        <w:gridCol w:w="214"/>
        <w:gridCol w:w="701"/>
        <w:gridCol w:w="110"/>
        <w:gridCol w:w="110"/>
        <w:gridCol w:w="110"/>
        <w:gridCol w:w="110"/>
        <w:gridCol w:w="214"/>
        <w:gridCol w:w="701"/>
        <w:gridCol w:w="110"/>
        <w:gridCol w:w="109"/>
        <w:gridCol w:w="109"/>
        <w:gridCol w:w="109"/>
        <w:gridCol w:w="211"/>
        <w:gridCol w:w="691"/>
        <w:gridCol w:w="109"/>
        <w:gridCol w:w="109"/>
        <w:gridCol w:w="109"/>
        <w:gridCol w:w="109"/>
        <w:gridCol w:w="344"/>
        <w:gridCol w:w="346"/>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39,963 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total revenues were $12.3 million and $31.1 million, respectively, representing a period-over-period decrease of 60.4%, which was primarily due to a decrease in consolidated fund revenues resulting from the deconsolidation of Caliber Hospitality Trust and Caliber Hospitality, LP and its consolidated subsidiaries in March 2024. In addition, Elliot &amp; 51st St LLC (“Elliot”), DT Mesa Holdco II, LLC (“DT Mesa”), and CFIF III were deconsolidated during the year ended December 31, 2024.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total expenses were $16.8 million and $40.0 million, respectively, representing a period-over-period decrease of 58.0%. The decrease was primarily due to a decrease in consolidated fund expenses which was primarily due to the deconsolidation of Caliber Hospitality Trust, Caliber Hospitality, LP, Elliot, DT Mesa, and CFIF III and a decrease in operating costs related to payroll and bonus expenses.</w: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and 2024, other (loss) income, were $(2.5) million and $0.6 million, respectively, representing a period-over-period decrease of $3.1 million. The decrease was primarily due to investment impairment charges related to a real estate fund the Platform both invests in and manages, and to a lesser extent due to unrealized losses related to certain of the Platform’s investments during the three months ended June 30, 2025 as compared to the same period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Platform (Unconsolidated) Results of Operations for the Six Months Ended June 30,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results of operations of the Platform for the six months ended June 30, 2025 and 2024 (in thousands). See the Non-GAAP Measures section below for reconciliations of the unconsolidated Platform results to the most comparable U.S. GAAP measure.</w:t>
      </w:r>
    </w:p>
    <w:tbl>
      <w:tblPr>
        <w:tblW w:w="7943" w:type="dxa"/>
        <w:jc w:val="left"/>
        <w:tblInd w:w="0" w:type="dxa"/>
        <w:tblLayout w:type="fixed"/>
        <w:tblCellMar>
          <w:top w:w="28" w:type="dxa"/>
          <w:left w:w="28" w:type="dxa"/>
          <w:bottom w:w="28" w:type="dxa"/>
          <w:right w:w="28" w:type="dxa"/>
        </w:tblCellMar>
      </w:tblPr>
      <w:tblGrid>
        <w:gridCol w:w="938"/>
        <w:gridCol w:w="824"/>
        <w:gridCol w:w="832"/>
        <w:gridCol w:w="214"/>
        <w:gridCol w:w="701"/>
        <w:gridCol w:w="110"/>
        <w:gridCol w:w="110"/>
        <w:gridCol w:w="110"/>
        <w:gridCol w:w="110"/>
        <w:gridCol w:w="214"/>
        <w:gridCol w:w="701"/>
        <w:gridCol w:w="110"/>
        <w:gridCol w:w="109"/>
        <w:gridCol w:w="109"/>
        <w:gridCol w:w="109"/>
        <w:gridCol w:w="211"/>
        <w:gridCol w:w="691"/>
        <w:gridCol w:w="109"/>
        <w:gridCol w:w="109"/>
        <w:gridCol w:w="109"/>
        <w:gridCol w:w="109"/>
        <w:gridCol w:w="344"/>
        <w:gridCol w:w="346"/>
        <w:gridCol w:w="61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total revenues were $7.7 million and $8.9 million, respectively, representing a period-over-period decrease of 14.1%. The table below (in thousands) compares the revenues earned for providing services under our asset management Platform as described in the Revenue Recognition section of Note 2 – Summary of Significant Accounting Policies for the six months ended June 30, 2025, to the revenues earned for the same period in 2024.</w:t>
      </w:r>
    </w:p>
    <w:tbl>
      <w:tblPr>
        <w:tblW w:w="8889" w:type="dxa"/>
        <w:jc w:val="left"/>
        <w:tblInd w:w="0" w:type="dxa"/>
        <w:tblLayout w:type="fixed"/>
        <w:tblCellMar>
          <w:top w:w="28" w:type="dxa"/>
          <w:left w:w="28" w:type="dxa"/>
          <w:bottom w:w="28" w:type="dxa"/>
          <w:right w:w="28" w:type="dxa"/>
        </w:tblCellMar>
      </w:tblPr>
      <w:tblGrid>
        <w:gridCol w:w="1191"/>
        <w:gridCol w:w="1045"/>
        <w:gridCol w:w="1049"/>
        <w:gridCol w:w="109"/>
        <w:gridCol w:w="109"/>
        <w:gridCol w:w="109"/>
        <w:gridCol w:w="228"/>
        <w:gridCol w:w="668"/>
        <w:gridCol w:w="118"/>
        <w:gridCol w:w="118"/>
        <w:gridCol w:w="118"/>
        <w:gridCol w:w="118"/>
        <w:gridCol w:w="228"/>
        <w:gridCol w:w="668"/>
        <w:gridCol w:w="118"/>
        <w:gridCol w:w="109"/>
        <w:gridCol w:w="109"/>
        <w:gridCol w:w="109"/>
        <w:gridCol w:w="211"/>
        <w:gridCol w:w="691"/>
        <w:gridCol w:w="109"/>
        <w:gridCol w:w="109"/>
        <w:gridCol w:w="109"/>
        <w:gridCol w:w="109"/>
        <w:gridCol w:w="308"/>
        <w:gridCol w:w="308"/>
        <w:gridCol w:w="61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unconsolidated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decrease in fund management fees is related to a decrease in fund-set up fees as there were no new funds set-up during the six months ended June 30, 2025, partially offset by an increase in asset management fees earned. Fund management fees are based on 1.0% to 1.5% of the unreturned capital contributions in each fund and a fund management fee of 0.7% of the Caliber Hospitality Trust’s enterprise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decrease in development and construction fees is primarily due to a decrease in active development projects during the six months ended June 30, 2025, as compared to the same period in 2024.</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total expenses were $11.4 million and $15.9 million, respectively, representing a period-over-period decrease of 28.2%. The decrease was primarily due to a decrease in payroll and bonus expense due to a decrease in employee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other income, net was $(2.0) million and $0.9 million, respectively. The decrease was primarily due to investment impairment charges related to a real estate fund the Platform both invests in and manages, and to a lesser extent due to unrealized losses related to certain investments during the six months ended June 30, 2025, as compared to the same period in 2024.</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interest expense was $3.3 million and $2.6 million, respectively. The increase was primarily due to an increase in short-term operating loans outstanding during the six months ended June 30, 2025, as compared to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pPr>
      <w:r>
        <w:rPr>
          <w:rFonts w:ascii="Times New Roman;serif" w:hAnsi="Times New Roman;serif"/>
          <w:b/>
          <w:color w:val="231F20"/>
          <w:sz w:val="20"/>
        </w:rPr>
        <w:t xml:space="preserve">Balance Sheets - </w:t>
      </w:r>
      <w:r>
        <w:rPr>
          <w:rFonts w:ascii="Times New Roman;serif" w:hAnsi="Times New Roman;serif"/>
          <w:b/>
          <w:i/>
          <w:color w:val="000000"/>
          <w:sz w:val="20"/>
        </w:rPr>
        <w:t>Asset Management Platform (Unconsolidated)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balance sheets of the asset management Platform as of June 30, 2025 and December 31, 2024 (in thousands). Unconsolidated assets, liabilities and stockholders’ equity are presented on a basis that deconsolidates our consolidated funds (intercompany eliminations). Total assets, total liabilities, and total stockholders’ equity are different than those presented on a consolidated basis in accordance with U.S. GAAP, because certain accounts (including notes receivable, due from/to related parties, and investments in unconsolidated entities) are eliminated in consolidation when they are due from/to consolidated funds. Furthermore, we are required to add to this balance sheet, assets and liabilities and equity of the consolidated funds which are items that are not available to a shareholder of CWD. See the Non-GAAP Measures section below for reconciliations of the unconsolidated results to the most comparable U.S. GAAP measure.</w:t>
      </w:r>
    </w:p>
    <w:tbl>
      <w:tblPr>
        <w:tblW w:w="7823" w:type="dxa"/>
        <w:jc w:val="left"/>
        <w:tblInd w:w="0" w:type="dxa"/>
        <w:tblLayout w:type="fixed"/>
        <w:tblCellMar>
          <w:top w:w="28" w:type="dxa"/>
          <w:left w:w="28" w:type="dxa"/>
          <w:bottom w:w="28" w:type="dxa"/>
          <w:right w:w="28" w:type="dxa"/>
        </w:tblCellMar>
      </w:tblPr>
      <w:tblGrid>
        <w:gridCol w:w="1487"/>
        <w:gridCol w:w="1313"/>
        <w:gridCol w:w="1325"/>
        <w:gridCol w:w="109"/>
        <w:gridCol w:w="109"/>
        <w:gridCol w:w="109"/>
        <w:gridCol w:w="258"/>
        <w:gridCol w:w="883"/>
        <w:gridCol w:w="133"/>
        <w:gridCol w:w="109"/>
        <w:gridCol w:w="109"/>
        <w:gridCol w:w="109"/>
        <w:gridCol w:w="344"/>
        <w:gridCol w:w="1175"/>
        <w:gridCol w:w="251"/>
      </w:tblGrid>
      <w:tr>
        <w:trPr/>
        <w:tc>
          <w:tcPr>
            <w:tcW w:w="148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12,297 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50,518 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Stockholders’ (Deficit)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(59,046)</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(49,997)</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 equity</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51,772 </w:t>
            </w:r>
          </w:p>
        </w:tc>
        <w:tc>
          <w:tcPr>
            <w:tcW w:w="13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25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Investment Valuations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unique feature of our funds is the discretion given to our management team to decide when to sell assets and when to hold them. We believe this discretion allows us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Assets Under Management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AUM refers to the assets we manage or sponsor. We monitor two types of information with regard to our AUM:</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our management to further calculate and predict future earnings.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ii.Fair Value (“FV”) AUM – we define this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June 30, 2025, we had total FV AUM of approximately $803.2 million.</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Managed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activity of the managed capital for the six months ended June 30, 2025 (in thousands):</w:t>
      </w:r>
    </w:p>
    <w:tbl>
      <w:tblPr>
        <w:tblW w:w="4766"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87"/>
        <w:gridCol w:w="1124"/>
        <w:gridCol w:w="209"/>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Managed Capital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492,542 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495,217 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498,567 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activity of the managed capital for the six months ended June 30, 2024 (in thousands):</w:t>
      </w:r>
    </w:p>
    <w:tbl>
      <w:tblPr>
        <w:tblW w:w="4766"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87"/>
        <w:gridCol w:w="1124"/>
        <w:gridCol w:w="209"/>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Managed Capital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453,905 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469,800 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managed capital for our investment fund portfolios as of June 30, 2025 and December 31, 2024 (in thousands):</w:t>
      </w:r>
    </w:p>
    <w:tbl>
      <w:tblPr>
        <w:tblW w:w="5679" w:type="dxa"/>
        <w:jc w:val="left"/>
        <w:tblInd w:w="0" w:type="dxa"/>
        <w:tblLayout w:type="fixed"/>
        <w:tblCellMar>
          <w:top w:w="28" w:type="dxa"/>
          <w:left w:w="28" w:type="dxa"/>
          <w:bottom w:w="28" w:type="dxa"/>
          <w:right w:w="28" w:type="dxa"/>
        </w:tblCellMar>
      </w:tblPr>
      <w:tblGrid>
        <w:gridCol w:w="836"/>
        <w:gridCol w:w="733"/>
        <w:gridCol w:w="740"/>
        <w:gridCol w:w="234"/>
        <w:gridCol w:w="919"/>
        <w:gridCol w:w="121"/>
        <w:gridCol w:w="109"/>
        <w:gridCol w:w="109"/>
        <w:gridCol w:w="109"/>
        <w:gridCol w:w="313"/>
        <w:gridCol w:w="1228"/>
        <w:gridCol w:w="228"/>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Caliber Hospitality Trust</w:t>
            </w:r>
            <w:r>
              <w:rPr>
                <w:rFonts w:ascii="Times New Roman;serif" w:hAnsi="Times New Roman;serif"/>
                <w:b w:val="false"/>
                <w:color w:val="000000"/>
                <w:sz w:val="13"/>
              </w:rPr>
              <w:t>(1)</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Real Estate</w:t>
            </w:r>
            <w:r>
              <w:rPr>
                <w:rFonts w:ascii="Times New Roman;serif" w:hAnsi="Times New Roman;serif"/>
                <w:b w:val="false"/>
                <w:color w:val="000000"/>
                <w:sz w:val="13"/>
              </w:rPr>
              <w:t>(2)</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421,291 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r>
              <w:rPr>
                <w:color w:val="000000"/>
              </w:rPr>
              <w:t>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r>
              <w:rPr>
                <w:color w:val="000000"/>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498,567 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492,542 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We earn a fund management fee of 0.70% of the Caliber Hospitality Trust’s enterprise value and are reimbursed for certain costs incurred on behalf of the Caliber Hospitality Trust.</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Beginning during the year ended December 31, 2023, we include capital raised from our investors through corporate note issuances that was further invested in our funds in Managed Capital. As of June 30, 2025, and December 31, 2024, we had invested $12.3 million and $20.4 million, respectively, in our funds.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Credit managed capital represents loans made to our investment funds by us and our diversified funds. As of June 30, 2025 and December 31, 2024, we had loaned $0.9 million to our funds. </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Other managed capital represents undeployed capital held in our diversified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activity for our hospitality investment funds and the Caliber Hospitality Trust was effectively flat for the six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residential investment funds increased by $2.0 million during the six months ended June 30, 2025, due to: (i) $1.8 million in capital raised into our residential assets, and (ii) $1.0 million contributed by our diversified funds offset by $0.8 million in return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commercial investment funds increased by $5.3 million during the six months ended June 30, 2025, due to: (i) $3.3 million in capital raised into our commercial assets and (ii) $2.3 million contributed by our diversified funds offset by offset by $0.4 million in return of capital. The scope of investments included tenant improvements and land development.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our diversified funds had $73.4 million invested in the form of notes receivable with our various real estate investments. We had $0.8 million deployed directly into our various real estate investments in the form of 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we held $3.9 million of other managed capital, which included a $3.1 million private equity investment in a local start-up business and $0.8 million of undeployed cash and pursuit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FV AUM</w:t>
      </w:r>
    </w:p>
    <w:p>
      <w:pPr>
        <w:pStyle w:val="TextBody"/>
        <w:bidi w:val="0"/>
        <w:spacing w:lineRule="auto" w:line="288" w:before="200" w:after="283"/>
        <w:jc w:val="both"/>
        <w:rPr/>
      </w:pPr>
      <w:r>
        <w:rPr>
          <w:rFonts w:ascii="Times New Roman;serif" w:hAnsi="Times New Roman;serif"/>
          <w:b w:val="false"/>
          <w:color w:val="231F20"/>
          <w:sz w:val="20"/>
          <w:shd w:fill="FFFFFF" w:val="clear"/>
        </w:rPr>
        <w:t>T</w:t>
      </w:r>
      <w:r>
        <w:rPr>
          <w:rFonts w:ascii="Times New Roman;serif" w:hAnsi="Times New Roman;serif"/>
          <w:b w:val="false"/>
          <w:color w:val="231F20"/>
          <w:sz w:val="20"/>
        </w:rPr>
        <w:t>he table below details the activities that had an impact on our FV AUM, during the six months ended June 30, 2025 (in thousands):</w:t>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FV AUM</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March 31, 2025</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231F20"/>
          <w:sz w:val="20"/>
          <w:shd w:fill="FFFFFF" w:val="clear"/>
        </w:rPr>
        <w:t>T</w:t>
      </w:r>
      <w:r>
        <w:rPr>
          <w:rFonts w:ascii="Times New Roman;serif" w:hAnsi="Times New Roman;serif"/>
          <w:b w:val="false"/>
          <w:color w:val="231F20"/>
          <w:sz w:val="20"/>
        </w:rPr>
        <w:t xml:space="preserve">he table below details the activities that had an impact on our FV AUM, during the </w:t>
      </w:r>
      <w:r>
        <w:rPr>
          <w:rFonts w:ascii="Times New Roman;serif" w:hAnsi="Times New Roman;serif"/>
          <w:b w:val="false"/>
          <w:color w:val="000000"/>
          <w:sz w:val="20"/>
        </w:rPr>
        <w:t>six months ended June 30, 2024</w:t>
      </w:r>
      <w:r>
        <w:rPr>
          <w:color w:val="231F20"/>
        </w:rPr>
        <w:t xml:space="preserve"> </w:t>
      </w:r>
      <w:r>
        <w:rPr>
          <w:rFonts w:ascii="Times New Roman;serif" w:hAnsi="Times New Roman;serif"/>
          <w:b w:val="false"/>
          <w:color w:val="231F20"/>
          <w:sz w:val="20"/>
        </w:rPr>
        <w:t>(in thousands):</w:t>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FV AUM</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CHT contribution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sold</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March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Assets acquired</w:t>
            </w:r>
            <w:r>
              <w:rPr>
                <w:rFonts w:ascii="Times New Roman;serif" w:hAnsi="Times New Roman;serif"/>
                <w:b w:val="false"/>
                <w:color w:val="000000"/>
                <w:sz w:val="13"/>
              </w:rPr>
              <w:t>(4)</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sold or disposed</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FV AUM of our investment fund portfolios as of June 30, 2025 and December 31, 2024 (in thousands):</w:t>
      </w:r>
    </w:p>
    <w:tbl>
      <w:tblPr>
        <w:tblW w:w="5514" w:type="dxa"/>
        <w:jc w:val="left"/>
        <w:tblInd w:w="0" w:type="dxa"/>
        <w:tblLayout w:type="fixed"/>
        <w:tblCellMar>
          <w:top w:w="28" w:type="dxa"/>
          <w:left w:w="28" w:type="dxa"/>
          <w:bottom w:w="28" w:type="dxa"/>
          <w:right w:w="28" w:type="dxa"/>
        </w:tblCellMar>
      </w:tblPr>
      <w:tblGrid>
        <w:gridCol w:w="776"/>
        <w:gridCol w:w="681"/>
        <w:gridCol w:w="687"/>
        <w:gridCol w:w="234"/>
        <w:gridCol w:w="919"/>
        <w:gridCol w:w="121"/>
        <w:gridCol w:w="109"/>
        <w:gridCol w:w="109"/>
        <w:gridCol w:w="109"/>
        <w:gridCol w:w="313"/>
        <w:gridCol w:w="1228"/>
        <w:gridCol w:w="22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Trust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794,923 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Assets sold during the six months ended June 30, 2024 include a commercial asset, lot sales related to two development assets in Colorado, and one home from our residential fund.</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Credit FV AUM represents loans made to our investment funds by our diversified credit fund.</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Other FV AUM represents undeployed capital held in our diversified funds.</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Assets acquired during the six months ended June 30, 2024 include land for one commercial asset in Colorado.</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Assets Under Development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Completing these development activities may ultimately result in income-producing assets, assets we may sell to third parties, or both. If we complete all AUD at June 30, 2025, up through sale, we estimate we could earn up to 84.8 million in performance allocations. As of June 30, 2025, we are actively developing 1,776 multifamily units, 697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 party, is $2.0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00" w:after="283"/>
        <w:jc w:val="both"/>
        <w:rPr/>
      </w:pPr>
      <w:r>
        <w:rPr>
          <w:rFonts w:ascii="Times New Roman;serif" w:hAnsi="Times New Roman;serif"/>
          <w:b w:val="false"/>
          <w:color w:val="231F20"/>
          <w:sz w:val="20"/>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w:t>
      </w:r>
      <w:r>
        <w:rPr>
          <w:color w:val="000000"/>
        </w:rPr>
        <w:t xml:space="preserve"> </w:t>
      </w:r>
      <w:r>
        <w:rPr>
          <w:rFonts w:ascii="Times New Roman;serif" w:hAnsi="Times New Roman;serif"/>
          <w:b w:val="false"/>
          <w:color w:val="000000"/>
          <w:sz w:val="20"/>
        </w:rPr>
        <w:t>provide investors a view of the performance attributable to us</w:t>
      </w:r>
      <w:r>
        <w:rPr>
          <w:rFonts w:ascii="Times New Roman;serif" w:hAnsi="Times New Roman;serif"/>
          <w:b w:val="false"/>
          <w:color w:val="231F20"/>
          <w:sz w:val="20"/>
        </w:rPr>
        <w:t>.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 Management Platform or Platform</w:t>
      </w:r>
    </w:p>
    <w:p>
      <w:pPr>
        <w:pStyle w:val="TextBody"/>
        <w:bidi w:val="0"/>
        <w:spacing w:lineRule="auto" w:line="288" w:before="200" w:after="283"/>
        <w:jc w:val="both"/>
        <w:rPr>
          <w:rFonts w:ascii="Times New Roman;serif" w:hAnsi="Times New Roman;serif"/>
          <w:b w:val="false"/>
          <w:color w:val="252525"/>
          <w:sz w:val="20"/>
        </w:rPr>
      </w:pPr>
      <w:r>
        <w:rPr>
          <w:rFonts w:ascii="Times New Roman;serif" w:hAnsi="Times New Roman;serif"/>
          <w:b w:val="false"/>
          <w:color w:val="252525"/>
          <w:sz w:val="20"/>
        </w:rPr>
        <w:t xml:space="preserve">Platform refers to the performance of our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us because it communicates performance of us that would be most useful for understanding the value of CWD.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Fee-Related Earnings and Related Components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Fee-Related Earnings is a supplemental non-GAAP performance measure used to assess our ability to generate profits from fee-based revenues focusing on whether our core revenue streams are sufficient to cover our core operating expenses. Fee-Related Earnings represents our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Distributable Earnings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U.S. GAAP results assessing the amount of earnings available for distribution.</w:t>
      </w:r>
    </w:p>
    <w:p>
      <w:pPr>
        <w:pStyle w:val="TextBody"/>
        <w:bidi w:val="0"/>
        <w:spacing w:lineRule="auto" w:line="288" w:before="200" w:after="283"/>
        <w:jc w:val="both"/>
        <w:rPr/>
      </w:pPr>
      <w:r>
        <w:rPr>
          <w:rFonts w:ascii="Times New Roman;serif" w:hAnsi="Times New Roman;serif"/>
          <w:b/>
          <w:i/>
          <w:color w:val="252525"/>
          <w:sz w:val="20"/>
        </w:rPr>
        <w:t>P</w:t>
      </w:r>
      <w:r>
        <w:rPr>
          <w:rFonts w:ascii="Times New Roman;serif" w:hAnsi="Times New Roman;serif"/>
          <w:b/>
          <w:i/>
          <w:color w:val="000000"/>
          <w:sz w:val="20"/>
        </w:rPr>
        <w:t>latform Earnings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Platform Earnings represents the performance of our asset management platform segment, which generates revenues and expenses from managing our investment portfolio, excluding any consolidated assets or funds.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Platform Earnings per Share</w:t>
      </w:r>
    </w:p>
    <w:p>
      <w:pPr>
        <w:pStyle w:val="TextBody"/>
        <w:bidi w:val="0"/>
        <w:spacing w:lineRule="auto" w:line="288" w:before="200" w:after="283"/>
        <w:jc w:val="both"/>
        <w:rPr>
          <w:rFonts w:ascii="Times New Roman;serif" w:hAnsi="Times New Roman;serif"/>
          <w:b w:val="false"/>
          <w:color w:val="252525"/>
          <w:sz w:val="20"/>
        </w:rPr>
      </w:pPr>
      <w:r>
        <w:rPr>
          <w:rFonts w:ascii="Times New Roman;serif" w:hAnsi="Times New Roman;serif"/>
          <w:b w:val="false"/>
          <w:color w:val="252525"/>
          <w:sz w:val="20"/>
        </w:rPr>
        <w:t>Platform Earnings per Share is calculated as Platform Earnings divided by weighted average CWD common shares outstanding.</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Adjusted EBITDA represents our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Basic and Diluted Earnings Per Share (“EPS”)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Basic and Diluted EPS represents earnings per share generated by the Platform, without reflecting the impact of consolidation. Eliminating the impact of consolidated funds and noncontrolling interest provides investors a view of the performance attributable to the Platform and is consistent with performance models and analysis used by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pPr>
      <w:r>
        <w:rPr>
          <w:rFonts w:ascii="Times New Roman;serif" w:hAnsi="Times New Roman;serif"/>
          <w:b w:val="false"/>
          <w:color w:val="000000"/>
          <w:sz w:val="20"/>
        </w:rPr>
        <w:t xml:space="preserve">The following table presents a reconciliation of net (loss) income attributable to CaliberCos Inc. to Fee-Related Earnings, Distributable Earnings, </w:t>
      </w:r>
      <w:r>
        <w:rPr>
          <w:rFonts w:ascii="Times New Roman;serif" w:hAnsi="Times New Roman;serif"/>
          <w:b w:val="false"/>
          <w:color w:val="231F20"/>
          <w:sz w:val="20"/>
        </w:rPr>
        <w:t>Caliber Adjusted EBITDA, and Consolidated Adjusted EBITDA</w:t>
      </w:r>
      <w:r>
        <w:rPr>
          <w:color w:val="000000"/>
        </w:rPr>
        <w:t xml:space="preserve"> </w:t>
      </w:r>
      <w:r>
        <w:rPr>
          <w:rFonts w:ascii="Times New Roman;serif" w:hAnsi="Times New Roman;serif"/>
          <w:b w:val="false"/>
          <w:color w:val="000000"/>
          <w:sz w:val="20"/>
        </w:rPr>
        <w:t>for the three and six months ended June 30, 2025 and 2024 (in thousands):</w:t>
      </w:r>
    </w:p>
    <w:tbl>
      <w:tblPr>
        <w:tblW w:w="10171" w:type="dxa"/>
        <w:jc w:val="left"/>
        <w:tblInd w:w="0" w:type="dxa"/>
        <w:tblLayout w:type="fixed"/>
        <w:tblCellMar>
          <w:top w:w="28" w:type="dxa"/>
          <w:left w:w="28" w:type="dxa"/>
          <w:bottom w:w="28" w:type="dxa"/>
          <w:right w:w="28" w:type="dxa"/>
        </w:tblCellMar>
      </w:tblPr>
      <w:tblGrid>
        <w:gridCol w:w="1738"/>
        <w:gridCol w:w="1527"/>
        <w:gridCol w:w="1534"/>
        <w:gridCol w:w="235"/>
        <w:gridCol w:w="772"/>
        <w:gridCol w:w="121"/>
        <w:gridCol w:w="121"/>
        <w:gridCol w:w="121"/>
        <w:gridCol w:w="121"/>
        <w:gridCol w:w="235"/>
        <w:gridCol w:w="772"/>
        <w:gridCol w:w="121"/>
        <w:gridCol w:w="109"/>
        <w:gridCol w:w="109"/>
        <w:gridCol w:w="109"/>
        <w:gridCol w:w="214"/>
        <w:gridCol w:w="701"/>
        <w:gridCol w:w="110"/>
        <w:gridCol w:w="110"/>
        <w:gridCol w:w="110"/>
        <w:gridCol w:w="110"/>
        <w:gridCol w:w="214"/>
        <w:gridCol w:w="701"/>
        <w:gridCol w:w="156"/>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fee-related earnings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Earnings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Distributable Earnings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Caliber Adjusted EBITDA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 Adjusted EBITDA</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EBITDA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Platform and Consolidated, basic and diluted earnings per share calculations below have been effected for the Reverse Stock Split, retroactively,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revenues, expenses and net income to the most comparable U.S. GAAP measure for the three and six months ended June 30, 2025 and 2024 (in thousands):</w:t>
      </w:r>
    </w:p>
    <w:tbl>
      <w:tblPr>
        <w:tblW w:w="9511"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Platform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96"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1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511"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Platform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96"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1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511"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Platform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96"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1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510"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580"/>
        <w:gridCol w:w="1740"/>
        <w:gridCol w:w="304"/>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24,044 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39,963 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Platform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96"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1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2025, we had a portfolio of corporate notes, whose composition and characteristics are similar to those reported in prior periods. At June 30, 2025, the portfolio consists of 195 unsecured notes with an aggregate principal balance of $33.0 million. As of August 14, 2025, an aggregate of $26.3 million of corporate and convertible notes mature within the 12-month period subsequent to when these financial statements were issued. The notes generally have 12-month or 36-month terms, with the 12-month note holders having the option to extend for an additional 12-month term.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we incurred recurring operating losses and negative cash flow from operations, and could experience additional future operating losses and negative cash flow in the near term, combined with the fact that we do not have sufficient cash on hand to satisfy the total of the notes that mature within the next 12 months, these conditions and events raise substantial doubt about our ability to continue as a going concern. In response to these conditions, management considered the impact of these near-term maturities on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evaluated the impact a default of one or many of these notes might have on us. As these notes are unsecured, the terms in the agreements do not afford the note holder avenues of recourse in a default that could or would impact us adversely in the normal course of business, as the terms lack provisions for rights or claims against our assets, nor is there a scenario where a default could force liquidation of us. Management believes that even in the event of default of one or many of these notes, we would be able to negotiate a waiver of the default either through an extension of the maturity or principal repayment schedule.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satisfy the maturity of these corporate notes, we intend to raise $20.0 million of preferred stock series AA financing through its Reg A+ offering, which was qualified on March 12, 2025, and refinance existing 12-month term notes into its new 36-month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corporate note program. Year to date through August 14, 2025, we have successfully refinanced $4.8 million of 12-month term corporate notes into its new 36-month term corporate note program.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financing actions noted, management continues to execute various plans implemented in the year to address operating losses and near-term maturities or demands for repayment of its notes. Consistent with reported actions taken in prior reporting periods, management plans to continue to i) reduce operating costs, ii) collect all or part of its $7.5 million in receivables, iii) collect all or part of its $12.3 million in investments from its managed funds, iv) increase capital raise through continued expansion of fundraising channels, v) sell or accept investment into its corporate headquarters, vi) place debt on unencumbered assets, and/or vii) generate planned cash from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as part of the execution of our aforementioned plans, we collected $0.2 million in notes receivable, $7.9 million in accounts receivable, and $1.6 million in redemptions of investments from its managed funds. In addition, we have implemented broad-based costs reductions, most notably being further workforce reductions, which are expected to result in annualized cost savings of $3.9 million in compensation and employee benefit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After consideration of the implemented and planned actions, management concluded these plans are not within our control and therefore cannot be deemed probable. As a result, we have concluded that management’s plans do not alleviate substantial doubt about our ability to continue as a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us for services performed by us.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we have issued and outstanding unsecured promissory notes of $33.0 million with an average outstanding principal balance of $0.2 million, a weighted average interest rate of 10.95%, and maturity dates ranging from January 2024 to March 2028. The purpose of this financing program is to provide us with flexible, short-term capital to be used to grow its assets under management and assist funds in a fast-moving acquisition or investment, as well as general corporate purposes. Additionally, the program provides customers of our funds access to a short-term lending opportunity. Management actively manages each relationship to determine if the respective customer would like to redeem upon maturity or extend for an additional period of time. This outstanding debt resulted in interest expense of $0.9 million and $1.8 million for the three and six months ended June 30, 2025, respectively, and $1.0 million and $2.1 million for the three and six months ended June 30, 2024,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 Analysis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section below discusses in more detail our primary sources and uses of cash and primary drivers of cash flows within the our condensed consolidated statements of cash flows (in thousands):</w:t>
      </w:r>
    </w:p>
    <w:tbl>
      <w:tblPr>
        <w:tblW w:w="7659"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211"/>
        <w:gridCol w:w="691"/>
        <w:gridCol w:w="109"/>
        <w:gridCol w:w="109"/>
        <w:gridCol w:w="109"/>
        <w:gridCol w:w="109"/>
        <w:gridCol w:w="211"/>
        <w:gridCol w:w="796"/>
        <w:gridCol w:w="109"/>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condensed consolidated statements of cash flow by activity attributable to us and to our consolidated funds (in thousands):</w:t>
      </w:r>
    </w:p>
    <w:tbl>
      <w:tblPr>
        <w:tblW w:w="9654" w:type="dxa"/>
        <w:jc w:val="left"/>
        <w:tblInd w:w="0" w:type="dxa"/>
        <w:tblLayout w:type="fixed"/>
        <w:tblCellMar>
          <w:top w:w="28" w:type="dxa"/>
          <w:left w:w="28" w:type="dxa"/>
          <w:bottom w:w="28" w:type="dxa"/>
          <w:right w:w="28" w:type="dxa"/>
        </w:tblCellMar>
      </w:tblPr>
      <w:tblGrid>
        <w:gridCol w:w="1979"/>
        <w:gridCol w:w="1738"/>
        <w:gridCol w:w="1743"/>
        <w:gridCol w:w="109"/>
        <w:gridCol w:w="109"/>
        <w:gridCol w:w="109"/>
        <w:gridCol w:w="211"/>
        <w:gridCol w:w="691"/>
        <w:gridCol w:w="109"/>
        <w:gridCol w:w="109"/>
        <w:gridCol w:w="109"/>
        <w:gridCol w:w="109"/>
        <w:gridCol w:w="211"/>
        <w:gridCol w:w="796"/>
        <w:gridCol w:w="109"/>
        <w:gridCol w:w="109"/>
        <w:gridCol w:w="109"/>
        <w:gridCol w:w="109"/>
        <w:gridCol w:w="211"/>
        <w:gridCol w:w="721"/>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net cash flows from operating activities are generally comprised of asset management revenues and performance allocations, less cash used for operating expenses, including interest paid on our debt obligations. Net cash flows used in operating activities of the Company remained relatively constant during the six months ended June 30, 2025 as compared to the same period in 2024. Net cash flows provided by operating activities of the consolidated funds decreased during the six months ended June 30, 2025, as compared to the same period in 2024, which was primarily related to the deconsolidation of VIEs.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flows provided by investing activities of the Company decreased during the six months ended June 30, 2025, as compared to the same period in 2024. The decrease primarily related to a decrease in payments received on notes receivables -related parties. The decrease in net cash flows used in investing activities of the consolidated funds during the six months ended June 30, 2025, as compared to the same period in 2024, is primarily due to the deconsolidation of VIEs, offset by a decrease in the net proceeds from notes receivable - related parties.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flows provided by financing activities of the Company increased during the six months ended June 30, 2025 as compared to the net cash flows used in financing activities of the Company for the same period in 2024. The increase was primarily due to an increase of $4.2 million of net proceeds on notes payable, and an increase in the proceeds from the issuance of common stock and redeemable preferred stock. The decrease in net cash flows provided by financing activities of the consolidated funds during the six months ended June 30, 2025, as compared to the same period in 2024, is primarily due to a decrease in contributions from noncontrolling interest holders of $11.7 million, offset by an increase of $6.2 million of net proceeds on notes payable and a decrease in distributions to noncontrolling interest holders of $3.7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and Estimates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affect our more significant estimates and judgements used in the preparation of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In accordance with the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our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its anticipated performance and all information that is reasonably available to us. Revenues are recognized when control of the promised services is transferred to customers in an amount that reflects the consideration we expect to be entitled to in exchange for those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revenue recognition for the fees we earn from providing services under our asset management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the Caliber Hospitality Trust, we earns a fund management fee of 0.7% of the Caliber Hospitality Trust’s enterprise value and are reimbursed for certain costs incurred on behalf of the Caliber Hospitality Trust.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condensed consolidated statements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both"/>
        <w:rPr/>
      </w:pPr>
      <w:r>
        <w:rPr>
          <w:rFonts w:ascii="Times New Roman;serif" w:hAnsi="Times New Roman;serif"/>
          <w:b w:val="false"/>
          <w:color w:val="000000"/>
          <w:sz w:val="20"/>
        </w:rPr>
        <w:t xml:space="preserve">We account for income taxes under the asset and liability method in accordance with ASC 740, </w:t>
      </w:r>
      <w:r>
        <w:rPr>
          <w:rFonts w:ascii="Times New Roman;serif" w:hAnsi="Times New Roman;serif"/>
          <w:b w:val="false"/>
          <w:i/>
          <w:color w:val="000000"/>
          <w:sz w:val="20"/>
        </w:rPr>
        <w:t>Accounting for Income Taxes</w:t>
      </w:r>
      <w:r>
        <w:rPr>
          <w:rFonts w:ascii="Times New Roman;serif" w:hAnsi="Times New Roman;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our ability to utilize the loss carryforward.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Accounting Estimates of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affect the consolidated funds’ more significant estimates and judgements used in the preparation of our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hospitality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other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funds - other revenue primarily consists of rental revenue of $0.2 million and $0.3 million for the three and six months ended June 30, 2025, respectively, and $0.5 million and $0.9 million during the three and six months ended June 30, 2024, respectively. Rental revenue includes the revenues generated primarily by the rental operations of the residential (multi-family and single-family) and commercial properties of our consolidated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consolidated funds – other revenue includes interest income, which is generated by a consolidated fund’s lending activity. There was no interest income for the three and six months ended June 30, 2025. For the three and six months ended June 30, 2024, there was $1.6 million and $2.6 million, respectively, of interest income. Interest income is recognized on the accrual basis of accounting in accordance with the lending agreements over the term of the respective loan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3. Quantitative and Qualitative Disclosures About Market Risk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our debt included fixed-rate debt with a fair value and carrying value of $57.5 million and $62.7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 As of June 30, 2025, we did not have any variable-rate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of our revenues are generated from the management, ownership and/or operations of real estate assets located in Alaska, Arizona, Colorado, Kansas, Texas, and Virginia. We mitigate the associated risk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maintaining financing relationships with a diversified mix of lenders (differing size and type), including large national banks, local community banks, private equity lenders, and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4. Controls and Procedures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June 30, 2025 and determined that the disclosure controls and procedures were effective at a reasonable assurance level as of that date.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change occurred in our internal control over financial reporting (as defined in Rules 13a-15(f) and 15d -15(f) of the Exchange Act) during the three months ended June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 Legal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1A. Risk Factors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risk factors previously disclosed in the Risk Factors section in our annual report on Form 10-K filed with the SEC on March 31, 2025 and in our quarterly report on Form 10-Q files with the SEC on May 15, 2025. In addition to the risks set forth in our Annual Report on Form 10-K for the year ended December 31, 2024, additional risks and uncertainties not currently known to us or that we currently deem to be immaterial may also materially and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4. Mine Safety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5. Other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 Trading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2025, no director or officer (as defined in Rule 16a-1(f) of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67"/>
        <w:gridCol w:w="322"/>
        <w:gridCol w:w="323"/>
        <w:gridCol w:w="109"/>
        <w:gridCol w:w="109"/>
        <w:gridCol w:w="109"/>
        <w:gridCol w:w="2706"/>
        <w:gridCol w:w="2537"/>
        <w:gridCol w:w="362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CaliberCos Inc. (incorporated by reference to Exhibit 3.2 of CaliberCos Inc.’s Form 8-K filed with the SEC on May 19, 2023)</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Preferences and Rights relating to the Series A Convertible Preferred Stock, dated November 26, 2024 (incorporated by reference to Exhibit 3.1 of CaliberCos Inc.’s Form 8-K filed with the SEC on December 4, 2024)</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Preferences and Rights relating to the Series AA Cumulative Redeemable Preferred Stock, dated March 5, 20245 (incorporated by reference to Exhibit 3.1 of CaliberCos Inc.’s Form 8-K filed with the SEC on March 11,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Certificate of Amendment to the Third Amended and Restated Certificate of Incorporation filed on April 23, 2025 (incorporated by reference to Exhibit 3.1 of CaliberCos Inc.’s Form 8-K filed with the SEC on April 25,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Certificate of Adoption of Bylaw Amendment (incorporated by reference to Exhibit 3.1 of CaliberCos Inc.’s Form 8-K filed with the SEC on June 20,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Description of Securities (incorporated by reference to Exhibit 4.1 of CaliberCos Inc.’s Form 10-K filed with the SEC on March 31,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Warrant (incorporated by reference to Exhibit 4.1 of CaliberCos Inc.’s Form 8-K filed with the SEC on April 14,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Note (incorporated by reference to Exhibit 4.2 of CaliberCos Inc.’s Form 8-K filed with the SEC on April 14,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Representative’s Warrants (incorporated by reference to Exhibit 4.1 of CaliberCos Inc.’s Form 8-K filed with the SEC on April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Rights Agreement, dated April 17, 2025, between the Company and Continental Stock Transfer &amp; Trust Company, as rights agent (incorporated by reference to Exhibit 4.2 of CaliberCos Inc.’s Form 8-K filed with the SEC on April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22025.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22025.htm">
              <w:r>
                <w:rPr>
                  <w:rStyle w:val="InternetLink"/>
                  <w:rFonts w:ascii="Times New Roman;serif" w:hAnsi="Times New Roman;serif"/>
                  <w:b w:val="false"/>
                  <w:color w:val="0000FF"/>
                  <w:sz w:val="20"/>
                  <w:u w:val="single"/>
                </w:rPr>
                <w:t>Certification of Principal Executive Officer Pursuant to Rules 13a-14(a) and 15d-14(a)</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22025.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22025.htm">
              <w:r>
                <w:rPr>
                  <w:rStyle w:val="InternetLink"/>
                  <w:rFonts w:ascii="Times New Roman;serif" w:hAnsi="Times New Roman;serif"/>
                  <w:b w:val="false"/>
                  <w:color w:val="0000FF"/>
                  <w:sz w:val="20"/>
                  <w:u w:val="single"/>
                </w:rPr>
                <w:t>Certification of Principal Financial Officer Pursuant to Rules 13a-14(a) and 15d-14(a)</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22025.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22025.htm">
              <w:r>
                <w:rPr>
                  <w:rStyle w:val="InternetLink"/>
                  <w:rFonts w:ascii="Times New Roman;serif" w:hAnsi="Times New Roman;serif"/>
                  <w:b w:val="false"/>
                  <w:color w:val="0000FF"/>
                  <w:sz w:val="20"/>
                  <w:u w:val="single"/>
                </w:rPr>
                <w:t>Certification of Principal Executive Officer Pursuant to 18 U.S.C. Section 1350</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22025.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22025.htm">
              <w:r>
                <w:rPr>
                  <w:rStyle w:val="InternetLink"/>
                  <w:rFonts w:ascii="Times New Roman;serif" w:hAnsi="Times New Roman;serif"/>
                  <w:b w:val="false"/>
                  <w:color w:val="0000FF"/>
                  <w:sz w:val="20"/>
                  <w:u w:val="single"/>
                </w:rPr>
                <w:t>Certification of Principal Financial Officer Pursuant to 18 U.S.C. Section 1350</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and contained in Exhibit 101)</w:t>
            </w:r>
          </w:p>
        </w:tc>
      </w:tr>
    </w:tbl>
    <w:p>
      <w:pPr>
        <w:pStyle w:val="TextBody"/>
        <w:bidi w:val="0"/>
        <w:spacing w:before="0" w:after="0"/>
        <w:jc w:val="center"/>
        <w:rPr/>
      </w:pPr>
      <w:r>
        <w:rPr/>
      </w:r>
    </w:p>
    <w:tbl>
      <w:tblPr>
        <w:tblW w:w="4857" w:type="dxa"/>
        <w:jc w:val="center"/>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Pursuant to the requirements of the Securities Act of 1933, the registrant has duly caused this Quarterly Report on Form 10-Q to be signed on its behalf by the undersigned, thereunto duly authorized, in Scottsdale, Arizona, </w:t>
      </w:r>
      <w:r>
        <w:rPr>
          <w:rFonts w:ascii="Times New Roman;serif" w:hAnsi="Times New Roman;serif"/>
          <w:b w:val="false"/>
          <w:color w:val="000000"/>
          <w:sz w:val="20"/>
        </w:rPr>
        <w:t>on August 14, 2025.</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required under the Securities Act of 1933, this Quarterly Report on Form 10-Q has been signed below by the following persons in the capacities and on the dates indicated:</w:t>
      </w:r>
    </w:p>
    <w:tbl>
      <w:tblPr>
        <w:tblW w:w="8542"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498"/>
        <w:gridCol w:w="1498"/>
        <w:gridCol w:w="1518"/>
        <w:gridCol w:w="109"/>
        <w:gridCol w:w="109"/>
        <w:gridCol w:w="109"/>
        <w:gridCol w:w="436"/>
        <w:gridCol w:w="436"/>
        <w:gridCol w:w="628"/>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Chief Financial Officer (</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Jade Leung,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1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CaliberCos Inc. (the “Company”) on Form 10-Q, for the fiscal quarter ended June 30, 2025,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CaliberCos Inc. (the “Company”) on Form 10-Q, for the fiscal quarter ended June 30, 2025,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1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ix?doc=/Archives/edgar/data/0001627282/000162728224000136/cwd-20241126.htm" TargetMode="External"/><Relationship Id="rId7" Type="http://schemas.openxmlformats.org/officeDocument/2006/relationships/hyperlink" Target="https://www.sec.gov/ix?doc=/Archives/edgar/data/0001627282/000162728224000136/cwd-20241126.htm" TargetMode="External"/><Relationship Id="rId8" Type="http://schemas.openxmlformats.org/officeDocument/2006/relationships/hyperlink" Target="https://www.sec.gov/ix?doc=/Archives/edgar/data/0001627282/000162728225000007/cwd-20250305.htm" TargetMode="External"/><Relationship Id="rId9" Type="http://schemas.openxmlformats.org/officeDocument/2006/relationships/hyperlink" Target="https://www.sec.gov/ix?doc=/Archives/edgar/data/0001627282/000162728225000007/cwd-20250305.htm" TargetMode="External"/><Relationship Id="rId10" Type="http://schemas.openxmlformats.org/officeDocument/2006/relationships/hyperlink" Target="https://www.sec.gov/Archives/edgar/data/1627282/000162728225000048/cert_ofxamendmentxrevers.htm" TargetMode="External"/><Relationship Id="rId11" Type="http://schemas.openxmlformats.org/officeDocument/2006/relationships/hyperlink" Target="https://www.sec.gov/Archives/edgar/data/1627282/000162728225000048/cert_ofxamendmentxrevers.htm" TargetMode="External"/><Relationship Id="rId12" Type="http://schemas.openxmlformats.org/officeDocument/2006/relationships/hyperlink" Target="https://www.sec.gov/Archives/edgar/data/1627282/000162728225000079/cwd-20250616.htm" TargetMode="External"/><Relationship Id="rId13" Type="http://schemas.openxmlformats.org/officeDocument/2006/relationships/hyperlink" Target="https://www.sec.gov/Archives/edgar/data/1627282/000162728225000079/cwd-20250616.htm" TargetMode="External"/><Relationship Id="rId14" Type="http://schemas.openxmlformats.org/officeDocument/2006/relationships/hyperlink" Target="https://www.sec.gov/Archives/edgar/data/1627282/000162728225000028/exhibit41-descriptionofsec.htm" TargetMode="External"/><Relationship Id="rId15" Type="http://schemas.openxmlformats.org/officeDocument/2006/relationships/hyperlink" Target="https://www.sec.gov/Archives/edgar/data/1627282/000162728225000028/exhibit41-descriptionofsec.htm" TargetMode="External"/><Relationship Id="rId16" Type="http://schemas.openxmlformats.org/officeDocument/2006/relationships/hyperlink" Target="https://www.sec.gov/Archives/edgar/data/1627282/000110465922112555/tm2228946d1_ex4-1.htm" TargetMode="External"/><Relationship Id="rId17" Type="http://schemas.openxmlformats.org/officeDocument/2006/relationships/hyperlink" Target="https://www.sec.gov/Archives/edgar/data/1627282/000110465922112555/tm2228946d1_ex4-1.htm" TargetMode="External"/><Relationship Id="rId18" Type="http://schemas.openxmlformats.org/officeDocument/2006/relationships/hyperlink" Target="https://www.sec.gov/Archives/edgar/data/1627282/000110465923035668/tm2230806d13_ex4-2.htm" TargetMode="External"/><Relationship Id="rId19" Type="http://schemas.openxmlformats.org/officeDocument/2006/relationships/hyperlink" Target="https://www.sec.gov/Archives/edgar/data/1627282/000110465923035668/tm2230806d13_ex4-2.htm" TargetMode="External"/><Relationship Id="rId20" Type="http://schemas.openxmlformats.org/officeDocument/2006/relationships/hyperlink" Target="https://www.sec.gov/Archives/edgar/data/1627282/000114420419030743/tv515450_ex3-2.htm" TargetMode="External"/><Relationship Id="rId21" Type="http://schemas.openxmlformats.org/officeDocument/2006/relationships/hyperlink" Target="https://www.sec.gov/Archives/edgar/data/1627282/000114420419030743/tv515450_ex3-2.htm" TargetMode="External"/><Relationship Id="rId22" Type="http://schemas.openxmlformats.org/officeDocument/2006/relationships/hyperlink" Target="https://www.sec.gov/Archives/edgar/data/1627282/000110465925034317/tm2512134d1_ex4-1.htm" TargetMode="External"/><Relationship Id="rId23" Type="http://schemas.openxmlformats.org/officeDocument/2006/relationships/hyperlink" Target="https://www.sec.gov/Archives/edgar/data/1627282/000110465925034317/tm2512134d1_ex4-1.htm" TargetMode="External"/><Relationship Id="rId24" Type="http://schemas.openxmlformats.org/officeDocument/2006/relationships/hyperlink" Target="https://www.sec.gov/Archives/edgar/data/1627282/000110465925034317/tm2512134d1_ex4-2.htm" TargetMode="External"/><Relationship Id="rId25" Type="http://schemas.openxmlformats.org/officeDocument/2006/relationships/hyperlink" Target="https://www.sec.gov/Archives/edgar/data/1627282/000110465925034317/tm2512134d1_ex4-2.htm" TargetMode="External"/><Relationship Id="rId26" Type="http://schemas.openxmlformats.org/officeDocument/2006/relationships/hyperlink" Target="https://www.sec.gov/Archives/edgar/data/1627282/000110465925035972/tm2512544d2_ex4-1.htm" TargetMode="External"/><Relationship Id="rId27" Type="http://schemas.openxmlformats.org/officeDocument/2006/relationships/hyperlink" Target="https://www.sec.gov/Archives/edgar/data/1627282/000110465925035972/tm2512544d2_ex4-1.htm" TargetMode="External"/><Relationship Id="rId28" Type="http://schemas.openxmlformats.org/officeDocument/2006/relationships/hyperlink" Target="https://www.sec.gov/Archives/edgar/data/1627282/000110465925035972/tm2512544d2_ex4-2.htm" TargetMode="External"/><Relationship Id="rId29" Type="http://schemas.openxmlformats.org/officeDocument/2006/relationships/hyperlink" Target="https://www.sec.gov/Archives/edgar/data/1627282/000110465925035972/tm2512544d2_ex4-2.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36174</Words>
  <Characters>200441</Characters>
  <CharactersWithSpaces>234018</CharactersWithSpaces>
  <Paragraphs>4722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