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rFonts w:ascii="Times New Roman;serif" w:hAnsi="Times New Roman;serif"/>
          <w:b w:val="false"/>
          <w:color w:val="000000"/>
          <w:sz w:val="20"/>
        </w:rPr>
        <w:t>______</w:t>
      </w:r>
      <w:r>
        <w:rPr>
          <w:color w:val="000000"/>
        </w:rPr>
        <w:t xml:space="preserve"> </w:t>
      </w:r>
      <w:r>
        <w:rPr>
          <w:rFonts w:ascii="Times New Roman;serif" w:hAnsi="Times New Roman;serif"/>
          <w:b/>
          <w:color w:val="000000"/>
          <w:sz w:val="20"/>
        </w:rPr>
        <w:t xml:space="preserve">to </w:t>
      </w:r>
      <w:r>
        <w:rPr>
          <w:rFonts w:ascii="Times New Roman;serif" w:hAnsi="Times New Roman;serif"/>
          <w:b w:val="false"/>
          <w:color w:val="000000"/>
          <w:sz w:val="20"/>
        </w:rPr>
        <w:t>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001-41703</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CALIBERCOS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5,988,807 shares of common stock, comprised of 5,617,985 shares of Class A Common Stock and 370,822 shares of Class B Common Stock of CaliberCos Inc. as of November 11,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estimates of our expenses, future revenues, capital requirements and our needs for additional financing;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estimates of the size of our market opportunities;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successfully enter new markets, manage our growth expansion and comply with any applicable laws and regulations;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effects of increased competition from our market competitors;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attraction and retention of qualified employees and key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laws and government regulation affecting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impact of adverse economic conditions;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sufficiency of our cash and cash equivalents to meet our liquidity needs and service our indebtedness;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outcomes of legal or administrative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18"/>
        <w:gridCol w:w="2971"/>
        <w:gridCol w:w="2977"/>
        <w:gridCol w:w="109"/>
        <w:gridCol w:w="109"/>
        <w:gridCol w:w="109"/>
        <w:gridCol w:w="149"/>
        <w:gridCol w:w="149"/>
        <w:gridCol w:w="214"/>
      </w:tblGrid>
      <w:tr>
        <w:trPr/>
        <w:tc>
          <w:tcPr>
            <w:tcW w:w="3418"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3">
              <w:r>
                <w:rPr>
                  <w:rStyle w:val="InternetLink"/>
                  <w:rFonts w:ascii="Times New Roman;serif" w:hAnsi="Times New Roman;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b8aaad688a70473cbd209b6108d9683f_13">
              <w:r>
                <w:rPr>
                  <w:rStyle w:val="InternetLink"/>
                  <w:rFonts w:ascii="Times New Roman;serif" w:hAnsi="Times New Roman;serif"/>
                  <w:b w:val="false"/>
                  <w:color w:val="0000FF"/>
                  <w:sz w:val="20"/>
                  <w:u w:val="single"/>
                </w:rPr>
                <w:t>4</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6">
              <w:r>
                <w:rPr>
                  <w:rStyle w:val="InternetLink"/>
                  <w:rFonts w:ascii="Times New Roman;serif" w:hAnsi="Times New Roman;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6">
              <w:r>
                <w:rPr>
                  <w:rStyle w:val="InternetLink"/>
                  <w:rFonts w:ascii="Times New Roman;serif" w:hAnsi="Times New Roman;serif"/>
                  <w:b w:val="false"/>
                  <w:color w:val="0000FF"/>
                  <w:sz w:val="20"/>
                  <w:u w:val="single"/>
                </w:rPr>
                <w:t>4</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9">
              <w:r>
                <w:rPr>
                  <w:rStyle w:val="InternetLink"/>
                  <w:rFonts w:ascii="Times New Roman;serif" w:hAnsi="Times New Roman;serif"/>
                  <w:b w:val="false"/>
                  <w:color w:val="0000FF"/>
                  <w:sz w:val="20"/>
                  <w:u w:val="single"/>
                </w:rPr>
                <w:t>Condensed Consolidated Balance Sheets as of September 30, 2025 and December 31, 2024</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9">
              <w:r>
                <w:rPr>
                  <w:rStyle w:val="InternetLink"/>
                  <w:rFonts w:ascii="Times New Roman;serif" w:hAnsi="Times New Roman;serif"/>
                  <w:b w:val="false"/>
                  <w:color w:val="0000FF"/>
                  <w:sz w:val="20"/>
                  <w:u w:val="single"/>
                </w:rPr>
                <w:t>4</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22">
              <w:r>
                <w:rPr>
                  <w:rStyle w:val="InternetLink"/>
                  <w:rFonts w:ascii="Times New Roman;serif" w:hAnsi="Times New Roman;serif"/>
                  <w:b w:val="false"/>
                  <w:color w:val="0000FF"/>
                  <w:sz w:val="20"/>
                  <w:u w:val="single"/>
                </w:rPr>
                <w:t>Condensed Consolidated Statements of Operations for the Three and Nine Months Ended September 30, 2025 and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22">
              <w:r>
                <w:rPr>
                  <w:rStyle w:val="InternetLink"/>
                  <w:rFonts w:ascii="Times New Roman;serif" w:hAnsi="Times New Roman;serif"/>
                  <w:b w:val="false"/>
                  <w:color w:val="0000FF"/>
                  <w:sz w:val="20"/>
                  <w:u w:val="single"/>
                </w:rPr>
                <w:t>6</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25">
              <w:r>
                <w:rPr>
                  <w:rStyle w:val="InternetLink"/>
                  <w:rFonts w:ascii="Times New Roman;serif" w:hAnsi="Times New Roman;serif"/>
                  <w:b w:val="false"/>
                  <w:color w:val="0000FF"/>
                  <w:sz w:val="20"/>
                  <w:u w:val="single"/>
                </w:rPr>
                <w:t>Condensed Consolidated Statements of Changes in Stockholders’ (Deficit) Equity for the Three and Nine Months Ended September 30, 2025 and 2024</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25">
              <w:r>
                <w:rPr>
                  <w:rStyle w:val="InternetLink"/>
                  <w:rFonts w:ascii="Times New Roman;serif" w:hAnsi="Times New Roman;serif"/>
                  <w:b w:val="false"/>
                  <w:color w:val="0000FF"/>
                  <w:sz w:val="20"/>
                  <w:u w:val="single"/>
                </w:rPr>
                <w:t>7</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28">
              <w:r>
                <w:rPr>
                  <w:rStyle w:val="InternetLink"/>
                  <w:rFonts w:ascii="Times New Roman;serif" w:hAnsi="Times New Roman;serif"/>
                  <w:b w:val="false"/>
                  <w:color w:val="0000FF"/>
                  <w:sz w:val="20"/>
                  <w:u w:val="single"/>
                </w:rPr>
                <w:t>Condensed Consolidated Statements of Cash Flows for the Nine Months Ended September 30, 2025 and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28">
              <w:r>
                <w:rPr>
                  <w:rStyle w:val="InternetLink"/>
                  <w:rFonts w:ascii="Times New Roman;serif" w:hAnsi="Times New Roman;serif"/>
                  <w:b w:val="false"/>
                  <w:color w:val="0000FF"/>
                  <w:sz w:val="20"/>
                  <w:u w:val="single"/>
                </w:rPr>
                <w:t>9</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31">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31">
              <w:r>
                <w:rPr>
                  <w:rStyle w:val="InternetLink"/>
                  <w:rFonts w:ascii="Times New Roman;serif" w:hAnsi="Times New Roman;serif"/>
                  <w:b w:val="false"/>
                  <w:color w:val="0000FF"/>
                  <w:sz w:val="20"/>
                  <w:u w:val="single"/>
                </w:rPr>
                <w:t>11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97">
              <w:r>
                <w:rPr>
                  <w:rStyle w:val="InternetLink"/>
                  <w:rFonts w:ascii="Times New Roman;serif" w:hAnsi="Times New Roman;serif"/>
                  <w:b w:val="false"/>
                  <w:color w:val="0000FF"/>
                  <w:sz w:val="20"/>
                  <w:u w:val="single"/>
                </w:rPr>
                <w:t>46</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39">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39">
              <w:r>
                <w:rPr>
                  <w:rStyle w:val="InternetLink"/>
                  <w:rFonts w:ascii="Times New Roman;serif" w:hAnsi="Times New Roman;serif"/>
                  <w:b w:val="false"/>
                  <w:color w:val="0000FF"/>
                  <w:sz w:val="20"/>
                  <w:u w:val="single"/>
                </w:rPr>
                <w:t>73</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42">
              <w:r>
                <w:rPr>
                  <w:rStyle w:val="InternetLink"/>
                  <w:rFonts w:ascii="Times New Roman;serif" w:hAnsi="Times New Roman;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42">
              <w:r>
                <w:rPr>
                  <w:rStyle w:val="InternetLink"/>
                  <w:rFonts w:ascii="Times New Roman;serif" w:hAnsi="Times New Roman;serif"/>
                  <w:b w:val="false"/>
                  <w:color w:val="0000FF"/>
                  <w:sz w:val="20"/>
                  <w:u w:val="single"/>
                </w:rPr>
                <w:t>73</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45">
              <w:r>
                <w:rPr>
                  <w:rStyle w:val="InternetLink"/>
                  <w:rFonts w:ascii="Times New Roman;serif" w:hAnsi="Times New Roman;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45">
              <w:r>
                <w:rPr>
                  <w:rStyle w:val="InternetLink"/>
                  <w:rFonts w:ascii="Times New Roman;serif" w:hAnsi="Times New Roman;serif"/>
                  <w:b w:val="false"/>
                  <w:color w:val="0000FF"/>
                  <w:sz w:val="20"/>
                  <w:u w:val="single"/>
                </w:rPr>
                <w:t>75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48">
              <w:r>
                <w:rPr>
                  <w:rStyle w:val="InternetLink"/>
                  <w:rFonts w:ascii="Times New Roman;serif" w:hAnsi="Times New Roman;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48">
              <w:r>
                <w:rPr>
                  <w:rStyle w:val="InternetLink"/>
                  <w:rFonts w:ascii="Times New Roman;serif" w:hAnsi="Times New Roman;serif"/>
                  <w:b w:val="false"/>
                  <w:color w:val="0000FF"/>
                  <w:sz w:val="20"/>
                  <w:u w:val="single"/>
                </w:rPr>
                <w:t>75</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51">
              <w:r>
                <w:rPr>
                  <w:rStyle w:val="InternetLink"/>
                  <w:rFonts w:ascii="Times New Roman;serif" w:hAnsi="Times New Roman;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51">
              <w:r>
                <w:rPr>
                  <w:rStyle w:val="InternetLink"/>
                  <w:rFonts w:ascii="Times New Roman;serif" w:hAnsi="Times New Roman;serif"/>
                  <w:b w:val="false"/>
                  <w:color w:val="0000FF"/>
                  <w:sz w:val="20"/>
                  <w:u w:val="single"/>
                </w:rPr>
                <w:t>75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54">
              <w:r>
                <w:rPr>
                  <w:rStyle w:val="InternetLink"/>
                  <w:rFonts w:ascii="Times New Roman;serif" w:hAnsi="Times New Roman;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54">
              <w:r>
                <w:rPr>
                  <w:rStyle w:val="InternetLink"/>
                  <w:rFonts w:ascii="Times New Roman;serif" w:hAnsi="Times New Roman;serif"/>
                  <w:b w:val="false"/>
                  <w:color w:val="0000FF"/>
                  <w:sz w:val="20"/>
                  <w:u w:val="single"/>
                </w:rPr>
                <w:t>75</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57">
              <w:r>
                <w:rPr>
                  <w:rStyle w:val="InternetLink"/>
                  <w:rFonts w:ascii="Times New Roman;serif" w:hAnsi="Times New Roman;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57">
              <w:r>
                <w:rPr>
                  <w:rStyle w:val="InternetLink"/>
                  <w:rFonts w:ascii="Times New Roman;serif" w:hAnsi="Times New Roman;serif"/>
                  <w:b w:val="false"/>
                  <w:color w:val="0000FF"/>
                  <w:sz w:val="20"/>
                  <w:u w:val="single"/>
                </w:rPr>
                <w:t>75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60">
              <w:r>
                <w:rPr>
                  <w:rStyle w:val="InternetLink"/>
                  <w:rFonts w:ascii="Times New Roman;serif" w:hAnsi="Times New Roman;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60">
              <w:r>
                <w:rPr>
                  <w:rStyle w:val="InternetLink"/>
                  <w:rFonts w:ascii="Times New Roman;serif" w:hAnsi="Times New Roman;serif"/>
                  <w:b w:val="false"/>
                  <w:color w:val="0000FF"/>
                  <w:sz w:val="20"/>
                  <w:u w:val="single"/>
                </w:rPr>
                <w:t>75</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63">
              <w:r>
                <w:rPr>
                  <w:rStyle w:val="InternetLink"/>
                  <w:rFonts w:ascii="Times New Roman;serif" w:hAnsi="Times New Roman;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63">
              <w:r>
                <w:rPr>
                  <w:rStyle w:val="InternetLink"/>
                  <w:rFonts w:ascii="Times New Roman;serif" w:hAnsi="Times New Roman;serif"/>
                  <w:b w:val="false"/>
                  <w:color w:val="0000FF"/>
                  <w:sz w:val="20"/>
                  <w:u w:val="single"/>
                </w:rPr>
                <w:t>75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66">
              <w:r>
                <w:rPr>
                  <w:rStyle w:val="InternetLink"/>
                  <w:rFonts w:ascii="Times New Roman;serif" w:hAnsi="Times New Roman;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66">
              <w:r>
                <w:rPr>
                  <w:rStyle w:val="InternetLink"/>
                  <w:rFonts w:ascii="Times New Roman;serif" w:hAnsi="Times New Roman;serif"/>
                  <w:b w:val="false"/>
                  <w:color w:val="0000FF"/>
                  <w:sz w:val="20"/>
                  <w:u w:val="single"/>
                </w:rPr>
                <w:t>76</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b8aaad688a70473cbd209b6108d9683f_169">
              <w:r>
                <w:rPr>
                  <w:rStyle w:val="InternetLink"/>
                  <w:rFonts w:ascii="Times New Roman;serif" w:hAnsi="Times New Roman;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b8aaad688a70473cbd209b6108d9683f_169">
              <w:r>
                <w:rPr>
                  <w:rStyle w:val="InternetLink"/>
                  <w:rFonts w:ascii="Times New Roman;serif" w:hAnsi="Times New Roman;serif"/>
                  <w:b w:val="false"/>
                  <w:color w:val="0000FF"/>
                  <w:sz w:val="20"/>
                  <w:u w:val="singl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955"/>
        <w:gridCol w:w="2151"/>
        <w:gridCol w:w="2139"/>
        <w:gridCol w:w="255"/>
        <w:gridCol w:w="875"/>
        <w:gridCol w:w="132"/>
        <w:gridCol w:w="109"/>
        <w:gridCol w:w="109"/>
        <w:gridCol w:w="109"/>
        <w:gridCol w:w="242"/>
        <w:gridCol w:w="949"/>
        <w:gridCol w:w="180"/>
      </w:tblGrid>
      <w:tr>
        <w:trPr/>
        <w:tc>
          <w:tcPr>
            <w:tcW w:w="2955"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 allowance of $483 and zero, respectively</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allowance of $4,134 and $3,985, respectively</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 of consolidated funds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allowance of zero and $28, respectively</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 (DEFICIT)</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Series AA cumulative redeemable preferred stock, net of issuance costs, $25.00 per share stated value, 800,000 shares authorized, 139,819 and zero shares issued and outstanding as of September 30, 2025 and December 31, 2024, respectively</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of consolidated funds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00"/>
        <w:gridCol w:w="2285"/>
        <w:gridCol w:w="2295"/>
        <w:gridCol w:w="263"/>
        <w:gridCol w:w="900"/>
        <w:gridCol w:w="136"/>
        <w:gridCol w:w="109"/>
        <w:gridCol w:w="109"/>
        <w:gridCol w:w="109"/>
        <w:gridCol w:w="247"/>
        <w:gridCol w:w="969"/>
        <w:gridCol w:w="183"/>
      </w:tblGrid>
      <w:tr>
        <w:trPr/>
        <w:tc>
          <w:tcPr>
            <w:tcW w:w="260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Series A non-cumulative convertible preferred stock, $0.001 par value; 22,500,000 shares authorized, and 5,875 and 5,000 shares issued and outstanding as of September 30, 2025 and December 31, 2024, respectively</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Series B convertible preferred stock, $0.001 par value; 50,000 shares authorized, and 15,868 and zero shares issued and outstanding as of September 30, 2025 and December 31, 2024, respectively</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Class A, $0.001 par value; 100,000,000 shares authorized, 5,061,822 and 759,370 shares issued and outstanding as of September 30, 2025 and December 31, 2024, respectively</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Common stock Class B, $0.001 par value; 15,000,000 shares authorized, 370,822 shares issued and outstanding as September 30, 2025 and December 31, 2024</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 attributable to CaliberCos Inc.</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noncontrolling interests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587"/>
        <w:gridCol w:w="1331"/>
        <w:gridCol w:w="1343"/>
        <w:gridCol w:w="260"/>
        <w:gridCol w:w="831"/>
        <w:gridCol w:w="134"/>
        <w:gridCol w:w="134"/>
        <w:gridCol w:w="134"/>
        <w:gridCol w:w="134"/>
        <w:gridCol w:w="260"/>
        <w:gridCol w:w="760"/>
        <w:gridCol w:w="134"/>
        <w:gridCol w:w="109"/>
        <w:gridCol w:w="109"/>
        <w:gridCol w:w="109"/>
        <w:gridCol w:w="238"/>
        <w:gridCol w:w="876"/>
        <w:gridCol w:w="122"/>
        <w:gridCol w:w="122"/>
        <w:gridCol w:w="122"/>
        <w:gridCol w:w="122"/>
        <w:gridCol w:w="238"/>
        <w:gridCol w:w="813"/>
        <w:gridCol w:w="183"/>
      </w:tblGrid>
      <w:tr>
        <w:trPr/>
        <w:tc>
          <w:tcPr>
            <w:tcW w:w="158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CaliberCos Inc.</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attributable to common stockholders</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attributable to common stockholders</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2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 EQUITY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3566" w:type="dxa"/>
        <w:jc w:val="left"/>
        <w:tblInd w:w="0" w:type="dxa"/>
        <w:tblLayout w:type="fixed"/>
        <w:tblCellMar>
          <w:top w:w="28" w:type="dxa"/>
          <w:left w:w="28" w:type="dxa"/>
          <w:bottom w:w="28" w:type="dxa"/>
          <w:right w:w="28" w:type="dxa"/>
        </w:tblCellMar>
      </w:tblPr>
      <w:tblGrid>
        <w:gridCol w:w="516"/>
        <w:gridCol w:w="282"/>
        <w:gridCol w:w="283"/>
        <w:gridCol w:w="203"/>
        <w:gridCol w:w="203"/>
        <w:gridCol w:w="171"/>
        <w:gridCol w:w="109"/>
        <w:gridCol w:w="109"/>
        <w:gridCol w:w="109"/>
        <w:gridCol w:w="181"/>
        <w:gridCol w:w="406"/>
        <w:gridCol w:w="109"/>
        <w:gridCol w:w="109"/>
        <w:gridCol w:w="109"/>
        <w:gridCol w:w="109"/>
        <w:gridCol w:w="203"/>
        <w:gridCol w:w="203"/>
        <w:gridCol w:w="171"/>
        <w:gridCol w:w="109"/>
        <w:gridCol w:w="109"/>
        <w:gridCol w:w="109"/>
        <w:gridCol w:w="181"/>
        <w:gridCol w:w="406"/>
        <w:gridCol w:w="109"/>
        <w:gridCol w:w="109"/>
        <w:gridCol w:w="109"/>
        <w:gridCol w:w="109"/>
        <w:gridCol w:w="231"/>
        <w:gridCol w:w="235"/>
        <w:gridCol w:w="171"/>
        <w:gridCol w:w="109"/>
        <w:gridCol w:w="109"/>
        <w:gridCol w:w="109"/>
        <w:gridCol w:w="195"/>
        <w:gridCol w:w="211"/>
        <w:gridCol w:w="109"/>
        <w:gridCol w:w="109"/>
        <w:gridCol w:w="109"/>
        <w:gridCol w:w="109"/>
        <w:gridCol w:w="202"/>
        <w:gridCol w:w="204"/>
        <w:gridCol w:w="171"/>
        <w:gridCol w:w="109"/>
        <w:gridCol w:w="109"/>
        <w:gridCol w:w="109"/>
        <w:gridCol w:w="181"/>
        <w:gridCol w:w="406"/>
        <w:gridCol w:w="109"/>
        <w:gridCol w:w="109"/>
        <w:gridCol w:w="109"/>
        <w:gridCol w:w="109"/>
        <w:gridCol w:w="181"/>
        <w:gridCol w:w="541"/>
        <w:gridCol w:w="109"/>
        <w:gridCol w:w="109"/>
        <w:gridCol w:w="109"/>
        <w:gridCol w:w="109"/>
        <w:gridCol w:w="109"/>
        <w:gridCol w:w="109"/>
        <w:gridCol w:w="181"/>
        <w:gridCol w:w="581"/>
        <w:gridCol w:w="109"/>
        <w:gridCol w:w="109"/>
        <w:gridCol w:w="218"/>
        <w:gridCol w:w="222"/>
        <w:gridCol w:w="664"/>
        <w:gridCol w:w="135"/>
        <w:gridCol w:w="109"/>
        <w:gridCol w:w="109"/>
        <w:gridCol w:w="109"/>
        <w:gridCol w:w="198"/>
        <w:gridCol w:w="609"/>
        <w:gridCol w:w="169"/>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(Deficit)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March 31,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23,166 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net of issuance costs</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June 30,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preferred stock</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15,312 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September 30,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11579" w:type="dxa"/>
        <w:jc w:val="center"/>
        <w:tblInd w:w="0" w:type="dxa"/>
        <w:tblLayout w:type="fixed"/>
        <w:tblCellMar>
          <w:top w:w="28" w:type="dxa"/>
          <w:left w:w="28" w:type="dxa"/>
          <w:bottom w:w="28" w:type="dxa"/>
          <w:right w:w="28" w:type="dxa"/>
        </w:tblCellMar>
      </w:tblPr>
      <w:tblGrid>
        <w:gridCol w:w="516"/>
        <w:gridCol w:w="282"/>
        <w:gridCol w:w="283"/>
        <w:gridCol w:w="203"/>
        <w:gridCol w:w="203"/>
        <w:gridCol w:w="171"/>
        <w:gridCol w:w="109"/>
        <w:gridCol w:w="109"/>
        <w:gridCol w:w="109"/>
        <w:gridCol w:w="181"/>
        <w:gridCol w:w="406"/>
        <w:gridCol w:w="109"/>
        <w:gridCol w:w="109"/>
        <w:gridCol w:w="109"/>
        <w:gridCol w:w="109"/>
        <w:gridCol w:w="202"/>
        <w:gridCol w:w="204"/>
        <w:gridCol w:w="171"/>
        <w:gridCol w:w="109"/>
        <w:gridCol w:w="109"/>
        <w:gridCol w:w="109"/>
        <w:gridCol w:w="195"/>
        <w:gridCol w:w="211"/>
        <w:gridCol w:w="109"/>
        <w:gridCol w:w="109"/>
        <w:gridCol w:w="109"/>
        <w:gridCol w:w="109"/>
        <w:gridCol w:w="202"/>
        <w:gridCol w:w="204"/>
        <w:gridCol w:w="171"/>
        <w:gridCol w:w="109"/>
        <w:gridCol w:w="109"/>
        <w:gridCol w:w="109"/>
        <w:gridCol w:w="181"/>
        <w:gridCol w:w="406"/>
        <w:gridCol w:w="109"/>
        <w:gridCol w:w="109"/>
        <w:gridCol w:w="109"/>
        <w:gridCol w:w="109"/>
        <w:gridCol w:w="181"/>
        <w:gridCol w:w="541"/>
        <w:gridCol w:w="109"/>
        <w:gridCol w:w="109"/>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Redemptions of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March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June 30,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99,948 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3,059 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Redemptions of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(33,254)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September 30, 2024</w:t>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(45,219)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67,130 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63,281 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31"/>
        <w:gridCol w:w="2178"/>
        <w:gridCol w:w="2193"/>
        <w:gridCol w:w="109"/>
        <w:gridCol w:w="109"/>
        <w:gridCol w:w="109"/>
        <w:gridCol w:w="241"/>
        <w:gridCol w:w="907"/>
        <w:gridCol w:w="124"/>
        <w:gridCol w:w="124"/>
        <w:gridCol w:w="124"/>
        <w:gridCol w:w="124"/>
        <w:gridCol w:w="241"/>
        <w:gridCol w:w="907"/>
        <w:gridCol w:w="184"/>
      </w:tblGrid>
      <w:tr>
        <w:trPr/>
        <w:tc>
          <w:tcPr>
            <w:tcW w:w="253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notes payable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loss to net cash from operating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advanced key money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833" w:type="dxa"/>
        <w:jc w:val="center"/>
        <w:tblInd w:w="0" w:type="dxa"/>
        <w:tblLayout w:type="fixed"/>
        <w:tblCellMar>
          <w:top w:w="28" w:type="dxa"/>
          <w:left w:w="28" w:type="dxa"/>
          <w:bottom w:w="28" w:type="dxa"/>
          <w:right w:w="28" w:type="dxa"/>
        </w:tblCellMar>
      </w:tblPr>
      <w:tblGrid>
        <w:gridCol w:w="2343"/>
        <w:gridCol w:w="2054"/>
        <w:gridCol w:w="2068"/>
        <w:gridCol w:w="109"/>
        <w:gridCol w:w="109"/>
        <w:gridCol w:w="109"/>
        <w:gridCol w:w="273"/>
        <w:gridCol w:w="934"/>
        <w:gridCol w:w="141"/>
        <w:gridCol w:w="141"/>
        <w:gridCol w:w="141"/>
        <w:gridCol w:w="141"/>
        <w:gridCol w:w="273"/>
        <w:gridCol w:w="798"/>
        <w:gridCol w:w="199"/>
      </w:tblGrid>
      <w:tr>
        <w:trPr/>
        <w:tc>
          <w:tcPr>
            <w:tcW w:w="234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preferred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redeemable preferred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200" w:after="283"/>
        <w:jc w:val="both"/>
        <w:rPr/>
      </w:pPr>
      <w:r>
        <w:rPr>
          <w:rFonts w:ascii="Times New Roman;serif" w:hAnsi="Times New Roman;serif"/>
          <w:b w:val="false"/>
          <w:color w:val="000000"/>
          <w:sz w:val="20"/>
        </w:rPr>
        <w:t>CaliberCos Inc., a Delaware corporation, and its wholly-owned subsidiaries (the “Company”, “we”, “our”), is an alternative asset manager of private syndication and direct</w:t>
      </w:r>
      <w:r>
        <w:rPr>
          <w:color w:val="000000"/>
          <w:shd w:fill="FFFFFF" w:val="clear"/>
        </w:rPr>
        <w:t xml:space="preserve"> </w:t>
      </w:r>
      <w:r>
        <w:rPr>
          <w:rFonts w:ascii="Times New Roman;serif" w:hAnsi="Times New Roman;serif"/>
          <w:b w:val="false"/>
          <w:color w:val="000000"/>
          <w:sz w:val="20"/>
          <w:shd w:fill="FFFFFF" w:val="clear"/>
        </w:rPr>
        <w:t>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September 30, 2025, the Company has operat</w:t>
      </w:r>
      <w:r>
        <w:rPr>
          <w:rFonts w:ascii="Times New Roman;serif" w:hAnsi="Times New Roman;serif"/>
          <w:b w:val="false"/>
          <w:color w:val="000000"/>
          <w:sz w:val="20"/>
        </w:rPr>
        <w:t>ions in Arizona with</w:t>
      </w:r>
      <w:r>
        <w:rPr>
          <w:color w:val="000000"/>
          <w:shd w:fill="FFFFFF" w:val="clear"/>
        </w:rPr>
        <w:t xml:space="preserve"> </w:t>
      </w:r>
      <w:r>
        <w:rPr>
          <w:rFonts w:ascii="Times New Roman;serif" w:hAnsi="Times New Roman;serif"/>
          <w:b w:val="false"/>
          <w:color w:val="000000"/>
          <w:sz w:val="20"/>
          <w:shd w:fill="FFFFFF" w:val="clear"/>
        </w:rPr>
        <w:t>a focus on hospitality, multifamily, and multi-tenant industrial real estate.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general, the Company’s Platform is comprised of investments in digital assets through its corporate treasury and in a family of private equity real estate (PERE) funds which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condensed consolidated financial statements (“Consolidated Funds”, and collectively with the Company, the “Consolidated Company”, “Caliber”, “we”, “our”, and “us”). For funds in which the Company is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details.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Reverse Stock Split: 1-for-20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May 2, 2025, the Company effected a one-for-twenty (1-for-20) reverse stock split of its common stock (the “Reverse Stock Split”). The Reverse Stock Split did not change the authorized number of shares or the par value of the Common Stock nor modify any voting rights of the Common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share and per share amounts in the accompanying condensed consolidated financial statements have been retroactively adjusted to reflect the Reverse Stock Split for all periods presented.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Securities Purchase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securities purchase agreement (the “Purchase Agreement”) with Mast Hill Fund, L.P. (the “Investor”) as the purchaser, pursuant to which the Company issued the Investor a senior secured promissory note in the aggregate principal amount of up to $1.7 million (as the principal amount thereof may be increased pursuant to the terms thereof), a common stock purchase warrant for the purchase of 10,000 shares of Class A Common Stock, with an initial exercise price of $15.00 per share, and 10,000 shares of Common Stock (the “Commitment Shares”).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the Company entered into a registration rights agreement (the “RRA”) with the Investor to provide certain registration rights under the Securities Act of 1933, as amended (the “Securities Act”), and the rules and regulations thereunder, or any similar successor statute, and applicable state securities laws. The Company agreed to file with the Securities and Exchange Commission (“SEC”) an initial Registration Statement covering the maximum number of Registrable Securities (as defined in the RRA) within ten (10) business days from the date that the Company filed its Form 10-K with the SEC for the period ended December 31,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Equity Line of Credit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execution of the Purchase Agreement with the Investor above, the Company entered into an equity purchase agreement (the “Equity Purchase Agreement”) with the Investor pursuant to which the Company may sell and issue to the Investor, and the Investor may purchase from the Company, up to $25.0 million of Common Stock (the “Put Shares”). Under the Equity Purchase Agreement, the Company has the right, but not the obligation, to direct the Investor, by its delivery to the Investor of a put notice from time to time, to purchase Put Shares (i) in a minimum amount not less than $5,000 and (ii) in a maximum amount up to the lesser of (a) $500,000 or (b) 40% of the Average Daily Trading Value (as defined in the Equity Purchase Agreement). In connection with the Equity Purchase Agreement, the Company issued the Investor a five year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 purchase warrant for the purchase of 10,000 shares of the Common Stock at an initial exercise price of $30 per share (the “ELOC Warrant”).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shall not effect any sales of the Put Shares under the Equity Purchase Agreement and the Investor shall not have the obligation to purchase Put Shares under the Equity Purchase Agreement to the extent that such issuance would exceed the Exchange Cap (as defined below). Shareholder approval is required to effectuate the transactions contemplated by the Equity Purchase Agreement, including but not limited to the issuance of Common Stock and the ELOC Warrant in excess of 78,441 shares of Common Stock (the “Exchange Cap”).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Company issued put notices requiring the Investor to purchase a total of 3,006,134 shares of common stock for net proceeds of $6.4 million. No put notices pursuant to the Equity Purchase agreement were issued prior to July 16,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ATM Equity Distribution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22, 2025, the Company entered into an at-the-market (“ATM”) equity distribution agreement providing for the sale of up to $10.3 million of our Class A common stock. During the three months ended September 30, 2025, we have issued 886,437 shares under the ATM program for net proceeds of $5.9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prepared in accordance with generally accepted accounting principles in the United States of America (“U.S. GAAP”) applicable to a going concern, which contemplates the realization of assets and the satisfaction of liabilities in the normal course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had a portfolio of corporate notes, whose composition and characteristics are similar to those reported in prior periods. At September 30, 2025, the portfolio consists of 194 unsecured notes with an aggregate principal balance of $31.5 million. As of November 13, 2025, an aggregate of $24.4 million of corporate and convertible notes mature within the 12-month period subsequent to when these financial statements were issued. The notes generally have either a 12-month or 36-month term, with the 12-month note holders having the option to extend for an additional 12-month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the Company incurred recurring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satisfy the maturity of these corporate notes, the Company intends to execute the following strategies: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i.Raise $20.0 million of preferred stock series AA financing through its Reg A+ offering, which was qualified on March 12, 2025.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ii.Refinance its existing 12-month term notes into its new 36-month term corporate note program. Year to date through November 13, 2025, the Company has successfully refinanced $4.8 million of 12-month term corporate notes into its new 36-month term corporate note program.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iii.Convert corporate notes into shares of Caliber common stock. In October 2025, the Company launched its note conversion program (the “Program”) whereby holders (the “Note Holders”) of outstanding promissory notes (the “Notes”) will convert and cancel all or part of the Note Holders’ Notes in exchange for shares of Class A common stock, par value $0.001 at a per share conversion price equaling the lower of (i) the average closing price of the Company’s Class A common stock over the five trading days prior to the execution of the respective Conversion Agreement, or the (ii) closing bid price of the Company’s Class A common stock the business day preceding the execution of the respective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Conversion Agreement (the “Conversion Prices”). Through November 13, 2025 we have successfully converted $1.9 million of corporate notes into 561,747 shares of common stock. The Conversion Prices ranged from $3.14 to $3.72 per share.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iv.Raise equity in support of our LINK strategy using our approved ELOC or ATM facilities. Some of those proceeds will be used for general operating purposes. Through November 13, 2025, we have raised $34.5 million in cash through the issuance of new equity.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$9.3 million in accounts receivable, iii) collect all or part of its $11.9 million in investments from its managed funds, iv) increase capital raise through continued expansion of fundraising channels, v) sell or accept investment into its corporate headquarters, vi) place debt on unencumbered assets, and/or vii) generate planned cash from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as part of the execution of our aforementioned plans, we raised $31.8 million in new equity in support of the Company’s LINK strategy investing $10.6 million in LINK and maintaining $10.9 million in unrestricted cash on hand. The Company collected $1.1 million in notes receivable, $10.3 million in accounts receivable, and $2.0 million in redemptions of investments from its managed funds. In addition, the Company has implemented broad-based costs reductions, most notably being further workforce reductions, which are expected to result in annualized cost savings of $3.9 million in compensation and employee benefit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prepared on the accrual basis of accounting in accordance with U.S. GAAP. The accompanying condensed consolidated financial statements include the Company’s accounts, its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entity is a variable interest entity (“VIE”) based on several factors, including whether the equity holders, as a group, lack the characteristics of a controlling financial interest. The Company analyzes any investments in VIEs to determine if we are the primary beneficiary. A reporting entity is determined to be the primary beneficiary if it holds a controlling financial interest in a VIE.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The Company consolidates any VIEs for which we are the primary beneficiary, and the Company discloses our maximum exposure to loss related to the consolidated VIEs. See Note 3 – VIEs for more detail.</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Entities that do not qualify as VIEs are generally assessed for consolidation as voting interest entities (“VOEs”). For VOEs, the Company consolidates an entity if we have a controlling financial interest. The Company has a controlling financial interest in a VOE if (i) for legal entities other than partnerships, we own a majority voting interest in the entity or, for limited partnerships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Interim Unaudited Financial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No. 2023-08, Intangibles—Goodwill and Other—Crypto Assets (Subtopic 350-60): Accounting for and Disclosure of Crypto Assets (“ASU 2023-08”). ASU 2023-08 requires in-scope crypto assets (including the Company's Chainlink holdings) to be measured at fair value in the statement of financial position, with gains and losses from changes in the fair value of such crypto assets recognized in net income each reporting period. ASU 2023-08 also requires certain interim and annual disclosures for crypto assets within the scope of the standard. The Company adopted this guidance effective September 9, 2025, upon the completion of its initial purchase of Chainlink (“LINK”) tokens as part of the inauguration of its digital asset treasury (“DAT”) strategy.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initially records its LINK purchases at cost, with any subsequent changes in fair value recognized as incurred in the Company's condensed consolidated statements of operations. The fair value of the Company’s LINK is adjusted and disclosed within the Company's condensed consolidated balance sheets at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A deferred tax asset or liability is recorded for subsequent changes in fair value of the Company’s digital assets, representing the temporary difference between the carrying amount and tax basis of the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the Company’s DAT strategy, its intent is to make consistent purchases of LINK token over time, establishing a material position in LINK holdings within its treasury. In the event of a sale the Company will calculate the gain (loss) to be recognized as the difference between the sales price, net of transaction costs, and carrying value of the LINK tokens sold immediately prior to sale. The Company uses the first-in, first-out cost basis method when calculating the gain (loss) on sale.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the Company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cash held in escrow accounts by contractual agreement with lenders as part of financial loan covenant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Investments in Unconsolidated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an entity is not a VIE, the Company’s determination of the appropriate accounting method with respect to our investments in limited liability companies and other investments is based on voting control. For the Company’s managing member interests in limited liability companies, the Company is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The Company accounts for our non-controlling investments in these entities under the equity method. The Company’s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The Company’s share of the earnings or loss from equity method investments is included in other income (expenses), net on the accompanying condensed consolidated statements of operations. The Company evaluates its investments in unconsolidated entities for impairment when events and circumstances indicate that the fair value of the entities might be less than the carrying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determination of the appropriate accounting treatment for an investment in a subsidiary requires judgment of several factors, including the size and nature of our ownership interest and the other owners’ substantive rights to make decisions for the entity. Different judgments or conclusions as to the level of our control or influence, could result in a different accounting treatment, such as consolidation. While consolidating an investment generally has no impact on the Company’s net income or stockholders’ deficit, consolidation does impact the individual income statement and balance sheet line items on the Company’s consolidated financial statements, by effectively “grossing up” the Company’s consolidated statements of operations and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carrying amount of the Company’s investments in unconsolidated entities was $11.9 million, and $15.6 million, respectively, net of $6.5 million and $4.0 million, respectively, of impairments primarily related to the winding down of Caliber Fixed Income Fund III (“CFIF III”)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and nine months ended September 30, 2025, the Company had impairment losses of $0.1 million and $2.4 million related to its investments in unconsolidated entities. There were no impairment losses during the three and nine months ended September 30,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depreciation expense for the Company was $0.2 million and $0.5 million, respectively. For the three and nine months ended September 30, 2024, depreciation expense for the Company was $0.1 million and $0.4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the Company makes an assessment of its recoverability by comparing the carrying amount to the Company’s estimate of the undiscounted net future cash flows resulting from the use of the asset, excluding interest charges. If the carrying amount exceeds the aggregate undiscounted future cash flows, the Company recognizes an impairment loss to the extent the carrying amount exceeds the estimated fair value of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Company had no impairment losses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200" w:after="283"/>
        <w:jc w:val="both"/>
        <w:rPr/>
      </w:pPr>
      <w:r>
        <w:rPr>
          <w:rFonts w:ascii="Times New Roman;serif" w:hAnsi="Times New Roman;serif"/>
          <w:b w:val="false"/>
          <w:color w:val="000000"/>
          <w:sz w:val="20"/>
        </w:rPr>
        <w:t>Substantially all of the Company’s revenues are generated from activities completed through its Platform, including the management, ownership and/or operations of real estate assets located in Alaska, Arizona, Colorado, Kansas, Texas, and Virginia</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Company mitigates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across hospitality, multi-family, and multi-tenant industrial asset types;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Noncontrolling Interests in Consolidated Real Estate Partnerships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reports the unaffiliated partners’ interests in the net assets of the Company’s consolidated real estate partnerships as noncontrolling interests within the accompanying condensed consolidated statements of changes in stockholders’ equity. Noncontrolling interests consist of equity interests held by limited partners in consolidated real estate partnerships. The Company attributes to noncontrolling interests their share of income or loss of the consolidated partnerships based on the Company’s proportionate interest in the results of operations of the partnerships, including the Company’s share of losses even if such attribution results in a deficit noncontrolling interest balance within our equity and partners’ capital accounts.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partnership agreements generally require the partnerships to be liquidated following the sale of the underlying real estate assets. As the general partner in these partnerships, the Company ordinarily controls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the Company manages,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the Company’s anticipated performance and all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Company’s revenue recognition policy related to the fees the Company earns from providing services under its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condensed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when the related performance obligations are satisfied and the customer obtains control of the promised service, including negotiation, due diligence, entitlements, planning, and design activities. During the construction period, development fee revenue is recognized ratably over time as the performance obligation(s) is satisfied.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condensed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the Company is entitled to an allocation of investment returns, generated within the investment funds which the Company manages, based on a contractual formula. The Company typically receives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Lessor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direct financing lease. All other leases are classified as operating leases. The Company did not have any sales-type or direct financing leases as of September 30, 2025 and December 31, 2024. For operating leases with minimum scheduled rent increases, the Company recognizes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Company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Lessee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impairment assessment for ROU assets is consistent with the impairment analysis for the Company's other long-lived assets and is reviewed quarterly.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for Real Estate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Acquired real estate properties accounted for as asset acquisitions are recorded at cost, including acquisition and closing costs. The consolidated funds allocate the cost of real estate properties to the tangible and intangible assets and liabilities acquired based on their estimated relative fair values. The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The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asset acquisitions or dispositions by the Company or the consolidated funds during the three and nine months ended September 30, 2025 and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Capitalization and Depreciation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The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Depreciation for all tangible real estate assets is calculated using the straight-line method over the estimated useful lives of the assets. The estimated useful lives of our building and building improvements are generally 15 to 40 years. The estimated useful lives of the consolidated funds furniture, fixtures and equipment are generally three to seven years beginning in the first full month the asset is placed in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depreciation expense of the consolidated funds was $0.1 million and $1.5 million, respectively. For the three and nine months ended September 30, 2024, depreciation expense of the consolidated funds was $1.2 million and $4.5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the consolidated funds recognize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consolidated funds did not record an impairment loss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606, the consolidated funds apply the five-step framework in determining the timing and amount of revenue to recognize. This framework requires an entity to: (i) identify the contract(s) with customers, (ii) identify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within the contract, (iii) determine the transaction price, (iv) allocate the transaction price to the performance obligations within the contract, and (v) recognize revenue when or as the entity satisfies a performance obligation. The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funds – other revenue includes rental revenue of $0.1 million and $0.5 million for the three and nine months ended September 30, 2025, respectively, and $0.4 million and $1.3 million for the three and nine months ended September 30, 2024, respectively. Rental revenue includes the revenues generated primarily by the rental operations of the residential (multi-family and single-family) and commercial properties of the consolidated funds.</w:t>
      </w:r>
    </w:p>
    <w:p>
      <w:pPr>
        <w:pStyle w:val="TextBody"/>
        <w:bidi w:val="0"/>
        <w:spacing w:lineRule="auto" w:line="288" w:before="200" w:after="283"/>
        <w:jc w:val="both"/>
        <w:rPr/>
      </w:pPr>
      <w:r>
        <w:rPr>
          <w:rFonts w:ascii="Times New Roman;serif" w:hAnsi="Times New Roman;serif"/>
          <w:b w:val="false"/>
          <w:color w:val="000000"/>
          <w:sz w:val="20"/>
        </w:rPr>
        <w:t xml:space="preserve">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at the inception of a new lease arrangement, including new leases that arise from amendments, the consolidated funds assess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consolidated funds obtain a guarantee for the value of the asset from a third party, the consolidated funds classify the lease as a direct financing lease. All other leases are classified as operating leases. The consolidated funds did not have any sales-type or direct financing leases as of September 30, 2025.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identified two separate lease components as follows: i) land lease component, and ii) single property lease component comprised of building, land improvements and tenant improvements. The consolidated funds leases also contain provisions for tenants to reimburse the consolidated funds for maintenance and other property operating expenses, which are considered to be non-lease components. The consolidated funds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consolidated funds - other revenue includes interest income, which is generated by a consolidated fund’s lending activity. There was no interest income for the three and nine months ended September 30, 2025, respectively. For the three and nine months ended September 30, 2024, there was $1.7 million and $4.3 million of interest income, respectively. Interest income is recognized on the accrual basis of accounting in accordance with the lending agreements over the term of the respective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insurance expenses, professional fees and other costs associated with administering and supporting those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primarily consists of amounts due from guests or groups for hotel rooms and services provided by the hotel properties. Accounts receivable also include due, but unpaid, rental payments. The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If the collectability of a receivable is uncertain, the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condensed consolidated statements of operations. There were no allowances for doubtful accounts as of September 30, 2025 and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funds record all derivative instruments on the accompanying condensed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accompanying condensed consolidated statements of operations. If the derivative is designated and qualifies for hedge accounting treatment, the change in fair value of the derivative is recorded in other comprehensive income (loss).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1 – Inputs are quoted prices in active markets for identical assets or liabilities that can be accessed at the measurement date.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Recent Accounting Pronouncements</w:t>
      </w:r>
    </w:p>
    <w:p>
      <w:pPr>
        <w:pStyle w:val="TextBody"/>
        <w:bidi w:val="0"/>
        <w:spacing w:lineRule="auto" w:line="288" w:before="200" w:after="283"/>
        <w:jc w:val="both"/>
        <w:rPr/>
      </w:pPr>
      <w:r>
        <w:rPr>
          <w:rFonts w:ascii="Times New Roman;serif" w:hAnsi="Times New Roman;serif"/>
          <w:b w:val="false"/>
          <w:color w:val="000000"/>
          <w:sz w:val="20"/>
        </w:rPr>
        <w:t>The Company adopted the Financial Accounting Standards Board (“FASB”) issued ASU 2020-06, </w:t>
      </w:r>
      <w:r>
        <w:rPr>
          <w:rFonts w:ascii="Times New Roman;serif" w:hAnsi="Times New Roman;serif"/>
          <w:b w:val="false"/>
          <w:i/>
          <w:color w:val="000000"/>
          <w:sz w:val="20"/>
        </w:rPr>
        <w:t>Debt – Debt with Conversion and Other Options (Subtopic 470-20) and Derivatives and Hedging – Contracts in Entity’s Own Equity (Subtopic 815-40)</w:t>
      </w:r>
      <w:r>
        <w:rPr>
          <w:rFonts w:ascii="Times New Roman;serif" w:hAnsi="Times New Roman;serif"/>
          <w:b w:val="false"/>
          <w:color w:val="000000"/>
          <w:sz w:val="20"/>
        </w:rPr>
        <w:t>, effective January 1, 2024,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The Company adopted this guidance effective December 31, 2024. The adoption of this standard did not have a material effect on the Company’s balance sheets, statements of operations, or statements of cash flows, but resulted in additional disclosures in the notes to the financial statements, most notably payroll and payroll related costs as a significant segment expense. See Note 16 – Segments for detail.</w:t>
      </w:r>
    </w:p>
    <w:p>
      <w:pPr>
        <w:pStyle w:val="TextBody"/>
        <w:bidi w:val="0"/>
        <w:spacing w:lineRule="auto" w:line="288" w:before="20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 (Topic 740, Income Taxes)</w:t>
      </w:r>
      <w:r>
        <w:rPr>
          <w:rFonts w:ascii="Times New Roman;serif" w:hAnsi="Times New Roman;serif"/>
          <w:b w:val="false"/>
          <w:color w:val="000000"/>
          <w:sz w:val="20"/>
        </w:rPr>
        <w:t>. ASU 2023-09, which serves to enhance income tax disclosures by requiring a tabular rate reconciliation and additional information on income taxes paid. The guidance is effective for annual periods beginning after December 15, 2024, with early adoption permitted. The Company is currently evaluating the impact of the adoption of ASU 2023-09 on the Company’s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to improve the disclosures about a public business entity’s expenses and provide more detailed information about the types of expenses included in 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the adoption of ASU 2024-03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VIEs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determined that the equity holders in its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the Company’s maximum exposure to loss due to involvement with the consolidated VIEs is limited to the amount of capital investment in the VIE, if any, or the potential obligation to perform on the guarantee of debts.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deconsolidated DoubleTree by Hilton Tucson Convention Center (“TCC”), a VIE which refinanced a loan secured by a hotel property it owns. With the refinancing of this loan, the company no longer guarantees the debt and it is therefore not obligated to absorb the respective VIE’s income or loss and is no longer determined to be the primary beneficiary. The Company aggregates and reports the results of operations of TCC in consolidated fund revenues and consolidated fund expenses within the accompanying condensed consolidated statements of operations through the date of deconsolidation.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7, 2024, L.T.D. Hospitality Group LLC (“L.T.D.”) contributed one hotel from its portfolio to Caliber Hospitality, LP in exchange for $4.9 million in cash, net of closing costs, and $9.6 million in operating partnership units. In conjunction with the L.T.D. contribution, Caliber Hospitality, LP entered into a new $14.1 million loan facility with a third-party lender resulting in a consolidation reconsideration event.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was no longer significant to Caliber Hospitality, LP or the Caliber Hospitality Trust. As such, during the nine months ended September 30, 2024, the Company deconsolidated Caliber Hospitality, LP, the Caliber Hospitality Trust, and their consolidated subsidiaries. The Company aggregated and reported the results of operations of these VIEs in consolidated fund revenues and consolidated fund expenses within the accompanying condensed consolidated statements of operations through the date of deconsolidation. Additionally, during 2024, the Company deconsolidated Elliot, DT Mesa, and CFIF III. The Company’s investment in these assets, as well as the assets of Caliber Hospitality, LP, are no longer eliminated and are included in investments in unconsolidated entities on the accompanying condensed consolidated balance sheets dated September 30, 2025 and December 31,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Note 11 – Commitments and Contingencies for information related to the commitments and contingencies of these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Digital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digital assets, which are comprised solely of LINK tokens, as indefinite-lived intangible assets in accordance with ASC 350, Intangibles—Goodwill and Other and ASU 2023-08. The Company’s digital assets are initially recorded at cost and then subsequently measured at fair value as of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Changes in fair value are recognized as incurred in the Company's condensed consolidated statements of operations, as “Change in fair value of digital assets”, included below operating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held 467,632 LINK tokens with a cost basis of $10.6 million and a fair value of $10.0 million. All LINK tokens were acquired during the three months ended September 30, 2025, and the Company has not sold any of its LINK holdings as of that date. The Company recognized an unrealized loss of $0.7 million or 6.4%, and the fair value per LINK token was $21.31 per token at September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unrealized losses on digital assets calculated consistent with ASU 2023-08 (in thousands).</w:t>
      </w:r>
    </w:p>
    <w:p>
      <w:pPr>
        <w:pStyle w:val="TextBody"/>
        <w:bidi w:val="0"/>
        <w:spacing w:before="0" w:after="0"/>
        <w:jc w:val="left"/>
        <w:rPr/>
      </w:pPr>
      <w:r>
        <w:rPr/>
      </w:r>
    </w:p>
    <w:tbl>
      <w:tblPr>
        <w:tblW w:w="9889" w:type="dxa"/>
        <w:jc w:val="left"/>
        <w:tblInd w:w="0" w:type="dxa"/>
        <w:tblLayout w:type="fixed"/>
        <w:tblCellMar>
          <w:top w:w="28" w:type="dxa"/>
          <w:left w:w="28" w:type="dxa"/>
          <w:bottom w:w="28" w:type="dxa"/>
          <w:right w:w="28" w:type="dxa"/>
        </w:tblCellMar>
      </w:tblPr>
      <w:tblGrid>
        <w:gridCol w:w="1114"/>
        <w:gridCol w:w="978"/>
        <w:gridCol w:w="983"/>
        <w:gridCol w:w="109"/>
        <w:gridCol w:w="109"/>
        <w:gridCol w:w="109"/>
        <w:gridCol w:w="344"/>
        <w:gridCol w:w="882"/>
        <w:gridCol w:w="177"/>
        <w:gridCol w:w="177"/>
        <w:gridCol w:w="177"/>
        <w:gridCol w:w="177"/>
        <w:gridCol w:w="344"/>
        <w:gridCol w:w="662"/>
        <w:gridCol w:w="177"/>
        <w:gridCol w:w="109"/>
        <w:gridCol w:w="109"/>
        <w:gridCol w:w="109"/>
        <w:gridCol w:w="328"/>
        <w:gridCol w:w="841"/>
        <w:gridCol w:w="169"/>
        <w:gridCol w:w="169"/>
        <w:gridCol w:w="169"/>
        <w:gridCol w:w="169"/>
        <w:gridCol w:w="328"/>
        <w:gridCol w:w="631"/>
        <w:gridCol w:w="239"/>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amount of the Company’s assets are concentrated in its LINK holdings. LINK is a digital asset, which is a novel asset class subject to significant legal, commercial, regulatory and technical uncertainty. Our LINK holdings do not currently generate any cash flows and involves custodial fees and other costs. Additionally, the price of LINK has historically been highly volatile. A significant decrease in the price of LINK would adversely affect the Company’s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Prepaid and Other Assets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Company consisted of the following as of September 30, 2025 and December 31, 2024 (in thousands):</w:t>
      </w:r>
    </w:p>
    <w:tbl>
      <w:tblPr>
        <w:tblW w:w="6655" w:type="dxa"/>
        <w:jc w:val="left"/>
        <w:tblInd w:w="0" w:type="dxa"/>
        <w:tblLayout w:type="fixed"/>
        <w:tblCellMar>
          <w:top w:w="28" w:type="dxa"/>
          <w:left w:w="28" w:type="dxa"/>
          <w:bottom w:w="28" w:type="dxa"/>
          <w:right w:w="28" w:type="dxa"/>
        </w:tblCellMar>
      </w:tblPr>
      <w:tblGrid>
        <w:gridCol w:w="1009"/>
        <w:gridCol w:w="888"/>
        <w:gridCol w:w="893"/>
        <w:gridCol w:w="397"/>
        <w:gridCol w:w="1165"/>
        <w:gridCol w:w="207"/>
        <w:gridCol w:w="109"/>
        <w:gridCol w:w="109"/>
        <w:gridCol w:w="109"/>
        <w:gridCol w:w="380"/>
        <w:gridCol w:w="1110"/>
        <w:gridCol w:w="279"/>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Pursuit costs </w:t>
            </w:r>
            <w:r>
              <w:rPr>
                <w:rFonts w:ascii="Times New Roman;serif" w:hAnsi="Times New Roman;serif"/>
                <w:b w:val="false"/>
                <w:color w:val="000000"/>
                <w:sz w:val="13"/>
              </w:rPr>
              <w:t>(1)</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right of use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consolidated funds consisted of the following as of September 30, 2025 and December 31, 2024 (in thousands):</w:t>
      </w:r>
    </w:p>
    <w:tbl>
      <w:tblPr>
        <w:tblW w:w="6400" w:type="dxa"/>
        <w:jc w:val="left"/>
        <w:tblInd w:w="0" w:type="dxa"/>
        <w:tblLayout w:type="fixed"/>
        <w:tblCellMar>
          <w:top w:w="28" w:type="dxa"/>
          <w:left w:w="28" w:type="dxa"/>
          <w:bottom w:w="28" w:type="dxa"/>
          <w:right w:w="28" w:type="dxa"/>
        </w:tblCellMar>
      </w:tblPr>
      <w:tblGrid>
        <w:gridCol w:w="918"/>
        <w:gridCol w:w="804"/>
        <w:gridCol w:w="812"/>
        <w:gridCol w:w="547"/>
        <w:gridCol w:w="938"/>
        <w:gridCol w:w="285"/>
        <w:gridCol w:w="109"/>
        <w:gridCol w:w="109"/>
        <w:gridCol w:w="109"/>
        <w:gridCol w:w="448"/>
        <w:gridCol w:w="992"/>
        <w:gridCol w:w="329"/>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franchise fees, net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Notes Payable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consisted of the following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715"/>
        <w:gridCol w:w="573"/>
        <w:gridCol w:w="544"/>
        <w:gridCol w:w="109"/>
        <w:gridCol w:w="109"/>
        <w:gridCol w:w="109"/>
        <w:gridCol w:w="292"/>
        <w:gridCol w:w="1000"/>
        <w:gridCol w:w="151"/>
        <w:gridCol w:w="109"/>
        <w:gridCol w:w="109"/>
        <w:gridCol w:w="109"/>
        <w:gridCol w:w="287"/>
        <w:gridCol w:w="983"/>
        <w:gridCol w:w="148"/>
        <w:gridCol w:w="109"/>
        <w:gridCol w:w="109"/>
        <w:gridCol w:w="109"/>
        <w:gridCol w:w="555"/>
        <w:gridCol w:w="462"/>
        <w:gridCol w:w="1151"/>
        <w:gridCol w:w="109"/>
        <w:gridCol w:w="109"/>
        <w:gridCol w:w="109"/>
        <w:gridCol w:w="650"/>
        <w:gridCol w:w="570"/>
        <w:gridCol w:w="816"/>
      </w:tblGrid>
      <w:tr>
        <w:trPr/>
        <w:tc>
          <w:tcPr>
            <w:tcW w:w="71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2024 - March 2028</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2024 - March 2025</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2027 - November 2029</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2026 - March 2026</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on corporate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loan agreements described below include, among other things, certain financial covenants, as defined in the respective loan agreements, including key financial ratios and liquidity requirements.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Gateway II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2023, the Company assumed a loan which is secured by the Company’s headquarters office building.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September 30, 2025 and December 31, 2024, the outstanding principal balance of the loan was $15.7 million and $15.9 million, respectively. Upon assumption of the loan, the Company is required to abide by a clause in the agreement requiring the Company to transfer funds to a cash management account. As of September 30, 2025, the debt service coverage ratio required by the loan agreement was not satisfied.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Saddleback Ranch,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$1.2 million financing agreement which is secured by a deed of trust for the land owned by Saddleback Ranch, LLC. The financing agreement has a fixed interest rate of 10.00% through February 2026, then a fixed rate of 14.00% until maturity in February 2027. The financing agreement requires an interest only payment in February 2026, with all accrued interest added to the outstanding balance monthly. Beginning in February 2026, interest only payments are due quarterly, with the final interest and principal amount due upon maturity. The terms of the financing agreement do not allow the repayment of the outstanding balance in part prior to maturity, but does allow for the entire outstanding balance to be repaid at any time before the maturity date. As of September 30, 2025, the outstanding principal balance of the loan was $1.2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Notes and Convertible Corporate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or 36-month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were 194 individual corporate notes outstanding, with an average outstanding principal balance of $0.2 million, interest rates ranging from 8.25% to 12.00%, with a weighted average interest rate of 11.14%, and maturity dates ranging from January 2024 to March 2028. At September 30, 2025, the corporate notes outstanding had an aggregate principal balance of $31.5 million, of which $24.4 million of the corporate notes have matured or will mature within the 12-month period subsequent to November 13, 2025. During the nine months ended September 30, 2025, there were no conversions of debt into common stock.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there were 202 individual corporate notes outstanding, with an average outstanding principal balance of $0.2 million, interest rates ranging from 8.25% to 12.00%, with a weighted average interest rate of 11.30%, and maturity dates ranging from April 2023 to December 2027.</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issued corporate notes, generally convertible at $151.40 per common share, except for a secured promissory note issued to Mast Hill (the “Mast Hill Note”) in March 2025, which is convertible at $8.25 per common share. Holders may convert all or part of their note principal balance at any time. As of September 30, 2025 and December 31, 2024, the Mast Hill Note had an outstanding principal balance of $0, while other convertible corporate notes totaled $0.9 million and $1.1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short-term operating loan agreement with an outstanding balance of $0.7 million. The short-term operating loan agreement incurs an interest rate of 123.70% and matures on February 11, 2026. In addition, the Company executed insurance premium financing agreements pursuant to which the Company financed certain annual insurance premiums with an aggregate outstanding balance of $0.2 million at September 30, 2025, primarily consisting of premiums for directors' and officers' insurance. The insurance premiums financing agreements incur an interest rate of 7.97% and mature from February 2026 through March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Minimum Payments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principal repayments of the Company’s indebtedness as of September 30, 2025 (in thousands):</w:t>
      </w:r>
    </w:p>
    <w:tbl>
      <w:tblPr>
        <w:tblW w:w="4562"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7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for the Company was $0.1 million and $0.2 million for three and nine months ended September 30, 2025, respectively. Amortization of deferred financing costs for the Company was immaterial during each of the three and nine months ended September 30, 2024. There were $0.2 million deferred financing cost write-offs during each of the three and nine months ended September 30, 2025. There were no deferred cost write-offs during the three and nine months ended September 30, 2024.</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of the consolidated funds consisted of the following as of September 30, 2025 and December 31, 2024, respectively (in thousands):</w:t>
      </w:r>
    </w:p>
    <w:tbl>
      <w:tblPr>
        <w:tblW w:w="10205" w:type="dxa"/>
        <w:jc w:val="left"/>
        <w:tblInd w:w="0" w:type="dxa"/>
        <w:tblLayout w:type="fixed"/>
        <w:tblCellMar>
          <w:top w:w="28" w:type="dxa"/>
          <w:left w:w="28" w:type="dxa"/>
          <w:bottom w:w="28" w:type="dxa"/>
          <w:right w:w="28" w:type="dxa"/>
        </w:tblCellMar>
      </w:tblPr>
      <w:tblGrid>
        <w:gridCol w:w="1248"/>
        <w:gridCol w:w="1006"/>
        <w:gridCol w:w="1008"/>
        <w:gridCol w:w="109"/>
        <w:gridCol w:w="109"/>
        <w:gridCol w:w="109"/>
        <w:gridCol w:w="308"/>
        <w:gridCol w:w="1054"/>
        <w:gridCol w:w="159"/>
        <w:gridCol w:w="109"/>
        <w:gridCol w:w="109"/>
        <w:gridCol w:w="109"/>
        <w:gridCol w:w="302"/>
        <w:gridCol w:w="1033"/>
        <w:gridCol w:w="155"/>
        <w:gridCol w:w="109"/>
        <w:gridCol w:w="109"/>
        <w:gridCol w:w="109"/>
        <w:gridCol w:w="391"/>
        <w:gridCol w:w="391"/>
        <w:gridCol w:w="392"/>
        <w:gridCol w:w="109"/>
        <w:gridCol w:w="109"/>
        <w:gridCol w:w="109"/>
        <w:gridCol w:w="439"/>
        <w:gridCol w:w="424"/>
        <w:gridCol w:w="426"/>
        <w:gridCol w:w="161"/>
      </w:tblGrid>
      <w:tr>
        <w:trPr/>
        <w:tc>
          <w:tcPr>
            <w:tcW w:w="12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DoubleTree by Hilton Tucson Convention Center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September 30, 2025.</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nine months ended September 30, 2025, the Company deconsolidated TCC (as discussed in Note 3 –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September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DoubleTree by Hilton Tucson Convention Center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2019, the consolidated fund entered into a loan agreement which was secured by a deed of trust and assignment of rents of the DoubleTree by Hilton Tucson Convention Center located in Tucson, Arizona. The loan had a variable interest rate per annum equal to LIBOR plus 2.50%. In connection with the loan, the consolidated fund entered into an interest rate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agreement, which set the interest at a fixed rate of 4.22% from September 2022 through August 2027. The loan required interest-only payments until September 2022 and principal and interest payments thereafter until maturity. The terms of the loan allowed for the prepayment of the outstanding balance in whole or in part at any time prior to the maturity date. The loan matured in August 2027 and was guaranteed by the Company. In May 2024, the consolidated fund terminated the interest rate swap agreement and received $1.6 million. In May 2025, the consolidated fund paid the loan amount outstanding in full.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consolidated fund entered into a $22.5 million loan agreement which is secured by a deed of trust and assignment of rents of the DoubleTree by Hilton Tucson Convention Center located in Tucson, Arizona. Per the terms of the loan agreement, the loan has a fixed interest rate of 7.43%, matures in June 2030, and requires interest-only payments until maturity. The terms of the loan do not allow the prepayment of the outstanding balance prior to the maturity date but can be prepaid subject to certain conditions and terms outlined in the loan agreement. The loan is not guaranteed by the Company. During the nine months ended September 30, 2025, the Company deconsolidated DoubleTree by Hilton Tucson Convention Center (as discussed in Note 3 – VIEs).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Southpointe Fundco,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August 2024, March 2025, and September 2025 extension agreements were executed with the lender, extending the maturity date to September 2024, March 2025, September 2025, and March 2026, respectively. The terms of the loan allow the prepayment of the outstanding balance in part or in whole at any time prior to the maturity date with no prepayment penalty. The loan is guaranteed by an individual who is an affiliate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West Frontier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In April 2025, the loan was converted into a term loan with the interest rate, repayment schedule and prepayment terms remaining the same.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Member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2022 and 2023, the consolidated fund, Southpointe Fundco, LLC, entered into 10.0% unsecured promissory notes with individual investors. The notes mature in December 2025 and require quarterly interest-only payments. The terms of the notes allow the prepayment of the outstanding balance in part or in whole at any time prior to the maturity date with no prepayment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Debt Maturities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future aggregate principal repayments due on the consolidated funds notes payable are as follows (in thousands):</w:t>
      </w:r>
    </w:p>
    <w:tbl>
      <w:tblPr>
        <w:tblW w:w="4562"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7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for the consolidated funds was immaterial during each of the three and nine months ended September 30, 2025. Amortization of deferred financing costs for the consolidated funds was immaterial for the three months ended September 30, 2024 and $0.3 million during the nine months ended September 30, 2024. There were no deferred financing cost write-offs during each of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Related Party Transactions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revenues earned for providing services under Platform as described in the Revenue Recognition section of Note 2 – Summary of Significant Accounting Policies for the three and nine months ended September 30, 2025 and 2024.</w:t>
      </w:r>
    </w:p>
    <w:tbl>
      <w:tblPr>
        <w:tblW w:w="9856"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99"/>
        <w:gridCol w:w="874"/>
        <w:gridCol w:w="154"/>
        <w:gridCol w:w="154"/>
        <w:gridCol w:w="154"/>
        <w:gridCol w:w="154"/>
        <w:gridCol w:w="299"/>
        <w:gridCol w:w="874"/>
        <w:gridCol w:w="154"/>
        <w:gridCol w:w="109"/>
        <w:gridCol w:w="109"/>
        <w:gridCol w:w="109"/>
        <w:gridCol w:w="261"/>
        <w:gridCol w:w="894"/>
        <w:gridCol w:w="135"/>
        <w:gridCol w:w="135"/>
        <w:gridCol w:w="135"/>
        <w:gridCol w:w="135"/>
        <w:gridCol w:w="261"/>
        <w:gridCol w:w="894"/>
        <w:gridCol w:w="191"/>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party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amounts due to the Company from related parties for services performed under the Platform was $8.1 million and $6.2 million, respectively, net of allowance for doubtful accounts of $3.3 million and $3.1 million, respectively, which is included in due from related parties on the accompanying condensed consolidated balance sheets.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notes receivable – related parties of the Company as of September 30, 2025 and December 31,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5"/>
        <w:gridCol w:w="1052"/>
        <w:gridCol w:w="1060"/>
        <w:gridCol w:w="109"/>
        <w:gridCol w:w="109"/>
        <w:gridCol w:w="109"/>
        <w:gridCol w:w="341"/>
        <w:gridCol w:w="1000"/>
        <w:gridCol w:w="177"/>
        <w:gridCol w:w="109"/>
        <w:gridCol w:w="109"/>
        <w:gridCol w:w="109"/>
        <w:gridCol w:w="394"/>
        <w:gridCol w:w="873"/>
        <w:gridCol w:w="207"/>
        <w:gridCol w:w="109"/>
        <w:gridCol w:w="109"/>
        <w:gridCol w:w="109"/>
        <w:gridCol w:w="394"/>
        <w:gridCol w:w="394"/>
        <w:gridCol w:w="395"/>
        <w:gridCol w:w="109"/>
        <w:gridCol w:w="109"/>
        <w:gridCol w:w="109"/>
        <w:gridCol w:w="424"/>
        <w:gridCol w:w="394"/>
        <w:gridCol w:w="567"/>
      </w:tblGrid>
      <w:tr>
        <w:trPr/>
        <w:tc>
          <w:tcPr>
            <w:tcW w:w="122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33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Olathe Behavioral Health MezzCo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2027</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Encore Caliber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2027</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DFW Behavioral 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2026</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Blue Spruce Ridge MezzCo,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Ridge MezzCo,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Ridge II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Ironwood 92 Partners LLC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Ketch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SF Alaska, LP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Fixed Income Fund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JV,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Tax Advantaged Opportunity Zone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J-25 Land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 10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2027</w:t>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As of September 30, 2025.</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Company entered into unsecured promissory notes with related parties which were repaid or impaired during the nine months ended September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the Company earned an immaterial amount of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September 30, 2025 and December 31,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September 30, 2025 notes receivable - related parties balance above is net of a $0.5 million allowance for doubtful accounts. There was no allowance at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September 30, 2025 and December 31, 2024, other amounts due from related parties was $0.6 million and $1.7 million, respectively, net of allowance for doubtful accounts at both September 30, 2025 and December 31, 2024 of $0.9 million, and are included in due from related parties on the accompanying condensed consolidated balance sheets. As of September 30, 2025 and December 31, 2024, other amounts due to related parties from the Company were $0.1 million and $0.3 million, respectively, which are included in due to related parties on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entered into unsecured promissory notes with related parties. The notes may be repaid in whole, or in part, without penalty. The notes receivable – related parties consisted of the following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086"/>
        <w:gridCol w:w="952"/>
        <w:gridCol w:w="958"/>
        <w:gridCol w:w="109"/>
        <w:gridCol w:w="109"/>
        <w:gridCol w:w="109"/>
        <w:gridCol w:w="440"/>
        <w:gridCol w:w="972"/>
        <w:gridCol w:w="228"/>
        <w:gridCol w:w="109"/>
        <w:gridCol w:w="109"/>
        <w:gridCol w:w="109"/>
        <w:gridCol w:w="358"/>
        <w:gridCol w:w="1050"/>
        <w:gridCol w:w="187"/>
        <w:gridCol w:w="109"/>
        <w:gridCol w:w="109"/>
        <w:gridCol w:w="109"/>
        <w:gridCol w:w="415"/>
        <w:gridCol w:w="415"/>
        <w:gridCol w:w="417"/>
        <w:gridCol w:w="109"/>
        <w:gridCol w:w="109"/>
        <w:gridCol w:w="109"/>
        <w:gridCol w:w="413"/>
        <w:gridCol w:w="413"/>
        <w:gridCol w:w="593"/>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Interest Rate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Maturity Date</w:t>
            </w:r>
            <w:r>
              <w:rPr>
                <w:rFonts w:ascii="Times New Roman;serif" w:hAnsi="Times New Roman;serif"/>
                <w:b/>
                <w:color w:val="000000"/>
                <w:sz w:val="13"/>
              </w:rPr>
              <w:t>(1)</w:t>
            </w:r>
          </w:p>
        </w:tc>
      </w:tr>
      <w:tr>
        <w:trPr/>
        <w:tc>
          <w:tcPr>
            <w:tcW w:w="2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Caliber Hospitality, LP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Elliot &amp; 51st Street,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September 30, 2025.</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nine months ended September 30, 2025, the Company deconsolidated TCC (as discussed in Note 3 – VIEs), who is the lender of a promissory note with Caliber Hospitality,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funds did not earn interest in connection with the notes during each of the three and nine months ended September 30, 2025. During the three and nine months ended September 30, 2024, the consolidated funds earned $1.7 million and $4.3 million, respectively, of interest in connection with the notes, which is included in consolidated funds – other revenues on the accompanying condensed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consolidated funds was $0.2 million and $0.3 million as of September 30, 2025 and December 31, 2024, respectively, which is included in prepaid and other assets on the accompanying condensed consolidated balance sheets.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consolidated funds had a note payable outstanding of $2.3 million and $2.0 million, respectively, to CFIF III. The note has a fixed interest rate of 13.00% and matures in September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consolidated funds incurred $0.1 million and $0.2 million, respectively, of interest expense in connection with the notes payable – related parties, which is included in consolidated funds - hospitality expenses and consolidated funds - other expenses on the accompanying condensed consolidated statements of operations. The consolidated funds did not incur interest expense in connection with the notes payable – related parties during the three months ended September 30, 2024. The consolidated funds incurred $0.3 million of interest expense during the nine months ended September 30, 2024, which is included in consolidated funds - hospitality expenses and consolidated funds - other expenses on the accompanying condensed consolidated statements of operations. No interest was payable as of September 30, 2025 and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September 30, 2025, no other amounts were due from related parties. As of December 31, 2024, there were an immaterial amount of other amounts due from related parties, which is included in prepaid and other assets on the accompanying condensed consolidated balance sheets. As of September 30, 2025 and December 31, 2024, there was an immaterial amount and $0.1 million, respectively, of other amounts due to related parties, which is included in due to related parties on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Company includes the revenues generated by the rental operations of one commercial office property. As of September 30, 2025, the leases have non-cancelable remaining lease terms from 0.4 years to 8.8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September 30, 2025, the Company does not have any material related party leases as a lessor. The components of rental revenue of the Company for the three and nine months ended September 30, 2025 and 2024, are presented in the table below (in thousands). Variable rental revenue is primarily costs reimbursed related to common area maintenance.</w:t>
      </w:r>
    </w:p>
    <w:tbl>
      <w:tblPr>
        <w:tblW w:w="7340" w:type="dxa"/>
        <w:jc w:val="left"/>
        <w:tblInd w:w="0" w:type="dxa"/>
        <w:tblLayout w:type="fixed"/>
        <w:tblCellMar>
          <w:top w:w="28" w:type="dxa"/>
          <w:left w:w="28" w:type="dxa"/>
          <w:bottom w:w="28" w:type="dxa"/>
          <w:right w:w="28" w:type="dxa"/>
        </w:tblCellMar>
      </w:tblPr>
      <w:tblGrid>
        <w:gridCol w:w="309"/>
        <w:gridCol w:w="271"/>
        <w:gridCol w:w="275"/>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Company under non-cancellable operating leases over the next five years and thereafter as of September 30, 2025, are as follows (in thousands): </w:t>
      </w:r>
    </w:p>
    <w:tbl>
      <w:tblPr>
        <w:tblW w:w="4457"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61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consolidated funds includes the revenues generated primarily by the rental operations of one multi-family residential property and one commercial property which was deconsolidated during the year ended December 31, 2024. As of September 30, 2025, the leases have non-cancelable remaining lease terms from 0.1 years to 0.9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September 30, 2025, the consolidated funds do not have any material related party leases as a lessor. The components of rental revenue of the consolidated funds for the three and nine months ended September 30, 2025 and 2024, are presented in the table below (in thousands). Variable rental revenue are primarily costs reimbursed related to common area maintenance.</w:t>
      </w:r>
    </w:p>
    <w:tbl>
      <w:tblPr>
        <w:tblW w:w="7340" w:type="dxa"/>
        <w:jc w:val="left"/>
        <w:tblInd w:w="0" w:type="dxa"/>
        <w:tblLayout w:type="fixed"/>
        <w:tblCellMar>
          <w:top w:w="28" w:type="dxa"/>
          <w:left w:w="28" w:type="dxa"/>
          <w:bottom w:w="28" w:type="dxa"/>
          <w:right w:w="28" w:type="dxa"/>
        </w:tblCellMar>
      </w:tblPr>
      <w:tblGrid>
        <w:gridCol w:w="309"/>
        <w:gridCol w:w="271"/>
        <w:gridCol w:w="275"/>
        <w:gridCol w:w="346"/>
        <w:gridCol w:w="765"/>
        <w:gridCol w:w="179"/>
        <w:gridCol w:w="179"/>
        <w:gridCol w:w="179"/>
        <w:gridCol w:w="179"/>
        <w:gridCol w:w="346"/>
        <w:gridCol w:w="765"/>
        <w:gridCol w:w="179"/>
        <w:gridCol w:w="109"/>
        <w:gridCol w:w="109"/>
        <w:gridCol w:w="109"/>
        <w:gridCol w:w="306"/>
        <w:gridCol w:w="677"/>
        <w:gridCol w:w="158"/>
        <w:gridCol w:w="158"/>
        <w:gridCol w:w="158"/>
        <w:gridCol w:w="158"/>
        <w:gridCol w:w="306"/>
        <w:gridCol w:w="896"/>
        <w:gridCol w:w="224"/>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consolidated funds under non-cancellable operating leases over the next five years and thereafter as of September 30, 2025, are as follows (in thousands): </w:t>
      </w:r>
    </w:p>
    <w:tbl>
      <w:tblPr>
        <w:tblW w:w="4307"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46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Other Liabilities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Liabilities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Company consisted of the following as of September 30, 2025 and December 31, 2024 (in thousands):</w:t>
      </w:r>
    </w:p>
    <w:p>
      <w:pPr>
        <w:pStyle w:val="TextBody"/>
        <w:bidi w:val="0"/>
        <w:spacing w:before="0" w:after="0"/>
        <w:jc w:val="both"/>
        <w:rPr/>
      </w:pPr>
      <w:r>
        <w:rPr/>
      </w:r>
    </w:p>
    <w:tbl>
      <w:tblPr>
        <w:tblW w:w="6551" w:type="dxa"/>
        <w:jc w:val="left"/>
        <w:tblInd w:w="0" w:type="dxa"/>
        <w:tblLayout w:type="fixed"/>
        <w:tblCellMar>
          <w:top w:w="28" w:type="dxa"/>
          <w:left w:w="28" w:type="dxa"/>
          <w:bottom w:w="28" w:type="dxa"/>
          <w:right w:w="28" w:type="dxa"/>
        </w:tblCellMar>
      </w:tblPr>
      <w:tblGrid>
        <w:gridCol w:w="970"/>
        <w:gridCol w:w="854"/>
        <w:gridCol w:w="861"/>
        <w:gridCol w:w="475"/>
        <w:gridCol w:w="1049"/>
        <w:gridCol w:w="246"/>
        <w:gridCol w:w="109"/>
        <w:gridCol w:w="109"/>
        <w:gridCol w:w="109"/>
        <w:gridCol w:w="448"/>
        <w:gridCol w:w="992"/>
        <w:gridCol w:w="329"/>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allowance</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net</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tenant security deposits.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Other Liabilities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consolidated funds consisted of the following as of September 30, 2025 and December 31, 2024 (in thousands):</w:t>
      </w:r>
    </w:p>
    <w:tbl>
      <w:tblPr>
        <w:tblW w:w="5710" w:type="dxa"/>
        <w:jc w:val="left"/>
        <w:tblInd w:w="0" w:type="dxa"/>
        <w:tblLayout w:type="fixed"/>
        <w:tblCellMar>
          <w:top w:w="28" w:type="dxa"/>
          <w:left w:w="28" w:type="dxa"/>
          <w:bottom w:w="28" w:type="dxa"/>
          <w:right w:w="28" w:type="dxa"/>
        </w:tblCellMar>
      </w:tblPr>
      <w:tblGrid>
        <w:gridCol w:w="668"/>
        <w:gridCol w:w="586"/>
        <w:gridCol w:w="590"/>
        <w:gridCol w:w="547"/>
        <w:gridCol w:w="938"/>
        <w:gridCol w:w="285"/>
        <w:gridCol w:w="109"/>
        <w:gridCol w:w="109"/>
        <w:gridCol w:w="109"/>
        <w:gridCol w:w="448"/>
        <w:gridCol w:w="992"/>
        <w:gridCol w:w="32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Supplemental Cash Flow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consisted of the following for the nine months ended September 30, 2025 and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15"/>
        <w:gridCol w:w="2241"/>
        <w:gridCol w:w="2252"/>
        <w:gridCol w:w="109"/>
        <w:gridCol w:w="109"/>
        <w:gridCol w:w="109"/>
        <w:gridCol w:w="248"/>
        <w:gridCol w:w="726"/>
        <w:gridCol w:w="128"/>
        <w:gridCol w:w="128"/>
        <w:gridCol w:w="128"/>
        <w:gridCol w:w="128"/>
        <w:gridCol w:w="248"/>
        <w:gridCol w:w="850"/>
        <w:gridCol w:w="186"/>
      </w:tblGrid>
      <w:tr>
        <w:trPr/>
        <w:tc>
          <w:tcPr>
            <w:tcW w:w="2615"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none of which was capitalized for the nine months ended September 30,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Non-cash bonus settlement via employee accounts receivable offset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capitalized interest of $2 for each of the nine months ended September 30,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in unconsolidated entities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for investor buy-out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included in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lieu of cash payment for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note rollovers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corporate note to preferred stock, including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note increase due to rollovers,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convertible note and related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Series B - non-cash equity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 related party due to payment of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 non-cash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7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6743" w:type="dxa"/>
        <w:jc w:val="left"/>
        <w:tblInd w:w="0" w:type="dxa"/>
        <w:tblLayout w:type="fixed"/>
        <w:tblCellMar>
          <w:top w:w="28" w:type="dxa"/>
          <w:left w:w="28" w:type="dxa"/>
          <w:bottom w:w="28" w:type="dxa"/>
          <w:right w:w="28" w:type="dxa"/>
        </w:tblCellMar>
      </w:tblPr>
      <w:tblGrid>
        <w:gridCol w:w="1222"/>
        <w:gridCol w:w="1074"/>
        <w:gridCol w:w="1078"/>
        <w:gridCol w:w="109"/>
        <w:gridCol w:w="109"/>
        <w:gridCol w:w="109"/>
        <w:gridCol w:w="251"/>
        <w:gridCol w:w="858"/>
        <w:gridCol w:w="129"/>
        <w:gridCol w:w="129"/>
        <w:gridCol w:w="129"/>
        <w:gridCol w:w="129"/>
        <w:gridCol w:w="251"/>
        <w:gridCol w:w="983"/>
        <w:gridCol w:w="183"/>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does not know of any existing environmental condition nor has the Company been notified by any governmental authority of any non-compliance, liability or other claim, in each case, that could result in a material effect on the Company’s financial condition or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Caliber Tax Advantaged Opportunity Fund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September 30, 2025 and December 31, 2024, the Company estimated the fair value of CTAF was less than the 6% IRR for the limited partners.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Caliber Tax Advantaged Opportunity Fund II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September 30, 2025 and December 31, 2024, the Company estimated the fair value of CTAF II was less than the 6% IRR for the investor members.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Franchise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funds which were consolidated during the three and nine months ended September 30, 2025 and 2024, were parties to franchise agreements where the fund is required to pay monthly fees, generally consisting of royalty, program, and food and beverage fees. At September 30, 2025, the consolidated funds were not party to any franchise agreements. During the three months ended September 30, 2025, the consolidated funds did not recognize any franchise fees. During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September 30, 2025, the consolidated funds recognized total franchise fees of $0.4 million and during the three and nine months ended September 30, 2024, the consolidated funds recognized total franchise fees of $0.2 million, and $2.7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Net Income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(loss) attributable to common stockholders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considered the two-class method in calculating the basic and diluted earnings per share; however, it was determined there was no impact to the calculation of basic and diluted net income (loss) per share attributable to common shareholders as Class A and Class B common stock share in the same earnings and profits; thus, having no impact on the calculation.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earnings per share calculation and dilutive share calculations below have been effected for the Reverse Stock Split, retroactively, for all periods presented.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calculated the basic and diluted earnings per share during the three and nine months ended September 30, 2025 and 2024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606"/>
        <w:gridCol w:w="1354"/>
        <w:gridCol w:w="1362"/>
        <w:gridCol w:w="269"/>
        <w:gridCol w:w="863"/>
        <w:gridCol w:w="139"/>
        <w:gridCol w:w="139"/>
        <w:gridCol w:w="139"/>
        <w:gridCol w:w="139"/>
        <w:gridCol w:w="269"/>
        <w:gridCol w:w="654"/>
        <w:gridCol w:w="139"/>
        <w:gridCol w:w="109"/>
        <w:gridCol w:w="109"/>
        <w:gridCol w:w="109"/>
        <w:gridCol w:w="240"/>
        <w:gridCol w:w="885"/>
        <w:gridCol w:w="123"/>
        <w:gridCol w:w="123"/>
        <w:gridCol w:w="123"/>
        <w:gridCol w:w="123"/>
        <w:gridCol w:w="240"/>
        <w:gridCol w:w="765"/>
        <w:gridCol w:w="184"/>
      </w:tblGrid>
      <w:tr>
        <w:trPr/>
        <w:tc>
          <w:tcPr>
            <w:tcW w:w="16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CaliberCos Inc.</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1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interest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 of CaliberCos Inc.</w:t>
            </w:r>
          </w:p>
        </w:tc>
        <w:tc>
          <w:tcPr>
            <w:tcW w:w="26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c>
          <w:tcPr>
            <w:tcW w:w="13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w:t>
            </w:r>
          </w:p>
        </w:tc>
        <w:tc>
          <w:tcPr>
            <w:tcW w:w="12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w:t>
            </w:r>
          </w:p>
        </w:tc>
        <w:tc>
          <w:tcPr>
            <w:tcW w:w="18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27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 options, net</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 convertible debt, net</w:t>
            </w:r>
          </w:p>
        </w:tc>
        <w:tc>
          <w:tcPr>
            <w:tcW w:w="127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attributable to common shareholders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attributable to common shareholders</w:t>
            </w:r>
          </w:p>
        </w:tc>
        <w:tc>
          <w:tcPr>
            <w:tcW w:w="269"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9"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39"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3"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84"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 xml:space="preserve">The number of antidilutive shares </w:t>
      </w:r>
      <w:r>
        <w:rPr>
          <w:rFonts w:ascii="Times New Roman;serif" w:hAnsi="Times New Roman;serif"/>
          <w:b w:val="false"/>
          <w:color w:val="000000"/>
          <w:sz w:val="20"/>
          <w:shd w:fill="FFFFFF" w:val="clear"/>
        </w:rPr>
        <w:t xml:space="preserve">consisted of the potential exercise of stock options and warrants, as well as the potential conversion of preferred shares and convertible debt. The following table summarizes these potential exercises and conversions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nine months ended September 30, 2025 and 2024</w:t>
      </w:r>
      <w:r>
        <w:rPr>
          <w:rFonts w:ascii="Times New Roman;serif" w:hAnsi="Times New Roman;serif"/>
          <w:b w:val="false"/>
          <w:color w:val="000000"/>
          <w:sz w:val="20"/>
          <w:shd w:fill="FFFFFF" w:val="clear"/>
        </w:rPr>
        <w:t>, which h</w:t>
      </w:r>
      <w:r>
        <w:rPr>
          <w:rFonts w:ascii="Times New Roman;serif" w:hAnsi="Times New Roman;serif"/>
          <w:b w:val="false"/>
          <w:color w:val="000000"/>
          <w:sz w:val="20"/>
        </w:rPr>
        <w:t>ave been excluded from the computation of diluted earnings per share attributable to common shareholders (in thousands):</w:t>
      </w:r>
    </w:p>
    <w:tbl>
      <w:tblPr>
        <w:tblW w:w="10205" w:type="dxa"/>
        <w:jc w:val="left"/>
        <w:tblInd w:w="0" w:type="dxa"/>
        <w:tblLayout w:type="fixed"/>
        <w:tblCellMar>
          <w:top w:w="28" w:type="dxa"/>
          <w:left w:w="28" w:type="dxa"/>
          <w:bottom w:w="28" w:type="dxa"/>
          <w:right w:w="28" w:type="dxa"/>
        </w:tblCellMar>
      </w:tblPr>
      <w:tblGrid>
        <w:gridCol w:w="1572"/>
        <w:gridCol w:w="1375"/>
        <w:gridCol w:w="1382"/>
        <w:gridCol w:w="341"/>
        <w:gridCol w:w="304"/>
        <w:gridCol w:w="304"/>
        <w:gridCol w:w="304"/>
        <w:gridCol w:w="304"/>
        <w:gridCol w:w="304"/>
        <w:gridCol w:w="325"/>
        <w:gridCol w:w="304"/>
        <w:gridCol w:w="306"/>
        <w:gridCol w:w="109"/>
        <w:gridCol w:w="109"/>
        <w:gridCol w:w="109"/>
        <w:gridCol w:w="321"/>
        <w:gridCol w:w="285"/>
        <w:gridCol w:w="284"/>
        <w:gridCol w:w="284"/>
        <w:gridCol w:w="284"/>
        <w:gridCol w:w="284"/>
        <w:gridCol w:w="302"/>
        <w:gridCol w:w="284"/>
        <w:gridCol w:w="425"/>
      </w:tblGrid>
      <w:tr>
        <w:trPr/>
        <w:tc>
          <w:tcPr>
            <w:tcW w:w="15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stock options were exercised</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warrants were exercised</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preferred shares were converted</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convertible debt were converted</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Fair Value of Financial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Company’s variable rate and short-term debt as of September 30, 2025 and December 31, 2024, approximated fair value. The fair value of the Company’s fixed rate debt were measured with</w:t>
      </w:r>
      <w:r>
        <w:rPr>
          <w:color w:val="000000"/>
          <w:shd w:fill="FFFFFF" w:val="clear"/>
        </w:rPr>
        <w:t xml:space="preserve"> </w:t>
      </w:r>
      <w:r>
        <w:rPr>
          <w:rFonts w:ascii="Times New Roman;serif" w:hAnsi="Times New Roman;serif"/>
          <w:b w:val="false"/>
          <w:color w:val="000000"/>
          <w:sz w:val="20"/>
          <w:shd w:fill="FFFFFF" w:val="clear"/>
        </w:rPr>
        <w:t xml:space="preserve">Level 2 inputs. The estimated fair value of the Company’s instruments below were determined by management based on a discounted future cash-flow model (in thousands): </w:t>
      </w:r>
    </w:p>
    <w:p>
      <w:pPr>
        <w:pStyle w:val="TextBody"/>
        <w:bidi w:val="0"/>
        <w:spacing w:before="0" w:after="0"/>
        <w:jc w:val="both"/>
        <w:rPr/>
      </w:pPr>
      <w:r>
        <w:rPr/>
      </w:r>
    </w:p>
    <w:tbl>
      <w:tblPr>
        <w:tblW w:w="7616" w:type="dxa"/>
        <w:jc w:val="left"/>
        <w:tblInd w:w="0" w:type="dxa"/>
        <w:tblLayout w:type="fixed"/>
        <w:tblCellMar>
          <w:top w:w="28" w:type="dxa"/>
          <w:left w:w="28" w:type="dxa"/>
          <w:bottom w:w="28" w:type="dxa"/>
          <w:right w:w="28" w:type="dxa"/>
        </w:tblCellMar>
      </w:tblPr>
      <w:tblGrid>
        <w:gridCol w:w="761"/>
        <w:gridCol w:w="668"/>
        <w:gridCol w:w="6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Saddleback Ranch,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consolidated funds’ variable rate and short-term debt as of September 30, 2025 and December 31, 2024, approximated fair value. The fair value of the consolidated funds’ fixed rate debt were measured with Level 2 inputs. The estimated fair values for the consolidated funds’ instruments below were determined by management based on a discounted future cash-flow model (in thousands):</w:t>
      </w:r>
    </w:p>
    <w:tbl>
      <w:tblPr>
        <w:tblW w:w="7514" w:type="dxa"/>
        <w:jc w:val="left"/>
        <w:tblInd w:w="0" w:type="dxa"/>
        <w:tblLayout w:type="fixed"/>
        <w:tblCellMar>
          <w:top w:w="28" w:type="dxa"/>
          <w:left w:w="28" w:type="dxa"/>
          <w:bottom w:w="28" w:type="dxa"/>
          <w:right w:w="28" w:type="dxa"/>
        </w:tblCellMar>
      </w:tblPr>
      <w:tblGrid>
        <w:gridCol w:w="816"/>
        <w:gridCol w:w="716"/>
        <w:gridCol w:w="718"/>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Derivative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 Management Objective of Using Derivatives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utilize derivative instruments, including interest rate caps and swaps, to reduce interest rate risk associated with its borrowings. The consolidated funds do not intend to utilize derivatives for purposes other than interest rate risk management.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consolidated funds did not have any derivatives designated as hedging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consolidated funds did not have any non-designated derivatives.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consolidated funds’ gain or loss recognized in consolidated funds - hospitality expenses in the accompanying condensed consolidated statements of operations for three and nine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524"/>
        <w:gridCol w:w="460"/>
        <w:gridCol w:w="462"/>
        <w:gridCol w:w="109"/>
        <w:gridCol w:w="109"/>
        <w:gridCol w:w="109"/>
        <w:gridCol w:w="905"/>
        <w:gridCol w:w="846"/>
        <w:gridCol w:w="848"/>
        <w:gridCol w:w="109"/>
        <w:gridCol w:w="109"/>
        <w:gridCol w:w="109"/>
        <w:gridCol w:w="307"/>
        <w:gridCol w:w="591"/>
        <w:gridCol w:w="158"/>
        <w:gridCol w:w="158"/>
        <w:gridCol w:w="158"/>
        <w:gridCol w:w="158"/>
        <w:gridCol w:w="307"/>
        <w:gridCol w:w="591"/>
        <w:gridCol w:w="158"/>
        <w:gridCol w:w="109"/>
        <w:gridCol w:w="109"/>
        <w:gridCol w:w="109"/>
        <w:gridCol w:w="289"/>
        <w:gridCol w:w="557"/>
        <w:gridCol w:w="149"/>
        <w:gridCol w:w="149"/>
        <w:gridCol w:w="149"/>
        <w:gridCol w:w="149"/>
        <w:gridCol w:w="289"/>
        <w:gridCol w:w="639"/>
        <w:gridCol w:w="223"/>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4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4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cap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nine months ended September 30, 2024, the interest rate swap was terminated.</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nine months ended September 30, 2024, the Company deconsolidated Caliber Hospitality, LP and the Caliber Hospitality Trust, which included activity from six hospitality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15 – Preferred Stock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Series 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Company entered in to an offering agreement to issue up to $15.0 million, of Series A Convertible Preferred Stock (“Series A Preferred”) and warrants to purchase its Class A Common Stock, with a stated value of $400 per share and a 12% annual, non-cumulative dividend payable annually in cash or shares of Class A Common Stock, at the Company’s discretion.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Series A Preferred is convertible anytime at the option of the stockholder, in four sequential tranches. Each tranche allows the stockholder to convert up to 25% of its initial investment, beginning at a conversion price $10.23 per share of Class A Common Stock, and increasing in 50% increments for each successive tranche. Each tranche of Series A Preferred is mandatorily convertible if the market price of the Class A Common Stock is 200% higher than any respective tranche’s conversion price for 20 of 30 consecutive trading days.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5,875 and 5,000 shares, respectively, of its Series A Preferred stock issued and outstanding, representing additional paid-in capital of $2.4 million and $2.0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Series AA cumulative redeemable preferred stock (Reg A+) - Liability classified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qualified its preferred stock series AA financing, registered under regulation A+, with the SEC in March 2025. The Company is authorized to issue up to 800,000 shares of the Series AA Cumulative Redeemable Preferred Stock (“Series AA Preferred”) for gross proceeds of $20.0 million. The Series AA Preferred shares have a stated value of $25 per share and a cumulative monthly cash dividend equal to 9.5% per annum. If the Company does not make an interest payment within 30 days after an unpaid month, it goes into default. In the event of default, the cash dividend rate increases to 18% per annum until cured.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Holders of the Series AA Preferred may elect to convert all or any portion of their preferred stock to equivalent shares of Class A Common Stock, after the third anniversary. The Company can redeem the Series AA Preferred at any time at no cost. The stockholder can redeem at any time as well; however, if redeemed in year one, two, or three, the redemption would be subject to a 10%, 8%, or 6% redemption fee, respectively. Redemption of the Series AA Preferred at stated value is mandatory on the third anniversary of the issuance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AA Preferred is classified as a liability on the condensed consolidated balance sheet, rather than in shareholders’ equity, due to its contractual obligation to redeem the shares for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139,819 shares of its Series AA Preferred issued and outstanding, representing funds raised to date of $3.5 million, net of issuance costs.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Series B</w:t>
      </w:r>
      <w:r>
        <w:rPr>
          <w:color w:val="000000"/>
        </w:rPr>
        <w:t xml:space="preserve"> </w:t>
      </w:r>
      <w:r>
        <w:rPr>
          <w:rFonts w:ascii="Times New Roman;serif" w:hAnsi="Times New Roman;serif"/>
          <w:b/>
          <w:color w:val="000000"/>
          <w:sz w:val="20"/>
        </w:rPr>
        <w:t>Preferred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11, 2025, the Company filed a Certificate of Designation with the Secretary of State of Delaware designating Series B Preferred Stock, par value $0.001 per share. Each share has a stated value of $1,000 and is convertible at the option of the holder into shares of Class A common stock at a conversion price of $250 per share, subject to adjustment as defined in the Certificate of Designation.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Series B Preferred Stock does not have voting rights, except as required by law. In the event of liquidation, dissolution, or winding up of the Company, holders are entitled to receive distributions in preference to holders of common stock, but junior to Series A and Series AA Preferred Stock. The Series B ranks pari passu with any preferred stock of substantially similar rights and preferences.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11, 2025, the Company issued 15,868 shares of Series B Preferred Stock to Mast Hill Fund, L.P. at a price of $1,000 per share for total proceeds of $15.9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Prior to the Reverse Stock Split, the Company had warrants outstanding to purchase a total of 2,201,123 shares of Class A common stock, at weighted average exercise price of $0.96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Reverse Stock Split, and pursuant to the terms of the applicable warrant agreement, the number of warrants outstanding to purchase a share of Class A Common Stock was proportionately decreased at a 20:1 ratio consistent with the increase 20:1 increase in the price of a share of Class A Common Stock. There was no change to the value of the warrant as a result of this adjustment.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below warrant disclosure has been effected for the Reverse Stock Split.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condensed consolidated balance sheets. At September 30, 2025 and December 31, 2024, the Company had warrants outstanding to purchase 129,040 and 52,943 shares of Class A Common Stock, respectively, with a weighted average exercise price per share of $16.49 and $16.41, respectively, and weighted average remaining exercise periods of 4.3 and 4.7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through one operating segment, its asset management platform which it refers to simply as “Platform”. The Company’s chief operating decision maker (“CODM”) is its Chief Executive Officer, John C. Loeffler. The Company’s CODM assesses performance and allocates resources based on the results of Platform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assesses revenue, operating costs and key operating statistics to evaluate performance and allocate resources on a basis that eliminates the impact of the consolidated funds (intercompany eliminations required by U.S. GAAP) and noncontrolling interests. Operating costs consist primarily of payroll related costs that are provided quarterly to the CODM. Platform payroll and payroll related costs were $2.8 million and $4.0 million for the three months ended September 30, 2025 and 2024, respectively, and $9.6 million and $13.7 million for the nine months ended September 30, 2025 and 2024, respectively. Management concluded that the consolidated funds do not meet the requirements in ASC 280, Segment Reporting, of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segments, as the Company’s CODM does not review, nor is he provided with the operating results of these consolidated funds for the purposes of allocating resources, assessing performance or determining whether additional investments or advances will be made to these funds. The consolidated funds are consolidated based on the requirement in ASC 810, Consolidation, as the Company was determined to be the primary beneficiary of each of these variable interest entities since the Company has the power to direct the activities of the entities and the right to absorb losses, generally in the form of guarantees of indebtedness that are significant to the individual investment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total Platform revenues were $3.5 million and $7.4 million, respectively, representing a period-over-period decrease of 52.6%. For the nine months ended September 30, 2025 and 2024, total Platform revenues were $11.2 million and $16.4 million, respectively, representing a period-over-period decrease of 31.6%. The tables below compare the revenues earned for providing services under the Company’s asset management Platform as described in the Revenue Recognition section of Note 2 – Summary of Significant Accounting Policies for the three and nine months ended September 30, 2025, to the revenues earned for the same period in 2024 (in thousands).</w:t>
      </w:r>
    </w:p>
    <w:tbl>
      <w:tblPr>
        <w:tblW w:w="8598" w:type="dxa"/>
        <w:jc w:val="left"/>
        <w:tblInd w:w="0" w:type="dxa"/>
        <w:tblLayout w:type="fixed"/>
        <w:tblCellMar>
          <w:top w:w="28" w:type="dxa"/>
          <w:left w:w="28" w:type="dxa"/>
          <w:bottom w:w="28" w:type="dxa"/>
          <w:right w:w="28" w:type="dxa"/>
        </w:tblCellMar>
      </w:tblPr>
      <w:tblGrid>
        <w:gridCol w:w="1080"/>
        <w:gridCol w:w="947"/>
        <w:gridCol w:w="958"/>
        <w:gridCol w:w="230"/>
        <w:gridCol w:w="672"/>
        <w:gridCol w:w="118"/>
        <w:gridCol w:w="118"/>
        <w:gridCol w:w="118"/>
        <w:gridCol w:w="118"/>
        <w:gridCol w:w="794"/>
        <w:gridCol w:w="1416"/>
        <w:gridCol w:w="414"/>
        <w:gridCol w:w="118"/>
        <w:gridCol w:w="118"/>
        <w:gridCol w:w="118"/>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50" w:type="dxa"/>
        <w:jc w:val="left"/>
        <w:tblInd w:w="0" w:type="dxa"/>
        <w:tblLayout w:type="fixed"/>
        <w:tblCellMar>
          <w:top w:w="28" w:type="dxa"/>
          <w:left w:w="28" w:type="dxa"/>
          <w:bottom w:w="28" w:type="dxa"/>
          <w:right w:w="28" w:type="dxa"/>
        </w:tblCellMar>
      </w:tblPr>
      <w:tblGrid>
        <w:gridCol w:w="1080"/>
        <w:gridCol w:w="947"/>
        <w:gridCol w:w="958"/>
        <w:gridCol w:w="223"/>
        <w:gridCol w:w="651"/>
        <w:gridCol w:w="115"/>
        <w:gridCol w:w="115"/>
        <w:gridCol w:w="115"/>
        <w:gridCol w:w="115"/>
        <w:gridCol w:w="691"/>
        <w:gridCol w:w="1576"/>
        <w:gridCol w:w="358"/>
        <w:gridCol w:w="115"/>
        <w:gridCol w:w="115"/>
        <w:gridCol w:w="115"/>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8566" w:type="dxa"/>
        <w:jc w:val="left"/>
        <w:tblInd w:w="0" w:type="dxa"/>
        <w:tblLayout w:type="fixed"/>
        <w:tblCellMar>
          <w:top w:w="28" w:type="dxa"/>
          <w:left w:w="28" w:type="dxa"/>
          <w:bottom w:w="28" w:type="dxa"/>
          <w:right w:w="28" w:type="dxa"/>
        </w:tblCellMar>
      </w:tblPr>
      <w:tblGrid>
        <w:gridCol w:w="1080"/>
        <w:gridCol w:w="947"/>
        <w:gridCol w:w="958"/>
        <w:gridCol w:w="211"/>
        <w:gridCol w:w="721"/>
        <w:gridCol w:w="109"/>
        <w:gridCol w:w="109"/>
        <w:gridCol w:w="109"/>
        <w:gridCol w:w="109"/>
        <w:gridCol w:w="691"/>
        <w:gridCol w:w="1576"/>
        <w:gridCol w:w="358"/>
        <w:gridCol w:w="109"/>
        <w:gridCol w:w="109"/>
        <w:gridCol w:w="109"/>
        <w:gridCol w:w="245"/>
        <w:gridCol w:w="837"/>
        <w:gridCol w:w="17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65" w:type="dxa"/>
        <w:jc w:val="left"/>
        <w:tblInd w:w="0" w:type="dxa"/>
        <w:tblLayout w:type="fixed"/>
        <w:tblCellMar>
          <w:top w:w="28" w:type="dxa"/>
          <w:left w:w="28" w:type="dxa"/>
          <w:bottom w:w="28" w:type="dxa"/>
          <w:right w:w="28" w:type="dxa"/>
        </w:tblCellMar>
      </w:tblPr>
      <w:tblGrid>
        <w:gridCol w:w="1080"/>
        <w:gridCol w:w="947"/>
        <w:gridCol w:w="958"/>
        <w:gridCol w:w="211"/>
        <w:gridCol w:w="721"/>
        <w:gridCol w:w="109"/>
        <w:gridCol w:w="109"/>
        <w:gridCol w:w="109"/>
        <w:gridCol w:w="109"/>
        <w:gridCol w:w="580"/>
        <w:gridCol w:w="1740"/>
        <w:gridCol w:w="304"/>
        <w:gridCol w:w="109"/>
        <w:gridCol w:w="109"/>
        <w:gridCol w:w="109"/>
        <w:gridCol w:w="245"/>
        <w:gridCol w:w="837"/>
        <w:gridCol w:w="17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loss to the most comparable U.S. GAAP measure for the three and nine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1596"/>
        <w:gridCol w:w="1383"/>
        <w:gridCol w:w="1398"/>
        <w:gridCol w:w="313"/>
        <w:gridCol w:w="936"/>
        <w:gridCol w:w="162"/>
        <w:gridCol w:w="112"/>
        <w:gridCol w:w="112"/>
        <w:gridCol w:w="112"/>
        <w:gridCol w:w="750"/>
        <w:gridCol w:w="1337"/>
        <w:gridCol w:w="391"/>
        <w:gridCol w:w="112"/>
        <w:gridCol w:w="112"/>
        <w:gridCol w:w="112"/>
        <w:gridCol w:w="267"/>
        <w:gridCol w:w="798"/>
        <w:gridCol w:w="202"/>
      </w:tblGrid>
      <w:tr>
        <w:trPr/>
        <w:tc>
          <w:tcPr>
            <w:tcW w:w="159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9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20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9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before income taxes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9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20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9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20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CaliberCos Inc.</w:t>
            </w:r>
          </w:p>
        </w:tc>
        <w:tc>
          <w:tcPr>
            <w:tcW w:w="3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20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911" w:type="dxa"/>
        <w:jc w:val="left"/>
        <w:tblInd w:w="0" w:type="dxa"/>
        <w:tblLayout w:type="fixed"/>
        <w:tblCellMar>
          <w:top w:w="28" w:type="dxa"/>
          <w:left w:w="28" w:type="dxa"/>
          <w:bottom w:w="28" w:type="dxa"/>
          <w:right w:w="28" w:type="dxa"/>
        </w:tblCellMar>
      </w:tblPr>
      <w:tblGrid>
        <w:gridCol w:w="1431"/>
        <w:gridCol w:w="1257"/>
        <w:gridCol w:w="1272"/>
        <w:gridCol w:w="281"/>
        <w:gridCol w:w="983"/>
        <w:gridCol w:w="147"/>
        <w:gridCol w:w="109"/>
        <w:gridCol w:w="109"/>
        <w:gridCol w:w="109"/>
        <w:gridCol w:w="691"/>
        <w:gridCol w:w="1576"/>
        <w:gridCol w:w="358"/>
        <w:gridCol w:w="109"/>
        <w:gridCol w:w="109"/>
        <w:gridCol w:w="109"/>
        <w:gridCol w:w="241"/>
        <w:gridCol w:w="842"/>
        <w:gridCol w:w="178"/>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6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4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6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4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4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7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525" w:type="dxa"/>
        <w:jc w:val="left"/>
        <w:tblInd w:w="0" w:type="dxa"/>
        <w:tblLayout w:type="fixed"/>
        <w:tblCellMar>
          <w:top w:w="28" w:type="dxa"/>
          <w:left w:w="28" w:type="dxa"/>
          <w:bottom w:w="28" w:type="dxa"/>
          <w:right w:w="28" w:type="dxa"/>
        </w:tblCellMar>
      </w:tblPr>
      <w:tblGrid>
        <w:gridCol w:w="1431"/>
        <w:gridCol w:w="1257"/>
        <w:gridCol w:w="1272"/>
        <w:gridCol w:w="223"/>
        <w:gridCol w:w="651"/>
        <w:gridCol w:w="115"/>
        <w:gridCol w:w="115"/>
        <w:gridCol w:w="115"/>
        <w:gridCol w:w="115"/>
        <w:gridCol w:w="691"/>
        <w:gridCol w:w="1576"/>
        <w:gridCol w:w="358"/>
        <w:gridCol w:w="115"/>
        <w:gridCol w:w="115"/>
        <w:gridCol w:w="115"/>
        <w:gridCol w:w="271"/>
        <w:gridCol w:w="791"/>
        <w:gridCol w:w="19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87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87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2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9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540" w:type="dxa"/>
        <w:jc w:val="left"/>
        <w:tblInd w:w="0" w:type="dxa"/>
        <w:tblLayout w:type="fixed"/>
        <w:tblCellMar>
          <w:top w:w="28" w:type="dxa"/>
          <w:left w:w="28" w:type="dxa"/>
          <w:bottom w:w="28" w:type="dxa"/>
          <w:right w:w="28" w:type="dxa"/>
        </w:tblCellMar>
      </w:tblPr>
      <w:tblGrid>
        <w:gridCol w:w="1431"/>
        <w:gridCol w:w="1257"/>
        <w:gridCol w:w="1272"/>
        <w:gridCol w:w="211"/>
        <w:gridCol w:w="721"/>
        <w:gridCol w:w="109"/>
        <w:gridCol w:w="109"/>
        <w:gridCol w:w="109"/>
        <w:gridCol w:w="109"/>
        <w:gridCol w:w="580"/>
        <w:gridCol w:w="1740"/>
        <w:gridCol w:w="304"/>
        <w:gridCol w:w="109"/>
        <w:gridCol w:w="109"/>
        <w:gridCol w:w="109"/>
        <w:gridCol w:w="245"/>
        <w:gridCol w:w="837"/>
        <w:gridCol w:w="17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7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7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0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7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assets to the most comparable U.S. GAAP measure as of September 30, 2025 and December 31, 2024 (in thousands):</w:t>
      </w:r>
    </w:p>
    <w:tbl>
      <w:tblPr>
        <w:tblW w:w="8834" w:type="dxa"/>
        <w:jc w:val="left"/>
        <w:tblInd w:w="0" w:type="dxa"/>
        <w:tblLayout w:type="fixed"/>
        <w:tblCellMar>
          <w:top w:w="28" w:type="dxa"/>
          <w:left w:w="28" w:type="dxa"/>
          <w:bottom w:w="28" w:type="dxa"/>
          <w:right w:w="28" w:type="dxa"/>
        </w:tblCellMar>
      </w:tblPr>
      <w:tblGrid>
        <w:gridCol w:w="1172"/>
        <w:gridCol w:w="1033"/>
        <w:gridCol w:w="1049"/>
        <w:gridCol w:w="211"/>
        <w:gridCol w:w="721"/>
        <w:gridCol w:w="109"/>
        <w:gridCol w:w="109"/>
        <w:gridCol w:w="109"/>
        <w:gridCol w:w="109"/>
        <w:gridCol w:w="580"/>
        <w:gridCol w:w="1740"/>
        <w:gridCol w:w="304"/>
        <w:gridCol w:w="109"/>
        <w:gridCol w:w="109"/>
        <w:gridCol w:w="109"/>
        <w:gridCol w:w="245"/>
        <w:gridCol w:w="837"/>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34" w:type="dxa"/>
        <w:jc w:val="left"/>
        <w:tblInd w:w="0" w:type="dxa"/>
        <w:tblLayout w:type="fixed"/>
        <w:tblCellMar>
          <w:top w:w="28" w:type="dxa"/>
          <w:left w:w="28" w:type="dxa"/>
          <w:bottom w:w="28" w:type="dxa"/>
          <w:right w:w="28" w:type="dxa"/>
        </w:tblCellMar>
      </w:tblPr>
      <w:tblGrid>
        <w:gridCol w:w="1172"/>
        <w:gridCol w:w="1033"/>
        <w:gridCol w:w="1049"/>
        <w:gridCol w:w="211"/>
        <w:gridCol w:w="721"/>
        <w:gridCol w:w="109"/>
        <w:gridCol w:w="109"/>
        <w:gridCol w:w="109"/>
        <w:gridCol w:w="109"/>
        <w:gridCol w:w="580"/>
        <w:gridCol w:w="1740"/>
        <w:gridCol w:w="304"/>
        <w:gridCol w:w="109"/>
        <w:gridCol w:w="109"/>
        <w:gridCol w:w="109"/>
        <w:gridCol w:w="245"/>
        <w:gridCol w:w="837"/>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evaluated events and transactions that occurred after September 30, 2025 through November 13, 2025, the date these condensed consolidated financial statements were available to be issued. See below material transaction, in addition to those matters discussed in Note 1 – Organization and Liquidity and Note 6 – Notes Payable.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October 2025, the Company launched its note conversion program whereby note </w:t>
      </w:r>
      <w:r>
        <w:rPr>
          <w:rFonts w:ascii="Times New Roman;serif" w:hAnsi="Times New Roman;serif"/>
          <w:b w:val="false"/>
          <w:color w:val="000000"/>
          <w:sz w:val="20"/>
          <w:shd w:fill="FFFFFF" w:val="clear"/>
        </w:rPr>
        <w:t>holders have the option to convert and cancel all or part of the their note principal balance</w:t>
      </w:r>
      <w:r>
        <w:rPr>
          <w:color w:val="000000"/>
        </w:rPr>
        <w:t xml:space="preserve"> </w:t>
      </w:r>
      <w:r>
        <w:rPr>
          <w:rFonts w:ascii="Times New Roman;serif" w:hAnsi="Times New Roman;serif"/>
          <w:b w:val="false"/>
          <w:color w:val="000000"/>
          <w:sz w:val="20"/>
        </w:rPr>
        <w:t>in exchange for shares of Class A common stock, par value $0.001 (“Conversion Agreement”) at a per share conversion price equaling the lower of (i) the average closing price of the Company’s Class A common stock over the five trading days prior to the execution of the respective Conversion Agreement, or (ii) the closing bid price of the Company’s Class A common stock the business day preceding the execution of the respective Conversion Agreement (the “Conversion Prices”). The Company has successfully converted $1.9 million of the outstanding Notes to 561,747 shares of Class A common stock. The Conversion Prices ranged from $3.14 to $3.72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(unaudited)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our Annual Report on Form 10-K filed with the SEC on March 31, 2025. Capitalized terms used herein, but not otherwise defined, shall have the meaning ascribed to those terms in the “Part I - Financial Information,” including the related notes to the condensed consolidated financial statements contained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Over the past 16 years, we have grown into a leading diversified alternative asset management firm, with more than $2.7 billion in Managed Assets, comprised of $0.8 billion of assets under management (“AUM”) and $1.9 billion of assets under development (“AUD”). Our primary goal is to drive shareholder value by enhancing the wealth of accredited investor clients seeking to make investments in real and digital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2025, our Board of Directors approved a new digital asset treasury policy designed to enhance the Company’s balance sheet strength, liquidity profile, and long-term growth potential. Under this policy, Caliber intends to allocate a portion of its corporate treasury to digital assets that demonstrate institutional utility and adoption potential, beginning with Chainlink (LINK).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Chainlink is the leading decentralized oracle network that enables smart contracts and traditional systems to securely interact with real-world data. The Company selected LINK as its inaugural digital asset because it represents core infrastructure within the blockchain ecosystem; supporting the growth of tokenization, decentralized finance, and real-world asset integration. Management believes that Chainlink’s enterprise adoption, technology maturity, and network resilience make LINK an attractive long-term holding relative to other digital assets at similar stages of adoption.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adoption of the policy, Caliber has raised capital through equity issuances and deployed a portion of those proceeds to accumulate LINK tokens as a long-term reserve asset. These holdings are reflected on our balance sheet at fair value as of September 30, 2025. Changes in the fair value of our LINK tokens are reflected within net loss on our condensed consolidated statements of operations for the three and nine months ended September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announced that it intends to stake a portion of its LINK holdings once operational and governance requirements are completed. Staking allows participants to commit LINK tokens to support the Chainlink network’s data validation and security functions, earning a yield in the form of additional LINK tokens. Staking is a critical part of the Chainlink ecosystem and provides an opportunity for Caliber to generate passive yield on its holdings while contributing to the stability and reliability of the broader network. Management estimates it may earn a yield of 3% to 9% annualized, based upon internal estimates of the potential to Stake the Company’s LINK treasury.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parallel, Caliber is evaluating the potential to operate or participate in Chainlink validator nodes. Validator nodes play a central role in maintaining network consensus and facilitating data integrity. The Company may establish relationships with existing validator operators or develop internal capabilities to support validator participation in the future. Revenues generated from staking or validator operations, if any, would be reinvested to strengthen the Company’s digital asset treasury and asset management platform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Caliber’s movement into digital assets represents a strategic expansion of Caliber’s role as an alternative asset manager. Historically focused on real estate and private credit strategies, Caliber now views itself as a diversified alternative asset manager investing in both real assets and digital assets. The Company intends to leverage its capital markets expertise and investment platform to create and sponsor new investment offerings and funds focused on digital assets and blockchain infrastructure. These future offerings could expand Caliber’s assets under management (AUM) and generate recurring management and performance fees, consistent with the Company’s existing real estate fund model.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Caliber plans to utilize blockchain technology within its real estate investment platform to improve operational efficiency and investor accessibility. Specifically, the Company intends to tokenize real-world assets (RWAs), including real estate projects and fund interests, to enable fractional ownership, enhance liquidity, and streamline investor reporting and fund administration. Tokenized offerings could also serve as a new fundraising channel for Caliber, allowing the Company to reach a broader base of global investors through compliant, blockchain-enabled investment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Board and management team view the LINK strategy and broader blockchain initiatives as a natural evolution of Caliber’s mission: to enhance the wealth of our accredited investor clients by making alternative investments more accessible, transparent, and profitable for investors. Through the integration of digital assets, blockchain infrastructure, and tokenization technology, Caliber seeks to position itself at the forefront of the convergence between traditional finance (TradFi) and decentralized finance (DeFi).</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Private Equity Real Estate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Caliber operates a Private Equity Real Estate (PERE) platform that creates, manages, and services middle-market investment funds, private syndications, and direct investments focused on real estate investment strategies. To build our funds, we market directly to high net worth (HNW) and ultra high net worth (UHNW) investors with Caliber’s in-house fundraising team and to registered investment advisors (RIAs) and broker-dealers (BDs) with Caliber’s in-house wholesaling team.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some of which are on land owned by our funds or are under contract to purchase. Completing these development activities may ultimately result in income-producing assets, assets we may sell to third parties, or both.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are actively developing 1,776 multifamily units, 697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$1.9 billion, which we expect would be funded through a combination of undeployed fund cash, third-party equity, project sales, tax credit financing and similar incentives, and secured debt financing.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strive to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the Platform:</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Asset Management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Organizational &amp; Offering fees include fund set-up fees and are a one-time fee earned during the initial formation, administration, and set-up of fund products we distribute and manage. These fees are recognized at the point in time when the performance under the contract is complete.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the Caliber Hospitality Trust, we earn a fund management fee of 0.7% of the Caliber Hospitality Trust’s enterprise value and are reimbursed for certain costs incurred on behalf of the Caliber Hospitality Trust.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Real estate development revenues are generally based on two fee-based contracts, not to exceed 6.0%. The first, a real estate development contract that provides for up to 4.0% of the total expected costs of the development and is paid for services performed by Caliber Development, LLC as the principal developer of our projects. These services may include obtaining new entitlements or zoning changes and managing and supervising third-party developers. 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diligence, entitlements, planning, and design activities. During the construction period, construction management fee revenue is recognized over time as the performance obligations are satisfied.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Performance Allocations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lineRule="auto" w:line="240" w:before="200" w:after="283"/>
        <w:ind w:left="0" w:right="0" w:hanging="360"/>
        <w:jc w:val="both"/>
        <w:rPr/>
      </w:pPr>
      <w:r>
        <w:rPr>
          <w:color w:val="000000"/>
        </w:rPr>
        <w:t>•</w:t>
      </w:r>
      <w:r>
        <w:rPr>
          <w:rFonts w:ascii="Times New Roman;serif" w:hAnsi="Times New Roman;serif"/>
          <w:b w:val="false"/>
          <w:color w:val="000000"/>
          <w:sz w:val="20"/>
        </w:rPr>
        <w:t>Caliber were to complete all AUD at September 30, 2025, up through the planned sale of its Managed Assets, the Company estimates it could earn up to $90.5 million in performance allocations, which represents the portion of profits Caliber would be entitled to, presuming the results of each asset’s business plan are achieved.</w:t>
      </w:r>
      <w:r>
        <w:rPr>
          <w:color w:val="000000"/>
        </w:rPr>
        <w:t xml:space="preserve"> </w:t>
      </w:r>
      <w:r>
        <w:rPr>
          <w:rFonts w:ascii="Times New Roman;serif" w:hAnsi="Times New Roman;serif"/>
          <w:b w:val="false"/>
          <w:color w:val="000000"/>
          <w:sz w:val="20"/>
        </w:rPr>
        <w:t>These performance allocations, which are also commonly referred to as “carried interest” in the PERE industry, are not included in the Company’s balance sheet or profit and loss statements until they are realized via the sale of the asset(s) within the fund Caliber manages and, as the fund’s manager, Caliber is entitled to collect the performance allocations.</w:t>
      </w:r>
      <w:r>
        <w:rPr>
          <w:color w:val="000000"/>
        </w:rPr>
        <w:t xml:space="preserve"> </w:t>
      </w:r>
      <w:r>
        <w:rPr>
          <w:rFonts w:ascii="Times New Roman;serif" w:hAnsi="Times New Roman;serif"/>
          <w:b w:val="false"/>
          <w:color w:val="000000"/>
          <w:sz w:val="20"/>
        </w:rPr>
        <w:t xml:space="preserve">Caliber provides an estimate of the value of the performance allocations as an important point of reference for investors seeking to understand the Company’s estimated book value. </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the Company’s Chief Executive Officer, John C. Loeffler. The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our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we were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were originally founded as Caliber Companies, LLC, an Arizona limited liability company, organized under the laws of Arizona, and commenced operations in January 2009. In November 2014, we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Our business is driven by trends which affect the following:</w:t>
      </w:r>
    </w:p>
    <w:p>
      <w:pPr>
        <w:pStyle w:val="TextBody"/>
        <w:bidi w:val="0"/>
        <w:spacing w:lineRule="auto" w:line="288" w:before="200" w:after="283"/>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Capital formation:</w:t>
      </w:r>
      <w:r>
        <w:rPr>
          <w:color w:val="000000"/>
        </w:rPr>
        <w:t> </w:t>
      </w:r>
      <w:r>
        <w:rPr>
          <w:rFonts w:ascii="Times New Roman;serif" w:hAnsi="Times New Roman;serif"/>
          <w:b w:val="false"/>
          <w:color w:val="000000"/>
          <w:sz w:val="20"/>
        </w:rPr>
        <w:t>any trend which increases or decreases investors’ knowledge of alternative investments, desire to acquire them, access to acquire them, and knowledge and appreciation of us as a potential provider, will affect our ability to attract and raise new capital. Capital formation also drives investment acquisitions, which contribute to our revenues.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Investment acquisition:</w:t>
      </w:r>
      <w:r>
        <w:rPr>
          <w:color w:val="000000"/>
        </w:rPr>
        <w:t> </w:t>
      </w:r>
      <w:r>
        <w:rPr>
          <w:rFonts w:ascii="Times New Roman;serif" w:hAnsi="Times New Roman;serif"/>
          <w:b w:val="false"/>
          <w:color w:val="000000"/>
          <w:sz w:val="20"/>
        </w:rPr>
        <w:t>any trend which increases or decreases the supply of middle-market real estate projects or loans, the accessibility of developments or development incentives, or enhances or detracts from our ability to access those projects will affect our ability to generate revenue. Coincidentally, investment acquisitions, or the rights to acquire an investment, drive capital formation, which acts as a growth engine for the Platform which acts as a growth engine for the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Project execution:</w:t>
      </w:r>
      <w:r>
        <w:rPr>
          <w:color w:val="000000"/>
        </w:rPr>
        <w:t> </w:t>
      </w:r>
      <w:r>
        <w:rPr>
          <w:rFonts w:ascii="Times New Roman;serif" w:hAnsi="Times New Roman;serif"/>
          <w:b w:val="false"/>
          <w:color w:val="000000"/>
          <w:sz w:val="20"/>
        </w:rPr>
        <w:t>any trend which increases or decreases the costs of execution on a real estate project, including materials pricing, labor pricing, access to materials, delays due to governmental action, and the general labor market, will affect our ability to generate revenues.</w:t>
      </w:r>
    </w:p>
    <w:p>
      <w:pPr>
        <w:pStyle w:val="TextBody"/>
        <w:bidi w:val="0"/>
        <w:spacing w:lineRule="auto" w:line="288" w:before="200" w:after="283"/>
        <w:jc w:val="both"/>
        <w:rPr/>
      </w:pPr>
      <w:r>
        <w:rPr>
          <w:rFonts w:ascii="Times New Roman;serif" w:hAnsi="Times New Roman;serif"/>
          <w:b w:val="false"/>
          <w:color w:val="000000"/>
          <w:sz w:val="20"/>
        </w:rPr>
        <w:t>Our business depends in large part on our ability to raise capital for our funds from investors. Since our inception, we have continued to successfully raise capital into our funds with our total capital raised through September 30, 2025 of</w:t>
      </w:r>
      <w:r>
        <w:rPr>
          <w:color w:val="000000"/>
          <w:shd w:fill="FFFFFF" w:val="clear"/>
        </w:rPr>
        <w:t xml:space="preserve"> </w:t>
      </w:r>
      <w:r>
        <w:rPr>
          <w:rFonts w:ascii="Times New Roman;serif" w:hAnsi="Times New Roman;serif"/>
          <w:b w:val="false"/>
          <w:color w:val="000000"/>
          <w:sz w:val="20"/>
        </w:rPr>
        <w:t>$758.1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we manage throughout the deal cycle will continue to offer an attractive value proposition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advancement of real estate investment-oriented technology, sometimes referred to as “proptech” offers us the benefit of new and innovative technologies to better execute on capital formation strategies, investment acquisition strategies, and investment management strategies. In recent years, we have added to our technology stack with systems that we believe lead the market in their specific ability to enhance execution on our projects. Several of these technologies seek to incorporate investments in artificial intelligence, which we believe will be a prevailing trend in helping us to enhance our project execution going 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markets are experiencing significant volatility driven by concerns over inflation, elevated interest rates, global tariffs, slowing economic growth and geopolitical uncertainty. The annual inflation rate in the United States increased to 9.1% in June 2022, the highest rate since November 1981, but decreased to 3.0% in September 2025. As a result, from January 1, 2022 through September 18, 2024, the Federal Reserve increased the federal funds rate by 525 basis points. Subsequently, the Federal Reserve decreased the federal funds rate by 50 basis points in September 2024, by 25 basis points in November 2024, by 25 basis points in December 2024, and by 25 basis points in September 2025, resulting in a target rate range of 4.00% to 4.25% at September 30, 2025.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our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our early years of operations. In both a buyer’s market and a stressed or distressed market, we expect our business model to outperform, as our direct access to investor capital and our ability to invest in a variety of asset classes allows us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resulting in significant and lasting changes to the Qualified Opportunity Zone (“QOZ”) program. Most notably, the OBBBA eliminates the program’s original sunset date of December 31, 2026, and extends the QOZ program indefinitely. This legislative change could potentially impact our real estate investment strategy, particularly for our funds with existing or future exposure to QOZ-designated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evaluating the potential long-term implications of the OBBBA, including increased investor demand for QOZ-aligned strategies and shifts in capital deployment across target markets. However, the full scope and operational impact of these changes remain subject to further guidance. Accordingly, there can be no assurance that the legislative changes will lead to improved fund performance or investor outcomes. We will continue to monitor developments and adjust its strategies as appropriate to align with the evolving QOZ landscape.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Financial Measures and Indicators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the majority of our revenue in the form of asset management fee revenues and performance allocations. Included within our consolidated results, are the related revenues of certain consolidated VIEs.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(Loss)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(loss) income includes rental revenue, interest expense and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Three Months Ended September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DoubleTree by Hilton Tucson Convention Center was not consolidated during the three months ended September 30, 2025. The following table and discussion provide insight into our consolidated results of operations for the three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1412"/>
        <w:gridCol w:w="1222"/>
        <w:gridCol w:w="1233"/>
        <w:gridCol w:w="280"/>
        <w:gridCol w:w="914"/>
        <w:gridCol w:w="144"/>
        <w:gridCol w:w="144"/>
        <w:gridCol w:w="144"/>
        <w:gridCol w:w="144"/>
        <w:gridCol w:w="280"/>
        <w:gridCol w:w="820"/>
        <w:gridCol w:w="144"/>
        <w:gridCol w:w="109"/>
        <w:gridCol w:w="109"/>
        <w:gridCol w:w="109"/>
        <w:gridCol w:w="211"/>
        <w:gridCol w:w="684"/>
        <w:gridCol w:w="109"/>
        <w:gridCol w:w="109"/>
        <w:gridCol w:w="109"/>
        <w:gridCol w:w="109"/>
        <w:gridCol w:w="519"/>
        <w:gridCol w:w="523"/>
        <w:gridCol w:w="624"/>
      </w:tblGrid>
      <w:tr>
        <w:trPr/>
        <w:tc>
          <w:tcPr>
            <w:tcW w:w="14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3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9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4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4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62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(471,400.0)</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(471,400.0)</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4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62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CaliberCos Inc.</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(3,093.8)</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total revenues were $3.6 million and $11.3 million, respectively, representing a period-over-period decrease of 67.8%, which was primarily due to a decrease in consolidated fund revenues resulting from the deconsolidation of DT Mesa and CFIF III, which were deconsolidated during the year ended December 31, 2024 and TCC, which was deconsolidated during the three months ended June 30, 2025. The decrease was also due to a decrease in asset management revenues, primarily driven by an decrease in development and construction revenues and fund management revenues.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total expenses were $5.5 million and $10.4 million, respectively, representing a period-over-period decrease of 47.3%. The decrease was primarily due to the decrease in consolidated fund revenues resulting from the deconsolidation of DT Mesa and CFIF III, which were deconsolidated during the year ended December 31, 2024 and TCC, which was deconsolidated during the three months ended June 30, 2025. The decrease was also due to a decrease in operating costs related to payroll and bonus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unrealized loss on digital assets was $0.7 million. During the three months ended September 30, 2025, we had investments in digital assets resulting in an unrealized loss. There was no comparable activity during the same period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other loss, net was $0.3 million compared to other income, net of $0.4 million during the three months ended September 30, 2024, representing a period-over-period change of $0.7 million. The change was primarily due to a loss on extinguishment of debt related to the early repayment of a convertible debt agreement, investment impairment charges related to a real estate fund the Platform both invests in and manages, and credit losses related to certain of the Platform’s investments during the three months ended September 30, 2025, with no comparable activity during the same period in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Three Months Ended September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results of operations of the Platform for the three months ended September 30, 2025 and 2024 (in thousands). Unconsolidated Platform revenues and expenses are presented on a basis that deconsolidates our consolidated funds (intercompany eliminations) and eliminates noncontrolling interest. As a result, unconsolidated Platform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Platform expenses are also different than those presented on a consolidated U.S. GAAP basis due to the exclusion of fund expenses that are paid by the consolidated funds. See the Non-GAAP Measures section below for reconciliations of the unconsolidated Platform results to the most comparable U.S. GAAP measure.</w:t>
      </w:r>
    </w:p>
    <w:tbl>
      <w:tblPr>
        <w:tblW w:w="9460" w:type="dxa"/>
        <w:jc w:val="left"/>
        <w:tblInd w:w="0" w:type="dxa"/>
        <w:tblLayout w:type="fixed"/>
        <w:tblCellMar>
          <w:top w:w="28" w:type="dxa"/>
          <w:left w:w="28" w:type="dxa"/>
          <w:bottom w:w="28" w:type="dxa"/>
          <w:right w:w="28" w:type="dxa"/>
        </w:tblCellMar>
      </w:tblPr>
      <w:tblGrid>
        <w:gridCol w:w="1183"/>
        <w:gridCol w:w="1038"/>
        <w:gridCol w:w="1049"/>
        <w:gridCol w:w="289"/>
        <w:gridCol w:w="948"/>
        <w:gridCol w:w="149"/>
        <w:gridCol w:w="149"/>
        <w:gridCol w:w="149"/>
        <w:gridCol w:w="149"/>
        <w:gridCol w:w="289"/>
        <w:gridCol w:w="845"/>
        <w:gridCol w:w="149"/>
        <w:gridCol w:w="109"/>
        <w:gridCol w:w="109"/>
        <w:gridCol w:w="109"/>
        <w:gridCol w:w="211"/>
        <w:gridCol w:w="691"/>
        <w:gridCol w:w="109"/>
        <w:gridCol w:w="109"/>
        <w:gridCol w:w="109"/>
        <w:gridCol w:w="109"/>
        <w:gridCol w:w="396"/>
        <w:gridCol w:w="399"/>
        <w:gridCol w:w="614"/>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4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total revenues were $3.5 million and $7.4 million, respectively, representing a period-over-period decrease of 52.6%. The table below (in thousands) compares the revenues earned for providing services under our asset management Platform as described in the Revenue Recognition section of Note 2 – Summary of Significant Accounting Policies for the three months ended September 30, 2025, to the revenues earned for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742" w:type="dxa"/>
        <w:jc w:val="left"/>
        <w:tblInd w:w="0" w:type="dxa"/>
        <w:tblLayout w:type="fixed"/>
        <w:tblCellMar>
          <w:top w:w="28" w:type="dxa"/>
          <w:left w:w="28" w:type="dxa"/>
          <w:bottom w:w="28" w:type="dxa"/>
          <w:right w:w="28" w:type="dxa"/>
        </w:tblCellMar>
      </w:tblPr>
      <w:tblGrid>
        <w:gridCol w:w="1245"/>
        <w:gridCol w:w="1093"/>
        <w:gridCol w:w="1096"/>
        <w:gridCol w:w="109"/>
        <w:gridCol w:w="109"/>
        <w:gridCol w:w="109"/>
        <w:gridCol w:w="299"/>
        <w:gridCol w:w="874"/>
        <w:gridCol w:w="154"/>
        <w:gridCol w:w="154"/>
        <w:gridCol w:w="154"/>
        <w:gridCol w:w="154"/>
        <w:gridCol w:w="299"/>
        <w:gridCol w:w="874"/>
        <w:gridCol w:w="154"/>
        <w:gridCol w:w="109"/>
        <w:gridCol w:w="109"/>
        <w:gridCol w:w="109"/>
        <w:gridCol w:w="211"/>
        <w:gridCol w:w="691"/>
        <w:gridCol w:w="109"/>
        <w:gridCol w:w="109"/>
        <w:gridCol w:w="109"/>
        <w:gridCol w:w="109"/>
        <w:gridCol w:w="293"/>
        <w:gridCol w:w="293"/>
        <w:gridCol w:w="61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unconsolidated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fund management fees is related to a decrease in fund-set up fees as there were no new funds set-up during the three months ended September 30, 2025, partially offset by an increase in asset management fees earned. Fund management fees are based on 1.0% to 1.5% of the unreturned capital contributions in each fund and a fund management fee of 0.7% of the Caliber Hospitality Trust’s enterprise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development and construction fees is primarily due to an decrease in development fees related to fewer pre-construction milestones completed for development activities during the three months ended September 30, 2025 as compared to the same period in 2024.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total expenses were $5.2 million and $6.5 million, respectively, representing a period-over-period decrease of 19.9%. The decrease was primarily due to a decrease in payroll and bonus expense due to a decrease in employee headcount.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unrealized loss on digital assets was $0.7 million. During the three months ended September 30, 2025, we had investments in digital assets resulting in an unrealized loss. There was no comparable activity during the same period in 2024.</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other loss, net was $0.2 million compared to other income, net of $0.5 million during the three months ended September 30, 2024, representing a period-over-period change of $0.8 million. The change was primarily due to a loss on extinguishment of debt related to the early repayment of a convertible debt agreement, investment impairment charges related to a real estate fund the Platform both invests in and manages, and credit losses related to certain of the Platform’s investments during the three months ended September 30, 2025, with comparable activity during the same period in 2024.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interest expense was $1.9 million and $1.3 million, respectively. The increase was primarily due to an increase in expenses related to short-term operating loans during the three months ended September 30, 2025, as compared to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Nine Months Ended September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we deconsolidated DoubleTree by Hilton Tucson Convention Center during the nine months ended September 30, 2025. Additionally, we deconsolidated Caliber Hospitality, LP, the Caliber Hospitality Trust, and their consolidated subsidiaries, Elliot and DT Mesa during the nine months ended September 30, 2024. The following table and discussion provide insight into our consolidated results of operations for the nine months ended September 30, 2025 and 2024 (in thousands):</w:t>
      </w:r>
    </w:p>
    <w:tbl>
      <w:tblPr>
        <w:tblW w:w="9924" w:type="dxa"/>
        <w:jc w:val="left"/>
        <w:tblInd w:w="0" w:type="dxa"/>
        <w:tblLayout w:type="fixed"/>
        <w:tblCellMar>
          <w:top w:w="28" w:type="dxa"/>
          <w:left w:w="28" w:type="dxa"/>
          <w:bottom w:w="28" w:type="dxa"/>
          <w:right w:w="28" w:type="dxa"/>
        </w:tblCellMar>
      </w:tblPr>
      <w:tblGrid>
        <w:gridCol w:w="1432"/>
        <w:gridCol w:w="1258"/>
        <w:gridCol w:w="1270"/>
        <w:gridCol w:w="254"/>
        <w:gridCol w:w="961"/>
        <w:gridCol w:w="131"/>
        <w:gridCol w:w="131"/>
        <w:gridCol w:w="131"/>
        <w:gridCol w:w="131"/>
        <w:gridCol w:w="254"/>
        <w:gridCol w:w="871"/>
        <w:gridCol w:w="131"/>
        <w:gridCol w:w="109"/>
        <w:gridCol w:w="109"/>
        <w:gridCol w:w="109"/>
        <w:gridCol w:w="211"/>
        <w:gridCol w:w="691"/>
        <w:gridCol w:w="109"/>
        <w:gridCol w:w="109"/>
        <w:gridCol w:w="109"/>
        <w:gridCol w:w="109"/>
        <w:gridCol w:w="344"/>
        <w:gridCol w:w="346"/>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50,391 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total revenues were $16.0 million and $42.4 million, respectively, representing a period-over-period decrease of 62.4%, which was primarily due to a decrease in consolidated fund revenues resulting from the deconsolidation of Caliber Hospitality Trust and Caliber Hospitality, LP and its consolidated subsidiaries, Elliot, DT Mesa, and CFIF III, which were deconsolidated during the year ended December 31, 2024 and TCC, which was deconsolidated during the nine months ended September 30, 2025.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total expenses were $22.3 million and $50.4 million, respectively, representing a period-over-period decrease of 55.8%. The decrease was primarily due to a decrease in consolidated fund revenues resulting from the deconsolidation of Caliber Hospitality Trust and Caliber Hospitality, LP and its consolidated subsidiaries, Elliot, DT Mesa, and CFIF III, which were deconsolidated during the year ended December 31, 2024 and TCC, which was deconsolidated during the nine months ended September 30, 2025. The decrease was also related to a decrease in operating costs related to payroll and bonus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unrealized loss on digital assets was $0.7 million. During the nine months ended September 30, 2025, we had investments in digital assets resulting in an unrealized loss. There was no comparable activity during the same period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other loss, net was $2.9 million compared to other income, net of $1.0 million during the nine months ended September 30, 2024, representing a period-over-period change of $3.9 million. The change was primarily due to a loss on extinguishment of debt related to the early repayment of a convertible debt agreement, investment impairment charges related to a real estate fund the Platform both invests in and manages, and credit losses related to certain of the Platform’s investment during the nine months ended September 30, 2025, with no comparable activity during the same period in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Nine Months Ended September 30,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results of operations of the Platform for the nine months ended September 30, 2025 and 2024 (in thousands). See the Non-GAAP Measures section below for reconciliations of the unconsolidated Platform results to the most comparable U.S. GAAP measure.</w:t>
      </w:r>
    </w:p>
    <w:tbl>
      <w:tblPr>
        <w:tblW w:w="8679" w:type="dxa"/>
        <w:jc w:val="left"/>
        <w:tblInd w:w="0" w:type="dxa"/>
        <w:tblLayout w:type="fixed"/>
        <w:tblCellMar>
          <w:top w:w="28" w:type="dxa"/>
          <w:left w:w="28" w:type="dxa"/>
          <w:bottom w:w="28" w:type="dxa"/>
          <w:right w:w="28" w:type="dxa"/>
        </w:tblCellMar>
      </w:tblPr>
      <w:tblGrid>
        <w:gridCol w:w="982"/>
        <w:gridCol w:w="862"/>
        <w:gridCol w:w="871"/>
        <w:gridCol w:w="254"/>
        <w:gridCol w:w="961"/>
        <w:gridCol w:w="131"/>
        <w:gridCol w:w="131"/>
        <w:gridCol w:w="131"/>
        <w:gridCol w:w="131"/>
        <w:gridCol w:w="254"/>
        <w:gridCol w:w="871"/>
        <w:gridCol w:w="131"/>
        <w:gridCol w:w="109"/>
        <w:gridCol w:w="109"/>
        <w:gridCol w:w="109"/>
        <w:gridCol w:w="211"/>
        <w:gridCol w:w="691"/>
        <w:gridCol w:w="109"/>
        <w:gridCol w:w="109"/>
        <w:gridCol w:w="109"/>
        <w:gridCol w:w="109"/>
        <w:gridCol w:w="344"/>
        <w:gridCol w:w="346"/>
        <w:gridCol w:w="61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check</w:t>
            </w:r>
          </w:p>
        </w:tc>
        <w:tc>
          <w:tcPr>
            <w:tcW w:w="13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15,971 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and 2024, total revenues were $11.2 million and $16.4 million, respectively, representing a period-over-period decrease of 31.6%. The table below (in thousands) compares the revenues earned for providing services under our asset management Platform as described in the Revenue Recognition section of Note 2 – Summary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Significant Accounting Policies for the nine months ended September 30, 2025, to the revenues earned for the same period in 2024.</w:t>
      </w:r>
    </w:p>
    <w:tbl>
      <w:tblPr>
        <w:tblW w:w="9472" w:type="dxa"/>
        <w:jc w:val="left"/>
        <w:tblInd w:w="0" w:type="dxa"/>
        <w:tblLayout w:type="fixed"/>
        <w:tblCellMar>
          <w:top w:w="28" w:type="dxa"/>
          <w:left w:w="28" w:type="dxa"/>
          <w:bottom w:w="28" w:type="dxa"/>
          <w:right w:w="28" w:type="dxa"/>
        </w:tblCellMar>
      </w:tblPr>
      <w:tblGrid>
        <w:gridCol w:w="1191"/>
        <w:gridCol w:w="1045"/>
        <w:gridCol w:w="1049"/>
        <w:gridCol w:w="109"/>
        <w:gridCol w:w="109"/>
        <w:gridCol w:w="109"/>
        <w:gridCol w:w="262"/>
        <w:gridCol w:w="898"/>
        <w:gridCol w:w="135"/>
        <w:gridCol w:w="135"/>
        <w:gridCol w:w="135"/>
        <w:gridCol w:w="135"/>
        <w:gridCol w:w="262"/>
        <w:gridCol w:w="898"/>
        <w:gridCol w:w="135"/>
        <w:gridCol w:w="109"/>
        <w:gridCol w:w="109"/>
        <w:gridCol w:w="109"/>
        <w:gridCol w:w="211"/>
        <w:gridCol w:w="691"/>
        <w:gridCol w:w="109"/>
        <w:gridCol w:w="109"/>
        <w:gridCol w:w="109"/>
        <w:gridCol w:w="109"/>
        <w:gridCol w:w="293"/>
        <w:gridCol w:w="293"/>
        <w:gridCol w:w="61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unconsolidated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fund management fees is related to a decrease in fund-set up fees as there were no new funds set-up during the nine months ended September 30, 2025, partially offset by an increase in asset management fees earned. Fund management fees are based on 1.0% to 1.5% of the unreturned capital contributions in each fund and a fund management fee of 0.7% of the Caliber Hospitality Trust’s enterprise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development and construction fees is primarily due to a decrease in development fees related to fewer pre-construction milestones completed for development activities during the nine months ended September 30, 2025, as compared to the same period in 2024.</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total expenses were $16.6 million and $22.4 million, respectively, representing a period-over-period decrease of 25.8%. The decrease was primarily due to a decrease in payroll and bonus expense due to a decrease in employee headcount.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unrealized loss on digital assets was $0.7 million. During the nine months ended September 30, 2025, we had investments in digital assets resulting in an unrealized loss. There was no comparable activity during the same period in 2024.</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other loss, net was $2.2 million compared to other income, net of $1.5 million during the nine months ended September 30, 2024, representing a period-over-period change of $3.7 million. The change was primarily due to a loss on extinguishment of debt related to the early repayment of a convertible debt agreement, investment impairment charges related to a real estate fund the Platform both invests in and manages, and credit losses related to certain of the Platform’s investment during the nine months ended September 30, 2025, with no comparable activity during the same period in 2024.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interest expense was $5.2 million and $4.0 million, respectively. The increase was primarily due to an increase in expenses related to short-term operating loans during the nine months ended September 30, 2025, as compared to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color w:val="231F20"/>
          <w:sz w:val="20"/>
        </w:rPr>
        <w:t xml:space="preserve">Balance Sheets - </w:t>
      </w:r>
      <w:r>
        <w:rPr>
          <w:rFonts w:ascii="Times New Roman;serif" w:hAnsi="Times New Roman;serif"/>
          <w:b/>
          <w:i/>
          <w:color w:val="000000"/>
          <w:sz w:val="20"/>
        </w:rPr>
        <w:t>Asset Management Platform (Unconsolidated)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balance sheets of the asset management Platform as of September 30, 2025 and December 31, 2024 (in thousands).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tbl>
      <w:tblPr>
        <w:tblW w:w="8318" w:type="dxa"/>
        <w:jc w:val="left"/>
        <w:tblInd w:w="0" w:type="dxa"/>
        <w:tblLayout w:type="fixed"/>
        <w:tblCellMar>
          <w:top w:w="28" w:type="dxa"/>
          <w:left w:w="28" w:type="dxa"/>
          <w:bottom w:w="28" w:type="dxa"/>
          <w:right w:w="28" w:type="dxa"/>
        </w:tblCellMar>
      </w:tblPr>
      <w:tblGrid>
        <w:gridCol w:w="1494"/>
        <w:gridCol w:w="1314"/>
        <w:gridCol w:w="1317"/>
        <w:gridCol w:w="109"/>
        <w:gridCol w:w="109"/>
        <w:gridCol w:w="109"/>
        <w:gridCol w:w="358"/>
        <w:gridCol w:w="1226"/>
        <w:gridCol w:w="185"/>
        <w:gridCol w:w="109"/>
        <w:gridCol w:w="109"/>
        <w:gridCol w:w="109"/>
        <w:gridCol w:w="344"/>
        <w:gridCol w:w="1175"/>
        <w:gridCol w:w="251"/>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75,100 </w:t>
            </w:r>
          </w:p>
        </w:tc>
        <w:tc>
          <w:tcPr>
            <w:tcW w:w="18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2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(Deficit)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A</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(63,493)</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(49,997)</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 equity</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75,100 </w:t>
            </w:r>
          </w:p>
        </w:tc>
        <w:tc>
          <w:tcPr>
            <w:tcW w:w="18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25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Investment Valuations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unique feature of our funds is the discretion given to our management team to decide when to sell assets and when to hold them. We believe this discretion allows us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Assets Under Management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AUM refers to the assets we manage or sponsor. We monitor two types of information with regard to our AUM:</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our management to further calculate and predict future earnings.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September 30, 2025, we had total FV AUM of approximately $797.0 million.</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Managed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the managed capital for the nine months ended September 30, 2025 (in thousands):</w:t>
      </w:r>
    </w:p>
    <w:tbl>
      <w:tblPr>
        <w:tblW w:w="4887"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287"/>
        <w:gridCol w:w="1124"/>
        <w:gridCol w:w="209"/>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495,217 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505,989 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the managed capital for the nine months ended September 30, 2024 (in thousands):</w:t>
      </w:r>
    </w:p>
    <w:tbl>
      <w:tblPr>
        <w:tblW w:w="4887"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287"/>
        <w:gridCol w:w="1124"/>
        <w:gridCol w:w="209"/>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453,905 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485,272 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managed capital for our investment fund portfolios as of September 30, 2025 and December 31, 2024 (in thousands):</w:t>
      </w:r>
    </w:p>
    <w:tbl>
      <w:tblPr>
        <w:tblW w:w="6175" w:type="dxa"/>
        <w:jc w:val="left"/>
        <w:tblInd w:w="0" w:type="dxa"/>
        <w:tblLayout w:type="fixed"/>
        <w:tblCellMar>
          <w:top w:w="28" w:type="dxa"/>
          <w:left w:w="28" w:type="dxa"/>
          <w:bottom w:w="28" w:type="dxa"/>
          <w:right w:w="28" w:type="dxa"/>
        </w:tblCellMar>
      </w:tblPr>
      <w:tblGrid>
        <w:gridCol w:w="836"/>
        <w:gridCol w:w="733"/>
        <w:gridCol w:w="740"/>
        <w:gridCol w:w="326"/>
        <w:gridCol w:w="1276"/>
        <w:gridCol w:w="168"/>
        <w:gridCol w:w="109"/>
        <w:gridCol w:w="109"/>
        <w:gridCol w:w="109"/>
        <w:gridCol w:w="313"/>
        <w:gridCol w:w="1228"/>
        <w:gridCol w:w="228"/>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Caliber Hospitality Trust</w:t>
            </w:r>
            <w:r>
              <w:rPr>
                <w:rFonts w:ascii="Times New Roman;serif" w:hAnsi="Times New Roman;serif"/>
                <w:b w:val="false"/>
                <w:color w:val="000000"/>
                <w:sz w:val="13"/>
              </w:rPr>
              <w:t>(1)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Real Estate</w:t>
            </w:r>
            <w:r>
              <w:rPr>
                <w:rFonts w:ascii="Times New Roman;serif" w:hAnsi="Times New Roman;serif"/>
                <w:b w:val="false"/>
                <w:color w:val="000000"/>
                <w:sz w:val="13"/>
              </w:rPr>
              <w:t>(2)</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r>
              <w:rPr>
                <w:color w:val="000000"/>
              </w:rPr>
              <w:t> </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We earn a fund management fee of 0.70% of the Caliber Hospitality Trust’s enterprise value and are reimbursed for certain costs incurred on behalf of the Caliber Hospitality Trust.</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Beginning during the year ended December 31, 2023, we include capital raised from our investors through corporate note issuances that was further invested in our funds in Managed Capital. As of September 30, 2025, and December 31, 2024, we had invested $11.9 million and $20.4 million, respectively, in our funds.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Credit managed capital represents loans made to our investment funds by us and our diversified funds. As of September 30, 2025 and December 31, 2024, we had loaned $3.3 million to our funds. </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Other managed capital represents undeployed capital held in our diversified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activity for our hospitality investment funds and the Caliber Hospitality Trust was effectively flat for the nine months ended September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residential investment funds increased by $5.2 million during the nine months ended September 30, 2025, due to: (i) $4.8 million in capital raised into our residential assets, and (ii) $1.2 million contributed by our diversified funds offset by $0.8 million in return of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commercial investment funds increased by $7.2 million during the nine months ended September 30, 2025, due to: (i) $4.8 million in capital raised into our commercial assets offset by $0.2 million in return of capital and (ii) $3.2 million contributed by our diversified funds offset by $0.6 million in return of capital. The scope of investments included tenant improvements and land development.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our diversified funds had $75.7 million invested in the form of notes receivable with our various real estate investments. We had $3.3 million deployed directly into our various real estate investments in the form of 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held $4.0 million of other managed capital, which included a $3.1 million private equity investment in a local start-up business and $1.0 million of undeployed cash and pursuit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FV AUM</w:t>
      </w:r>
    </w:p>
    <w:p>
      <w:pPr>
        <w:pStyle w:val="TextBody"/>
        <w:bidi w:val="0"/>
        <w:spacing w:lineRule="auto" w:line="288" w:before="200" w:after="283"/>
        <w:jc w:val="both"/>
        <w:rPr/>
      </w:pPr>
      <w:r>
        <w:rPr>
          <w:rFonts w:ascii="Times New Roman;serif" w:hAnsi="Times New Roman;serif"/>
          <w:b w:val="false"/>
          <w:color w:val="231F20"/>
          <w:sz w:val="20"/>
          <w:shd w:fill="FFFFFF" w:val="clear"/>
        </w:rPr>
        <w:t>T</w:t>
      </w:r>
      <w:r>
        <w:rPr>
          <w:rFonts w:ascii="Times New Roman;serif" w:hAnsi="Times New Roman;serif"/>
          <w:b w:val="false"/>
          <w:color w:val="231F20"/>
          <w:sz w:val="20"/>
        </w:rPr>
        <w:t>he table below details the activities that had an impact on our FV AUM, during the nine months ended September 30, 2025 (in thousands):</w:t>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FV AUM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March 31, 2025</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2025</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val="false"/>
          <w:color w:val="231F20"/>
          <w:sz w:val="20"/>
          <w:shd w:fill="FFFFFF" w:val="clear"/>
        </w:rPr>
        <w:t>T</w:t>
      </w:r>
      <w:r>
        <w:rPr>
          <w:rFonts w:ascii="Times New Roman;serif" w:hAnsi="Times New Roman;serif"/>
          <w:b w:val="false"/>
          <w:color w:val="231F20"/>
          <w:sz w:val="20"/>
        </w:rPr>
        <w:t xml:space="preserve">he table below details the activities that had an impact on our FV AUM, during the </w:t>
      </w:r>
      <w:r>
        <w:rPr>
          <w:rFonts w:ascii="Times New Roman;serif" w:hAnsi="Times New Roman;serif"/>
          <w:b w:val="false"/>
          <w:color w:val="000000"/>
          <w:sz w:val="20"/>
        </w:rPr>
        <w:t>nine months ended September 30, 2024</w:t>
      </w:r>
      <w:r>
        <w:rPr>
          <w:color w:val="231F20"/>
        </w:rPr>
        <w:t xml:space="preserve"> </w:t>
      </w:r>
      <w:r>
        <w:rPr>
          <w:rFonts w:ascii="Times New Roman;serif" w:hAnsi="Times New Roman;serif"/>
          <w:b w:val="false"/>
          <w:color w:val="231F20"/>
          <w:sz w:val="20"/>
        </w:rPr>
        <w:t>(in thousands):</w:t>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FV AUM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CHT contribution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Assets acquired</w:t>
            </w:r>
            <w:r>
              <w:rPr>
                <w:rFonts w:ascii="Times New Roman;serif" w:hAnsi="Times New Roman;serif"/>
                <w:b w:val="false"/>
                <w:color w:val="000000"/>
                <w:sz w:val="13"/>
              </w:rPr>
              <w:t>(4)</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 or disposed</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Assets acquired</w:t>
            </w:r>
            <w:r>
              <w:rPr>
                <w:rFonts w:ascii="Times New Roman;serif" w:hAnsi="Times New Roman;serif"/>
                <w:b w:val="false"/>
                <w:color w:val="000000"/>
                <w:sz w:val="13"/>
              </w:rPr>
              <w:t>(1)</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FV AUM of our investment fund portfolios as of September 30, 2025 and December 31, 2024 (in thousands):</w:t>
      </w:r>
    </w:p>
    <w:tbl>
      <w:tblPr>
        <w:tblW w:w="6010" w:type="dxa"/>
        <w:jc w:val="left"/>
        <w:tblInd w:w="0" w:type="dxa"/>
        <w:tblLayout w:type="fixed"/>
        <w:tblCellMar>
          <w:top w:w="28" w:type="dxa"/>
          <w:left w:w="28" w:type="dxa"/>
          <w:bottom w:w="28" w:type="dxa"/>
          <w:right w:w="28" w:type="dxa"/>
        </w:tblCellMar>
      </w:tblPr>
      <w:tblGrid>
        <w:gridCol w:w="776"/>
        <w:gridCol w:w="681"/>
        <w:gridCol w:w="687"/>
        <w:gridCol w:w="326"/>
        <w:gridCol w:w="1276"/>
        <w:gridCol w:w="168"/>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Trust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(2)</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797,033 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Assets sold during the nine months ended September 30, 2024 include a commercial asset, lot sales related to two development assets in Colorado, and one home from our residential fund.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Credit FV AUM represents loans made to our investment funds by our diversified credit fund.</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Other FV AUM represents undeployed capital held in our diversified funds.</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Assets acquired during the nine months ended September 30, 2024 include land for one commercial asset in Colorado.</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Assets Under Development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Completing these development activities may ultimately result in income-producing assets, assets we may sell to third parties, or both. If we complete all AUD at September 30, 2025, up through sale, we estimate we could earn up to $90.5 million in performance allocations. As of September 30, 2025, we are actively developing 1,776 multifamily units, 697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construction of such projects by us or a third party, is $1.9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00" w:after="283"/>
        <w:jc w:val="both"/>
        <w:rPr/>
      </w:pPr>
      <w:r>
        <w:rPr>
          <w:rFonts w:ascii="Times New Roman;serif" w:hAnsi="Times New Roman;serif"/>
          <w:b w:val="false"/>
          <w:color w:val="231F20"/>
          <w:sz w:val="20"/>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w:t>
      </w:r>
      <w:r>
        <w:rPr>
          <w:color w:val="000000"/>
        </w:rPr>
        <w:t xml:space="preserve"> </w:t>
      </w:r>
      <w:r>
        <w:rPr>
          <w:rFonts w:ascii="Times New Roman;serif" w:hAnsi="Times New Roman;serif"/>
          <w:b w:val="false"/>
          <w:color w:val="000000"/>
          <w:sz w:val="20"/>
        </w:rPr>
        <w:t>provide investors a view of the performance attributable to us</w:t>
      </w:r>
      <w:r>
        <w:rPr>
          <w:rFonts w:ascii="Times New Roman;serif" w:hAnsi="Times New Roman;serif"/>
          <w:b w:val="false"/>
          <w:color w:val="231F20"/>
          <w:sz w:val="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 Management Platform or Platform</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 xml:space="preserve">Platform refers to the performance of our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us because it communicates performance of us that would be most useful for understanding the value of CWD.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Fee-Related Earnings and Related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Fee-Related Earnings is a supplemental non-GAAP performance measure used to assess our ability to generate profits from fee-based revenues focusing on whether our core revenue streams are sufficient to cover our core operating expenses. Fee-Related Earnings represents our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Distributable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U.S. GAAP results assessing the amount of earnings available for distribution.</w:t>
      </w:r>
    </w:p>
    <w:p>
      <w:pPr>
        <w:pStyle w:val="TextBody"/>
        <w:bidi w:val="0"/>
        <w:spacing w:lineRule="auto" w:line="288" w:before="200" w:after="283"/>
        <w:jc w:val="both"/>
        <w:rPr/>
      </w:pPr>
      <w:r>
        <w:rPr>
          <w:rFonts w:ascii="Times New Roman;serif" w:hAnsi="Times New Roman;serif"/>
          <w:b/>
          <w:i/>
          <w:color w:val="252525"/>
          <w:sz w:val="20"/>
        </w:rPr>
        <w:t>P</w:t>
      </w:r>
      <w:r>
        <w:rPr>
          <w:rFonts w:ascii="Times New Roman;serif" w:hAnsi="Times New Roman;serif"/>
          <w:b/>
          <w:i/>
          <w:color w:val="000000"/>
          <w:sz w:val="20"/>
        </w:rPr>
        <w:t>latform Earnings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Platform Earnings represents the performance of our asset management platform segment, which generates revenues and expenses from managing our investment portfolio, excluding any consolidated assets or funds.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Platform Earnings per Share</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Platform Earnings per Share is calculated as Platform Earnings divided by weighted average CWD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Basic and Diluted Earnings Per Share (“EPS”)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 </w:t>
      </w:r>
    </w:p>
    <w:p>
      <w:pPr>
        <w:pStyle w:val="TextBody"/>
        <w:bidi w:val="0"/>
        <w:spacing w:lineRule="auto" w:line="288" w:before="200" w:after="283"/>
        <w:jc w:val="both"/>
        <w:rPr/>
      </w:pPr>
      <w:r>
        <w:rPr>
          <w:rFonts w:ascii="Times New Roman;serif" w:hAnsi="Times New Roman;serif"/>
          <w:b w:val="false"/>
          <w:color w:val="000000"/>
          <w:sz w:val="20"/>
        </w:rPr>
        <w:t xml:space="preserve">The following table presents a reconciliation of net (loss) income attributable to CaliberCos Inc. to Fee-Related Earnings, Distributable Earnings, </w:t>
      </w:r>
      <w:r>
        <w:rPr>
          <w:rFonts w:ascii="Times New Roman;serif" w:hAnsi="Times New Roman;serif"/>
          <w:b w:val="false"/>
          <w:color w:val="231F20"/>
          <w:sz w:val="20"/>
        </w:rPr>
        <w:t>Caliber Adjusted EBITDA, and Consolidated Adjusted EBITDA</w:t>
      </w:r>
      <w:r>
        <w:rPr>
          <w:color w:val="000000"/>
        </w:rPr>
        <w:t xml:space="preserve"> </w:t>
      </w:r>
      <w:r>
        <w:rPr>
          <w:rFonts w:ascii="Times New Roman;serif" w:hAnsi="Times New Roman;serif"/>
          <w:b w:val="false"/>
          <w:color w:val="000000"/>
          <w:sz w:val="20"/>
        </w:rPr>
        <w:t>for the three and nine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1500"/>
        <w:gridCol w:w="1274"/>
        <w:gridCol w:w="1282"/>
        <w:gridCol w:w="272"/>
        <w:gridCol w:w="879"/>
        <w:gridCol w:w="140"/>
        <w:gridCol w:w="140"/>
        <w:gridCol w:w="140"/>
        <w:gridCol w:w="140"/>
        <w:gridCol w:w="272"/>
        <w:gridCol w:w="795"/>
        <w:gridCol w:w="140"/>
        <w:gridCol w:w="109"/>
        <w:gridCol w:w="109"/>
        <w:gridCol w:w="109"/>
        <w:gridCol w:w="247"/>
        <w:gridCol w:w="919"/>
        <w:gridCol w:w="127"/>
        <w:gridCol w:w="127"/>
        <w:gridCol w:w="127"/>
        <w:gridCol w:w="127"/>
        <w:gridCol w:w="247"/>
        <w:gridCol w:w="796"/>
        <w:gridCol w:w="187"/>
      </w:tblGrid>
      <w:tr>
        <w:trPr/>
        <w:tc>
          <w:tcPr>
            <w:tcW w:w="15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CaliberCos Inc.</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fee-related earnings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impairment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Caliber Adjusted EBITDA</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 Adjusted EBITDA</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EBITDA Adjustments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Platform and Consolidated, basic and diluted earnings per share calculations below have been effected for the Reverse Stock Split, retroactively, for all periods presented.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income to the most comparable U.S. GAAP measure for the three and nine months ended September 30, 2025 and 2024 (in thousands):</w:t>
      </w:r>
    </w:p>
    <w:tbl>
      <w:tblPr>
        <w:tblW w:w="9576" w:type="dxa"/>
        <w:jc w:val="left"/>
        <w:tblInd w:w="0" w:type="dxa"/>
        <w:tblLayout w:type="fixed"/>
        <w:tblCellMar>
          <w:top w:w="28" w:type="dxa"/>
          <w:left w:w="28" w:type="dxa"/>
          <w:bottom w:w="28" w:type="dxa"/>
          <w:right w:w="28" w:type="dxa"/>
        </w:tblCellMar>
      </w:tblPr>
      <w:tblGrid>
        <w:gridCol w:w="1432"/>
        <w:gridCol w:w="1257"/>
        <w:gridCol w:w="1270"/>
        <w:gridCol w:w="220"/>
        <w:gridCol w:w="721"/>
        <w:gridCol w:w="113"/>
        <w:gridCol w:w="113"/>
        <w:gridCol w:w="113"/>
        <w:gridCol w:w="113"/>
        <w:gridCol w:w="794"/>
        <w:gridCol w:w="1416"/>
        <w:gridCol w:w="414"/>
        <w:gridCol w:w="113"/>
        <w:gridCol w:w="113"/>
        <w:gridCol w:w="113"/>
        <w:gridCol w:w="267"/>
        <w:gridCol w:w="798"/>
        <w:gridCol w:w="196"/>
      </w:tblGrid>
      <w:tr>
        <w:trPr/>
        <w:tc>
          <w:tcPr>
            <w:tcW w:w="143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5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4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1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4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1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41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20"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3"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54"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616" w:type="dxa"/>
        <w:jc w:val="left"/>
        <w:tblInd w:w="0" w:type="dxa"/>
        <w:tblLayout w:type="fixed"/>
        <w:tblCellMar>
          <w:top w:w="28" w:type="dxa"/>
          <w:left w:w="28" w:type="dxa"/>
          <w:bottom w:w="28" w:type="dxa"/>
          <w:right w:w="28" w:type="dxa"/>
        </w:tblCellMar>
      </w:tblPr>
      <w:tblGrid>
        <w:gridCol w:w="1432"/>
        <w:gridCol w:w="1258"/>
        <w:gridCol w:w="1270"/>
        <w:gridCol w:w="211"/>
        <w:gridCol w:w="796"/>
        <w:gridCol w:w="109"/>
        <w:gridCol w:w="109"/>
        <w:gridCol w:w="109"/>
        <w:gridCol w:w="109"/>
        <w:gridCol w:w="691"/>
        <w:gridCol w:w="1576"/>
        <w:gridCol w:w="358"/>
        <w:gridCol w:w="109"/>
        <w:gridCol w:w="109"/>
        <w:gridCol w:w="109"/>
        <w:gridCol w:w="241"/>
        <w:gridCol w:w="842"/>
        <w:gridCol w:w="178"/>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22,271 </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78"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16"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734" w:type="dxa"/>
        <w:jc w:val="left"/>
        <w:tblInd w:w="0" w:type="dxa"/>
        <w:tblLayout w:type="fixed"/>
        <w:tblCellMar>
          <w:top w:w="28" w:type="dxa"/>
          <w:left w:w="28" w:type="dxa"/>
          <w:bottom w:w="28" w:type="dxa"/>
          <w:right w:w="28" w:type="dxa"/>
        </w:tblCellMar>
      </w:tblPr>
      <w:tblGrid>
        <w:gridCol w:w="1507"/>
        <w:gridCol w:w="1323"/>
        <w:gridCol w:w="1339"/>
        <w:gridCol w:w="223"/>
        <w:gridCol w:w="651"/>
        <w:gridCol w:w="115"/>
        <w:gridCol w:w="115"/>
        <w:gridCol w:w="115"/>
        <w:gridCol w:w="115"/>
        <w:gridCol w:w="691"/>
        <w:gridCol w:w="1576"/>
        <w:gridCol w:w="358"/>
        <w:gridCol w:w="115"/>
        <w:gridCol w:w="115"/>
        <w:gridCol w:w="115"/>
        <w:gridCol w:w="271"/>
        <w:gridCol w:w="791"/>
        <w:gridCol w:w="199"/>
      </w:tblGrid>
      <w:tr>
        <w:trPr/>
        <w:tc>
          <w:tcPr>
            <w:tcW w:w="150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87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1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9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before income taxes</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87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CaliberCos Inc.</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Platform income per share</w:t>
            </w:r>
          </w:p>
        </w:tc>
        <w:tc>
          <w:tcPr>
            <w:tcW w:w="223"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5"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9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Platform income per share</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89"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r>
      <w:tr>
        <w:trPr/>
        <w:tc>
          <w:tcPr>
            <w:tcW w:w="41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89" w:type="dxa"/>
            <w:gridSpan w:val="3"/>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40" w:type="dxa"/>
        <w:jc w:val="left"/>
        <w:tblInd w:w="0" w:type="dxa"/>
        <w:tblLayout w:type="fixed"/>
        <w:tblCellMar>
          <w:top w:w="28" w:type="dxa"/>
          <w:left w:w="28" w:type="dxa"/>
          <w:bottom w:w="28" w:type="dxa"/>
          <w:right w:w="28" w:type="dxa"/>
        </w:tblCellMar>
      </w:tblPr>
      <w:tblGrid>
        <w:gridCol w:w="1431"/>
        <w:gridCol w:w="1257"/>
        <w:gridCol w:w="1272"/>
        <w:gridCol w:w="211"/>
        <w:gridCol w:w="721"/>
        <w:gridCol w:w="109"/>
        <w:gridCol w:w="109"/>
        <w:gridCol w:w="109"/>
        <w:gridCol w:w="109"/>
        <w:gridCol w:w="580"/>
        <w:gridCol w:w="1740"/>
        <w:gridCol w:w="304"/>
        <w:gridCol w:w="109"/>
        <w:gridCol w:w="109"/>
        <w:gridCol w:w="109"/>
        <w:gridCol w:w="245"/>
        <w:gridCol w:w="837"/>
        <w:gridCol w:w="17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27,975 </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50,391 </w:t>
            </w:r>
          </w:p>
        </w:tc>
        <w:tc>
          <w:tcPr>
            <w:tcW w:w="17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Platform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7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4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a portfolio of corporate notes, whose composition and characteristics are similar to those reported in prior periods. At September 30, 2025, the portfolio consists of 194 unsecured notes with an aggregate principal balance of $31.5 million. As of November 13, 2025, an aggregate of $24.4 million of corporate and convertible notes mature within the 12-month period subsequent to when these financial statements were issued. The notes generally have 12-month or 36-month terms, with the 12-month note holders having the option to extend for an additional 12-month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we incurred recurring operating losses and negative cash flow from operations, and could experience additional future operating losses and negative cash flow in the near term, combined with the fact that we do not have sufficient cash on hand to satisfy the total of the notes that mature within the next 12 months, these conditions and events raise substantial doubt about our ability to continue as a going concern. In response to these conditions, management considered the impact of these near-term maturities on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evaluated the impact a default of one or many of these notes might have on us. As these notes are unsecured, the terms in the agreements do not afford the note holder avenues of recourse in a default that could or would impact us adversely in the normal course of business, as the terms lack provisions for rights or claims against our assets, nor is there a scenario where a default could force liquidation of us. Management believes that even in the event of default of one or many of these notes, we would be able to negotiate a waiver of the default either through an extension of the maturity or principal repayment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satisfy the maturity of these corporate notes, we intend to execute the following strategies: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i.Raise $20.0 million of preferred stock series AA financing through its Reg A+ offering, which was qualified on March 12, 2025.</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ii.Refinance existing 12-month term notes into its new 36-month term corporate note program. Year to date through November 13, 2025, we have successfully refinanced $4.8 million of 12-month term corporate notes into its new 36-month term corporate note program. </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iii.Convert corporate notes into shares of Caliber common stock. In October 2025, the Company launched its note conversion program (the “Program”) whereby holders (the “Note Holders”) of outstanding promissory notes (the “Notes”) will convert and cancel all or part of the Note Holders’ Notes in exchange for shares of Class A common stock, par value $0.001 at a per share conversion price equaling the lower of (i) the average closing price of the Company’s Class A common stock over the five trading days prior to the execution of the respective Conversion Agreement, or the (ii) closing bid price of the Company’s Class A common stock the business day preceding the execution of the respective Conversion Agreement (the “Conversion Prices”). Through November 13, 2025 we have successfully converted $1.9 million of corporate notes into 561,747 shares of common stock. The Conversion Prices ranged from $3.14 to $3.72 per share. </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iv.Raise equity in support of our LINK strategy using our approved ELOC or ATM facilities. Some of those proceeds will be used for general operating purposes. Through November 13, 2025, we have raised $34.5 million in cash through the issuance of new equity.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(or in some cases has successfully implemented plans to) i) reduce operating costs, ii) collect all or part of its $9.3 million in receivables, iii) collect all or part of its $11.9 million in investments from its managed funds, iv) increase capital raise through continued expansion of fundraising channels, v) sell or accept investment into its corporate headquarters, vi) place debt on unencumbered assets, and/or vii) generate planned cash from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as part of the execution of our aforementioned plans, we raised $31.8 million in new equity in support of the Company’s LINK strategy investing $10.6 million in LINK and maintaining $10.9 million in unrestricted cash on hand. We collected $1.1 million in notes receivable, $10.3 million in accounts receivable, and $2.0 million in redemptions of investments from its managed funds. In addition, we have implemented broad-based costs reductions, most notably being further workforce reductions, which are expected to result in annualized cost savings of $3.9 million in compensation and employee benefit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consideration of the implemented and planned actions, management concluded these plans are not within our control and therefore cannot be deemed probable. As a result, we have concluded that management’s plans do not alleviate substantial doubt about our ability to continue as a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us for services performed by us.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have issued and outstanding unsecured promissory notes of $31.5 million with an average outstanding principal balance of $0.2 million, a weighted average interest rate of 11.14%, and maturity dates ranging from January 2024 to March 2028. The purpose of this financing program is to provide us with flexible, short-term capital to be used to grow its assets under management and assist funds in a fast-moving acquisition or investment, as well as general corporate purposes. Additionally, the program provides customers of our funds access to a short-term lending opportunity. Management actively manages each relationship to determine if the respective customer would like to redeem upon maturity or extend for an additional period of time. This outstanding debt resulted in interest expense of $0.9 million and $2.7 million for the three and nine months ended September 30, 2025, respectively, and $1.0 million and $3.0 million for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Analysis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section below discusses in more detail our primary sources and uses of cash and primary drivers of cash flows within the our condensed consolidated statements of cash flows (in thousands):</w:t>
      </w:r>
    </w:p>
    <w:tbl>
      <w:tblPr>
        <w:tblW w:w="8204"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58"/>
        <w:gridCol w:w="845"/>
        <w:gridCol w:w="133"/>
        <w:gridCol w:w="133"/>
        <w:gridCol w:w="133"/>
        <w:gridCol w:w="133"/>
        <w:gridCol w:w="258"/>
        <w:gridCol w:w="973"/>
        <w:gridCol w:w="133"/>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us and to our consolidated funds (in thousands):</w:t>
      </w:r>
    </w:p>
    <w:tbl>
      <w:tblPr>
        <w:tblW w:w="10199" w:type="dxa"/>
        <w:jc w:val="left"/>
        <w:tblInd w:w="0" w:type="dxa"/>
        <w:tblLayout w:type="fixed"/>
        <w:tblCellMar>
          <w:top w:w="28" w:type="dxa"/>
          <w:left w:w="28" w:type="dxa"/>
          <w:bottom w:w="28" w:type="dxa"/>
          <w:right w:w="28" w:type="dxa"/>
        </w:tblCellMar>
      </w:tblPr>
      <w:tblGrid>
        <w:gridCol w:w="1979"/>
        <w:gridCol w:w="1738"/>
        <w:gridCol w:w="1743"/>
        <w:gridCol w:w="109"/>
        <w:gridCol w:w="109"/>
        <w:gridCol w:w="109"/>
        <w:gridCol w:w="258"/>
        <w:gridCol w:w="845"/>
        <w:gridCol w:w="133"/>
        <w:gridCol w:w="133"/>
        <w:gridCol w:w="133"/>
        <w:gridCol w:w="133"/>
        <w:gridCol w:w="258"/>
        <w:gridCol w:w="973"/>
        <w:gridCol w:w="133"/>
        <w:gridCol w:w="109"/>
        <w:gridCol w:w="109"/>
        <w:gridCol w:w="109"/>
        <w:gridCol w:w="211"/>
        <w:gridCol w:w="721"/>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net cash flows from operating activities are generally comprised of asset management revenues and performance allocations, less cash used for operating expenses, including interest paid on our debt obligations. Net cash flows used in operating activities of the Company increased during the nine months ended September 30, 2025 as compared to the same period in 2024, which was primarily related to a decrease in asset management revenues, development and construction fees and fund management fees specifically, and an increase in related party receivables. Net cash flows provided by operating activities of the consolidated funds decreased during the nine months ended September 30, 2025, as compared to the same period in 2024, which was primarily related to the deconsolidation of VIEs.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of the Company increased during the nine months ended September 30, 2025, as compared to the net cash flows provided by investing activities during the same period in 2024. The increase primarily related to the investment in digital assets during the nine months ended September 30, 2025, with no comparable investments during the same period in 2024, and a decrease in net proceeds from notes receivable - related parties. The decrease in net cash flows used in investing activities of the consolidated funds during the nine months ended September 30, 2025, as compared to the same period in 2024, is primarily due to the deconsolidation of VIEs and a decrease in investments in real estate assets.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financing activities of the Company increased during the nine months ended September 30, 2025 as compared to the net cash flows used in financing activities of the Company for the same period in 2024. The increase was primarily due to an increase in the net proceeds from the issuance of preferred stock, common stock and redeemable common stock, and a decrease of $2.4 million of net repayments on notes payable. The decrease in net cash flows provided by financing activities of the consolidated funds during the nine months ended September 30, 2025, as compared to the same period in 2024,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primarily due to a decrease in contributions from noncontrolling interest holders of $14.7 million, offset by an increase of $5.5 million of net proceeds on notes payable and a decrease in distributions to noncontrolling interest holders of $4.8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and Estimates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our more significant estimates and judgments used in the preparation of our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our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its anticipated performance and all information that is reasonably available to us. Revenues are recognized when control of the promised services is transferred to customers in an amount that reflects the consideration we expect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revenue recognition for the fees we earn from providing services under our asset management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the Caliber Hospitality Trust, we earns a fund management fee of 0.7% of the Caliber Hospitality Trust’s enterprise value and are reimbursed for certain costs incurred on behalf of the Caliber Hospitality Trust.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These revenues are included in asset management revenues in the accompanying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condensed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our digital assets in accordance with ASU 2023-08, Accounting for and Disclosure of Crypto Assets. ASU 2023-08 requires in-scope crypto assets (including the Company's bitcoin holdings) to be measured at fair value in the statement of financial position, with gains and losses from changes in the fair value of such crypto assets recognized in net income each reporting period. ASU 2023-08 also requires certain interim and annual disclosures for crypto assets within the scope of the standard. The Company adopted this guidance effective September 9, 2025, upon the completion of its initial purchase of Chainlink (“LINK”) tokens as part of the inauguration of its digital asset treasury (“DAT”) strategy.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initially records its LINK purchases at cost, with any subsequent changes in fair value recognized as incurred in the company's condensed consolidated statements of operations. The fair value of the Company’s LINK is adjusted and disclosed within the company's condensed consolidated balance sheets at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In the event of a sale the Company will calculate the gain (loss) to be recognized as the difference between the sales price, net of transaction costs, and carrying value of the LINK tokens sold immediately prior to sale. The Company uses the first-in, first-out cost basis method when calculating the gain (loss) on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pPr>
      <w:r>
        <w:rPr>
          <w:rFonts w:ascii="Times New Roman;serif" w:hAnsi="Times New Roman;serif"/>
          <w:b w:val="false"/>
          <w:color w:val="000000"/>
          <w:sz w:val="20"/>
        </w:rPr>
        <w:t xml:space="preserve">We account for income taxes under the asset and liability method in accordance with ASC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our ability to utilize the loss carryforward.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Accounting Estimates of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the consolidated funds’ more significant estimates and judgements used in the preparation of our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funds - other revenue primarily consists of rental revenue of $0.1 million and $0.5 million for the three and nine months ended September 30, 2025, respectively, and $0.4 million and $1.3 million during the three and nine months ended September 30, 2024, respectively. Rental revenue includes the revenues generated primarily by the rental operations of the residential (multi-family and single-family) and commercial properties of our consolidated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consolidated funds – other revenue includes interest income, which is generated by a consolidated fund’s lending activity. There was no interest income for the three and nine months ended September 30, 2025. For the three and nine months ended September 30, 2024, there was $1.7 million and $4.3 million, respectively, of interest income. Interest income is recognized on the accrual basis of accounting in accordance with the lending agreements over the term of the respective loan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Quantitative and Qualitative Disclosures About Market Risk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risk associated with financial instruments and derivative financial instruments is the risk of loss from adverse changes in market prices or interest rates. Our market risk arises primarily from volatility in the digital asset market relating to LINK tokens and interest rate risk relating to variable-rate borrowings.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digital asset markets have experienced significant price volatility, limited liquidity and trading volumes relative to sovereign currency markets, a developing regulatory environment, and risks related to market abuse, manipulation, and compliance or internal control failures at exchanges. These risks are heightened by the electronic and decentralized nature of digital assets. During periods of market instability, we may be unable to sell our LINK tokens at favorable prices,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LINK tokens held with custodians or transacted through trading partners are not subject to the protections available for cash or securities held with institutions regulated by the Federal Deposit Insurance Corporation or the Securities Investor Protection Corporation. We may also be unable to obtain term loans or complete other capital-raising transactions using our unencumbered LINK holdings as collateral, particularly during periods of market stress or following significant declines in the price of LINK. If we are unable to transact in LINK, raise capital using LINK as collateral, or otherwise generate liquidity from our LINK holdings—and especially if we are required to sell LINK at a substantial loss to meet working capital requirements—our business and financial condition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LINK digital asset treasury strategy,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debt included fixed-rate debt with a fair value and carrying value of $55.5 million and $60.6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As of September 30, 2025, we did not have any variable-rate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revenues are generated from the management, ownership and/or operations of real estate assets located in Alaska, Arizona, Colorado, Kansas, Texas, and Virginia. We mitigate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maintaining financing relationships with a diversified mix of lenders (differing size and type), including large national banks, local community banks, private equity lenders, and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September 30, 2025 and determined that the disclosure controls and procedures were effective at a reasonable assurance level as of that date.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change occurred in our internal control over financial reporting (as defined in Rules 13a-15(f) and 15d -15(f) of the Exchange Act) during the three months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1A. Risk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previously disclosed in the Risk Factors section in our annual report on Form 10-K filed with the SEC on March 31, 2025 and in our quarterly report on Form 10-Q filed with the SEC on May 15, 2025. In addition to the risks set forth in our Annual Report on Form 10-K for the year ended December 31, 2024, additional risks and uncertainties not currently known to us or that we currently deem to be immaterial may also materially and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11, 2025, the Company entered into a securities purchase agreement (the “Purchase Agreement”) with Mast Hill Fund, L.P. (the “Investor”) as the purchaser, pursuant to which the Company issued the Investor 15,868 shares of Series B Preferred Stock at a per share price of $1,000 for gross proceeds to the Company of $15.9 million. At any time and from time to time, a holder of the shares of Series B Preferred Stock may, at its option, convert the holder’s shares of Series B Preferred Stock at a rate equal to the stated value divided by $250. The securities described in the foregoing sentence have not been registered under the Securities Act or the securities laws of any state, and were offered and sold in reliance on the exemption from registration Securities Act afforded by Section 4(a)(2)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5.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 Trading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 director or officer (as defined in Rule 16a-1(f) of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67"/>
        <w:gridCol w:w="322"/>
        <w:gridCol w:w="323"/>
        <w:gridCol w:w="109"/>
        <w:gridCol w:w="109"/>
        <w:gridCol w:w="109"/>
        <w:gridCol w:w="2706"/>
        <w:gridCol w:w="2537"/>
        <w:gridCol w:w="362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CaliberCos Inc. (incorporated by reference to Exhibit 3.2 of CaliberCos Inc.’s Form 8-K filed with the SEC on May 19, 2023)</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Preferences and Rights relating to the Series A Convertible Preferred Stock, dated November 26, 2024 (incorporated by reference to Exhibit 3.1 of CaliberCos Inc.’s Form 8-K filed with the SEC on December 4, 2024)</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Preferences and Rights relating to the Series AA Cumulative Redeemable Preferred Stock, dated March 5, 20245 (incorporated by reference to Exhibit 3.1 of CaliberCos Inc.’s Form 8-K filed with the SEC on March 11,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Amendment to the Third Amended and Restated Certificate of Incorporation filed on April 23, 2025 (incorporated by reference to Exhibit 3.1 of CaliberCos Inc.’s Form 8-K filed with the SEC on April 25,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Certificate of Adoption of Bylaw Amendment (incorporated by reference to Exhibit 3.1 of CaliberCos Inc.’s Form 8-K filed with the SEC on June 20,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Certificate of Designation, Preferences and Rights relating to the Series B Convertible Preferred Stock, dated September 11, 2025 (incorporated by reference to Exhibit 3.1 of CaliberCos Inc.’s Form 8-K filed with the SEC on September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Description of Securities (incorporated by reference to Exhibit 4.1 of CaliberCos Inc.’s Form 10-K filed with the SEC on March 31,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Warrant (incorporated by reference to Exhibit 4.1 of CaliberCos Inc.’s Form 8-K filed with the SEC on April 14,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Note (incorporated by reference to Exhibit 4.2 of CaliberCos Inc.’s Form 8-K filed with the SEC on April 14,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Representative’s Warrants (incorporated by reference to Exhibit 4.1 of CaliberCos Inc.’s Form 8-K filed with the SEC on April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Rights Agreement, dated April 17, 2025, between the Company and Continental Stock Transfer &amp; Trust Company, as rights agent (incorporated by reference to Exhibit 4.2 of CaliberCos Inc.’s Form 8-K filed with the SEC on April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Employment Agreement between CaliberCos. and Gregory Randolph James (incorporated by reference to Exhibit 10.1 of CaliberCos Inc.’s Form 8-K/A filed with the SEC on July 15,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Advisory Agreement (incorporated by reference to Exhibit 10.1 of CaliberCos Inc.’s Form 8-K filed with the SEC on September 10,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Securities Purchase Agreement, dated September 11, 2025 (incorporated by reference to Exhibit 10.1 of CaliberCos Inc.’s Form 8-K filed with the SEC on September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Conversion Agreement (incorporated by reference to Exhibit 10.1 of CaliberCos Inc.’s Form 8-K filed with the SEC on November 3,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32025.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32025.htm">
              <w:r>
                <w:rPr>
                  <w:rStyle w:val="InternetLink"/>
                  <w:rFonts w:ascii="Times New Roman;serif" w:hAnsi="Times New Roman;serif"/>
                  <w:b w:val="false"/>
                  <w:color w:val="0000FF"/>
                  <w:sz w:val="20"/>
                  <w:u w:val="single"/>
                </w:rPr>
                <w:t>Certification of Principal Executive Officer Pursuant to Rules 13a-14(a) and 15d-14(a)</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32025.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32025.htm">
              <w:r>
                <w:rPr>
                  <w:rStyle w:val="InternetLink"/>
                  <w:rFonts w:ascii="Times New Roman;serif" w:hAnsi="Times New Roman;serif"/>
                  <w:b w:val="false"/>
                  <w:color w:val="0000FF"/>
                  <w:sz w:val="20"/>
                  <w:u w:val="single"/>
                </w:rPr>
                <w:t>Certification of Principal Financial Officer Pursuant to Rules 13a-14(a) and 15d-14(a)</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32025.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32025.htm">
              <w:r>
                <w:rPr>
                  <w:rStyle w:val="InternetLink"/>
                  <w:rFonts w:ascii="Times New Roman;serif" w:hAnsi="Times New Roman;serif"/>
                  <w:b w:val="false"/>
                  <w:color w:val="0000FF"/>
                  <w:sz w:val="20"/>
                  <w:u w:val="single"/>
                </w:rPr>
                <w:t>Certification of Principal Executive Officer Pursuant to 18 U.S.C. Section 1350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32025.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32025.htm">
              <w:r>
                <w:rPr>
                  <w:rStyle w:val="InternetLink"/>
                  <w:rFonts w:ascii="Times New Roman;serif" w:hAnsi="Times New Roman;serif"/>
                  <w:b w:val="false"/>
                  <w:color w:val="0000FF"/>
                  <w:sz w:val="20"/>
                  <w:u w:val="single"/>
                </w:rPr>
                <w:t>Certification of Principal Financial Officer Pursuant to 18 U.S.C. Section 1350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contained in Exhibit 101)</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w:t>
      </w:r>
      <w:r>
        <w:rPr>
          <w:rFonts w:ascii="Times New Roman;serif" w:hAnsi="Times New Roman;serif"/>
          <w:b w:val="false"/>
          <w:color w:val="000000"/>
          <w:sz w:val="20"/>
        </w:rPr>
        <w:t>on November 13, 2025.</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8797"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498"/>
        <w:gridCol w:w="1498"/>
        <w:gridCol w:w="1518"/>
        <w:gridCol w:w="109"/>
        <w:gridCol w:w="109"/>
        <w:gridCol w:w="109"/>
        <w:gridCol w:w="512"/>
        <w:gridCol w:w="512"/>
        <w:gridCol w:w="731"/>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Chief Financial Officer (</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25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40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CaliberCos Inc. (the “Company”) on Form 10-Q, for the fiscal quarter ended September 30, 2025,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625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CaliberCos Inc. (the “Company”) on Form 10-Q, for the fiscal quarter ended September 30, 2025,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40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ix?doc=/Archives/edgar/data/0001627282/000162728224000136/cwd-20241126.htm" TargetMode="External"/><Relationship Id="rId7" Type="http://schemas.openxmlformats.org/officeDocument/2006/relationships/hyperlink" Target="https://www.sec.gov/ix?doc=/Archives/edgar/data/0001627282/000162728224000136/cwd-20241126.htm" TargetMode="External"/><Relationship Id="rId8" Type="http://schemas.openxmlformats.org/officeDocument/2006/relationships/hyperlink" Target="https://www.sec.gov/ix?doc=/Archives/edgar/data/0001627282/000162728225000007/cwd-20250305.htm" TargetMode="External"/><Relationship Id="rId9" Type="http://schemas.openxmlformats.org/officeDocument/2006/relationships/hyperlink" Target="https://www.sec.gov/ix?doc=/Archives/edgar/data/0001627282/000162728225000007/cwd-20250305.htm" TargetMode="External"/><Relationship Id="rId10" Type="http://schemas.openxmlformats.org/officeDocument/2006/relationships/hyperlink" Target="https://www.sec.gov/Archives/edgar/data/1627282/000162728225000048/cert_ofxamendmentxrevers.htm" TargetMode="External"/><Relationship Id="rId11" Type="http://schemas.openxmlformats.org/officeDocument/2006/relationships/hyperlink" Target="https://www.sec.gov/Archives/edgar/data/1627282/000162728225000048/cert_ofxamendmentxrevers.htm" TargetMode="External"/><Relationship Id="rId12" Type="http://schemas.openxmlformats.org/officeDocument/2006/relationships/hyperlink" Target="https://www.sec.gov/Archives/edgar/data/1627282/000162728225000079/ex_31x061625certificateofa.htm" TargetMode="External"/><Relationship Id="rId13" Type="http://schemas.openxmlformats.org/officeDocument/2006/relationships/hyperlink" Target="https://www.sec.gov/Archives/edgar/data/1627282/000162728225000079/ex_31x061625certificateofa.htm" TargetMode="External"/><Relationship Id="rId14" Type="http://schemas.openxmlformats.org/officeDocument/2006/relationships/hyperlink" Target="https://www.sec.gov/Archives/edgar/data/1627282/000110465925090624/tm2526187d1_ex3-1.htm" TargetMode="External"/><Relationship Id="rId15" Type="http://schemas.openxmlformats.org/officeDocument/2006/relationships/hyperlink" Target="https://www.sec.gov/Archives/edgar/data/1627282/000110465925090624/tm2526187d1_ex3-1.htm" TargetMode="External"/><Relationship Id="rId16" Type="http://schemas.openxmlformats.org/officeDocument/2006/relationships/hyperlink" Target="https://www.sec.gov/Archives/edgar/data/1627282/000162728225000028/exhibit41-descriptionofsec.htm" TargetMode="External"/><Relationship Id="rId17" Type="http://schemas.openxmlformats.org/officeDocument/2006/relationships/hyperlink" Target="https://www.sec.gov/Archives/edgar/data/1627282/000162728225000028/exhibit41-descriptionofsec.htm" TargetMode="External"/><Relationship Id="rId18" Type="http://schemas.openxmlformats.org/officeDocument/2006/relationships/hyperlink" Target="https://www.sec.gov/Archives/edgar/data/1627282/000110465922112555/tm2228946d1_ex4-1.htm" TargetMode="External"/><Relationship Id="rId19" Type="http://schemas.openxmlformats.org/officeDocument/2006/relationships/hyperlink" Target="https://www.sec.gov/Archives/edgar/data/1627282/000110465922112555/tm2228946d1_ex4-1.htm" TargetMode="External"/><Relationship Id="rId20" Type="http://schemas.openxmlformats.org/officeDocument/2006/relationships/hyperlink" Target="https://www.sec.gov/Archives/edgar/data/1627282/000110465923035668/tm2230806d13_ex4-2.htm" TargetMode="External"/><Relationship Id="rId21" Type="http://schemas.openxmlformats.org/officeDocument/2006/relationships/hyperlink" Target="https://www.sec.gov/Archives/edgar/data/1627282/000110465923035668/tm2230806d13_ex4-2.htm" TargetMode="External"/><Relationship Id="rId22" Type="http://schemas.openxmlformats.org/officeDocument/2006/relationships/hyperlink" Target="https://www.sec.gov/Archives/edgar/data/1627282/000114420419030743/tv515450_ex3-2.htm" TargetMode="External"/><Relationship Id="rId23" Type="http://schemas.openxmlformats.org/officeDocument/2006/relationships/hyperlink" Target="https://www.sec.gov/Archives/edgar/data/1627282/000114420419030743/tv515450_ex3-2.htm" TargetMode="External"/><Relationship Id="rId24" Type="http://schemas.openxmlformats.org/officeDocument/2006/relationships/hyperlink" Target="https://www.sec.gov/Archives/edgar/data/1627282/000110465925034317/tm2512134d1_ex4-1.htm" TargetMode="External"/><Relationship Id="rId25" Type="http://schemas.openxmlformats.org/officeDocument/2006/relationships/hyperlink" Target="https://www.sec.gov/Archives/edgar/data/1627282/000110465925034317/tm2512134d1_ex4-1.htm" TargetMode="External"/><Relationship Id="rId26" Type="http://schemas.openxmlformats.org/officeDocument/2006/relationships/hyperlink" Target="https://www.sec.gov/Archives/edgar/data/1627282/000110465925034317/tm2512134d1_ex4-2.htm" TargetMode="External"/><Relationship Id="rId27" Type="http://schemas.openxmlformats.org/officeDocument/2006/relationships/hyperlink" Target="https://www.sec.gov/Archives/edgar/data/1627282/000110465925034317/tm2512134d1_ex4-2.htm" TargetMode="External"/><Relationship Id="rId28" Type="http://schemas.openxmlformats.org/officeDocument/2006/relationships/hyperlink" Target="https://www.sec.gov/Archives/edgar/data/1627282/000110465925035972/tm2512544d2_ex4-1.htm" TargetMode="External"/><Relationship Id="rId29" Type="http://schemas.openxmlformats.org/officeDocument/2006/relationships/hyperlink" Target="https://www.sec.gov/Archives/edgar/data/1627282/000110465925035972/tm2512544d2_ex4-1.htm" TargetMode="External"/><Relationship Id="rId30" Type="http://schemas.openxmlformats.org/officeDocument/2006/relationships/hyperlink" Target="https://www.sec.gov/Archives/edgar/data/1627282/000110465925035972/tm2512544d2_ex4-2.htm" TargetMode="External"/><Relationship Id="rId31" Type="http://schemas.openxmlformats.org/officeDocument/2006/relationships/hyperlink" Target="https://www.sec.gov/Archives/edgar/data/1627282/000110465925035972/tm2512544d2_ex4-2.htm" TargetMode="External"/><Relationship Id="rId32" Type="http://schemas.openxmlformats.org/officeDocument/2006/relationships/hyperlink" Target="https://www.sec.gov/Archives/edgar/data/1627282/000162728225000087/a7152025_cwdx8-kxexx101.htm" TargetMode="External"/><Relationship Id="rId33" Type="http://schemas.openxmlformats.org/officeDocument/2006/relationships/hyperlink" Target="https://www.sec.gov/Archives/edgar/data/1627282/000162728225000087/a7152025_cwdx8-kxexx101.htm" TargetMode="External"/><Relationship Id="rId34" Type="http://schemas.openxmlformats.org/officeDocument/2006/relationships/hyperlink" Target="https://www.sec.gov/Archives/edgar/data/1627282/000110465925088692/tm2525700d1_ex10-1.htm" TargetMode="External"/><Relationship Id="rId35" Type="http://schemas.openxmlformats.org/officeDocument/2006/relationships/hyperlink" Target="https://www.sec.gov/Archives/edgar/data/1627282/000110465925088692/tm2525700d1_ex10-1.htm" TargetMode="External"/><Relationship Id="rId36" Type="http://schemas.openxmlformats.org/officeDocument/2006/relationships/hyperlink" Target="https://www.sec.gov/Archives/edgar/data/1627282/000110465925090624/tm2526187d1_ex10-1.htm" TargetMode="External"/><Relationship Id="rId37" Type="http://schemas.openxmlformats.org/officeDocument/2006/relationships/hyperlink" Target="https://www.sec.gov/Archives/edgar/data/1627282/000110465925090624/tm2526187d1_ex10-1.htm" TargetMode="External"/><Relationship Id="rId38" Type="http://schemas.openxmlformats.org/officeDocument/2006/relationships/hyperlink" Target="https://www.sec.gov/Archives/edgar/data/1627282/000110465925105047/tm2529978d1_ex10-1.htm" TargetMode="External"/><Relationship Id="rId39" Type="http://schemas.openxmlformats.org/officeDocument/2006/relationships/hyperlink" Target="https://www.sec.gov/Archives/edgar/data/1627282/000110465925105047/tm2529978d1_ex10-1.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39603</Words>
  <Characters>220972</Characters>
  <CharactersWithSpaces>257934</CharactersWithSpaces>
  <Paragraphs>5191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