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w:t>
      </w:r>
      <w:r>
        <w:rPr>
          <w:color w:val="000000"/>
        </w:rPr>
        <w:t xml:space="preserve">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CALIBERCOS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21,279,543 shares of common stock, comprised of 13,863,129 shares of Class A Common Stock and 7,416,414 shares of Class B Common Stock of CaliberCos Inc. as of November 7,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report, the term “Caliber”, “we”, “us”, “our” or “the Company” refers to CaliberCos Inc.</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13"/>
        <w:gridCol w:w="2973"/>
        <w:gridCol w:w="2979"/>
        <w:gridCol w:w="109"/>
        <w:gridCol w:w="109"/>
        <w:gridCol w:w="109"/>
        <w:gridCol w:w="149"/>
        <w:gridCol w:w="149"/>
        <w:gridCol w:w="215"/>
      </w:tblGrid>
      <w:tr>
        <w:trPr/>
        <w:tc>
          <w:tcPr>
            <w:tcW w:w="3413"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6">
              <w:r>
                <w:rPr>
                  <w:rStyle w:val="InternetLink"/>
                  <w:rFonts w:ascii="Times New Roman;sans-serif" w:hAnsi="Times New Roman;sans-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f5e8c07171a347b98d612243002f33dc_16">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9">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9">
              <w:r>
                <w:rPr>
                  <w:rStyle w:val="InternetLink"/>
                  <w:rFonts w:ascii="Times New Roman;sans-serif" w:hAnsi="Times New Roman;sans-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25">
              <w:r>
                <w:rPr>
                  <w:rStyle w:val="InternetLink"/>
                  <w:rFonts w:ascii="Times New Roman;sans-serif" w:hAnsi="Times New Roman;sans-serif"/>
                  <w:b w:val="false"/>
                  <w:color w:val="0000FF"/>
                  <w:sz w:val="20"/>
                  <w:u w:val="single"/>
                </w:rPr>
                <w:t>Condensed Consolidated Balance Sheets as of September 30, 2023 and December 31,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25">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28">
              <w:r>
                <w:rPr>
                  <w:rStyle w:val="InternetLink"/>
                  <w:rFonts w:ascii="Times New Roman;sans-serif" w:hAnsi="Times New Roman;sans-serif"/>
                  <w:b w:val="false"/>
                  <w:color w:val="0000FF"/>
                  <w:sz w:val="20"/>
                  <w:u w:val="single"/>
                </w:rPr>
                <w:t>Condensed Consolidated Statements of Operations for the Three and Nine Months Ended September 30,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28">
              <w:r>
                <w:rPr>
                  <w:rStyle w:val="InternetLink"/>
                  <w:rFonts w:ascii="Times New Roman;sans-serif" w:hAnsi="Times New Roman;sans-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31">
              <w:r>
                <w:rPr>
                  <w:rStyle w:val="InternetLink"/>
                  <w:rFonts w:ascii="Times New Roman;sans-serif" w:hAnsi="Times New Roman;sans-serif"/>
                  <w:b w:val="false"/>
                  <w:color w:val="0000FF"/>
                  <w:sz w:val="20"/>
                  <w:u w:val="single"/>
                </w:rPr>
                <w:t>Condensed Consolidated Statements of Changes in Stockholders’ Equity for the Three and Nine Months Ended September 30, 2023 and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31">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34">
              <w:r>
                <w:rPr>
                  <w:rStyle w:val="InternetLink"/>
                  <w:rFonts w:ascii="Times New Roman;sans-serif" w:hAnsi="Times New Roman;sans-serif"/>
                  <w:b w:val="false"/>
                  <w:color w:val="0000FF"/>
                  <w:sz w:val="20"/>
                  <w:u w:val="single"/>
                </w:rPr>
                <w:t>Condensed Consolidated Statements of Cash Flows for the Nine Months Ended September 30,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34">
              <w:r>
                <w:rPr>
                  <w:rStyle w:val="InternetLink"/>
                  <w:rFonts w:ascii="Times New Roman;sans-serif" w:hAnsi="Times New Roman;sans-serif"/>
                  <w:b w:val="false"/>
                  <w:color w:val="0000FF"/>
                  <w:sz w:val="20"/>
                  <w:u w:val="single"/>
                </w:rPr>
                <w:t>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37">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37">
              <w:r>
                <w:rPr>
                  <w:rStyle w:val="InternetLink"/>
                  <w:rFonts w:ascii="Times New Roman;sans-serif" w:hAnsi="Times New Roman;sans-serif"/>
                  <w:b w:val="false"/>
                  <w:color w:val="0000FF"/>
                  <w:sz w:val="20"/>
                  <w:u w:val="single"/>
                </w:rPr>
                <w:t>11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03">
              <w:r>
                <w:rPr>
                  <w:rStyle w:val="InternetLink"/>
                  <w:rFonts w:ascii="Times New Roman;sans-serif" w:hAnsi="Times New Roman;sans-serif"/>
                  <w:b w:val="false"/>
                  <w:color w:val="0000FF"/>
                  <w:sz w:val="20"/>
                  <w:u w:val="single"/>
                </w:rPr>
                <w:t>44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7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78">
              <w:r>
                <w:rPr>
                  <w:rStyle w:val="InternetLink"/>
                  <w:rFonts w:ascii="Times New Roman;sans-serif" w:hAnsi="Times New Roman;sans-serif"/>
                  <w:b w:val="false"/>
                  <w:color w:val="0000FF"/>
                  <w:sz w:val="20"/>
                  <w:u w:val="single"/>
                </w:rPr>
                <w:t>63</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81">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81">
              <w:r>
                <w:rPr>
                  <w:rStyle w:val="InternetLink"/>
                  <w:rFonts w:ascii="Times New Roman;sans-serif" w:hAnsi="Times New Roman;sans-serif"/>
                  <w:b w:val="false"/>
                  <w:color w:val="0000FF"/>
                  <w:sz w:val="20"/>
                  <w:u w:val="single"/>
                </w:rPr>
                <w:t>64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84">
              <w:r>
                <w:rPr>
                  <w:rStyle w:val="InternetLink"/>
                  <w:rFonts w:ascii="Times New Roman;sans-serif" w:hAnsi="Times New Roman;sans-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84">
              <w:r>
                <w:rPr>
                  <w:rStyle w:val="InternetLink"/>
                  <w:rFonts w:ascii="Times New Roman;sans-serif" w:hAnsi="Times New Roman;sans-serif"/>
                  <w:b w:val="false"/>
                  <w:color w:val="0000FF"/>
                  <w:sz w:val="20"/>
                  <w:u w:val="single"/>
                </w:rPr>
                <w:t>65</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87">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87">
              <w:r>
                <w:rPr>
                  <w:rStyle w:val="InternetLink"/>
                  <w:rFonts w:ascii="Times New Roman;sans-serif" w:hAnsi="Times New Roman;sans-serif"/>
                  <w:b w:val="false"/>
                  <w:color w:val="0000FF"/>
                  <w:sz w:val="20"/>
                  <w:u w:val="single"/>
                </w:rPr>
                <w:t>65</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90">
              <w:r>
                <w:rPr>
                  <w:rStyle w:val="InternetLink"/>
                  <w:rFonts w:ascii="Times New Roman;sans-serif" w:hAnsi="Times New Roman;sans-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90">
              <w:r>
                <w:rPr>
                  <w:rStyle w:val="InternetLink"/>
                  <w:rFonts w:ascii="Times New Roman;sans-serif" w:hAnsi="Times New Roman;sans-serif"/>
                  <w:b w:val="false"/>
                  <w:color w:val="0000FF"/>
                  <w:sz w:val="20"/>
                  <w:u w:val="single"/>
                </w:rPr>
                <w:t>65</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93">
              <w:r>
                <w:rPr>
                  <w:rStyle w:val="InternetLink"/>
                  <w:rFonts w:ascii="Times New Roman;sans-serif" w:hAnsi="Times New Roman;sans-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93">
              <w:r>
                <w:rPr>
                  <w:rStyle w:val="InternetLink"/>
                  <w:rFonts w:ascii="Times New Roman;sans-serif" w:hAnsi="Times New Roman;sans-serif"/>
                  <w:b w:val="false"/>
                  <w:color w:val="0000FF"/>
                  <w:sz w:val="20"/>
                  <w:u w:val="single"/>
                </w:rPr>
                <w:t>65</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96">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96">
              <w:r>
                <w:rPr>
                  <w:rStyle w:val="InternetLink"/>
                  <w:rFonts w:ascii="Times New Roman;sans-serif" w:hAnsi="Times New Roman;sans-serif"/>
                  <w:b w:val="false"/>
                  <w:color w:val="0000FF"/>
                  <w:sz w:val="20"/>
                  <w:u w:val="single"/>
                </w:rPr>
                <w:t>65</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199">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199">
              <w:r>
                <w:rPr>
                  <w:rStyle w:val="InternetLink"/>
                  <w:rFonts w:ascii="Times New Roman;sans-serif" w:hAnsi="Times New Roman;sans-serif"/>
                  <w:b w:val="false"/>
                  <w:color w:val="0000FF"/>
                  <w:sz w:val="20"/>
                  <w:u w:val="single"/>
                </w:rPr>
                <w:t>65</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202">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202">
              <w:r>
                <w:rPr>
                  <w:rStyle w:val="InternetLink"/>
                  <w:rFonts w:ascii="Times New Roman;sans-serif" w:hAnsi="Times New Roman;sans-serif"/>
                  <w:b w:val="false"/>
                  <w:color w:val="0000FF"/>
                  <w:sz w:val="20"/>
                  <w:u w:val="single"/>
                </w:rPr>
                <w:t>65</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205">
              <w:r>
                <w:rPr>
                  <w:rStyle w:val="InternetLink"/>
                  <w:rFonts w:ascii="Times New Roman;sans-serif" w:hAnsi="Times New Roman;sans-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205">
              <w:r>
                <w:rPr>
                  <w:rStyle w:val="InternetLink"/>
                  <w:rFonts w:ascii="Times New Roman;sans-serif" w:hAnsi="Times New Roman;sans-serif"/>
                  <w:b w:val="false"/>
                  <w:color w:val="0000FF"/>
                  <w:sz w:val="20"/>
                  <w:u w:val="single"/>
                </w:rPr>
                <w:t>66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f5e8c07171a347b98d612243002f33dc_208">
              <w:r>
                <w:rPr>
                  <w:rStyle w:val="InternetLink"/>
                  <w:rFonts w:ascii="Times New Roman;sans-serif" w:hAnsi="Times New Roman;sans-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f5e8c07171a347b98d612243002f33dc_208">
              <w:r>
                <w:rPr>
                  <w:rStyle w:val="InternetLink"/>
                  <w:rFonts w:ascii="Times New Roman;sans-serif" w:hAnsi="Times New Roman;sans-serif"/>
                  <w:b w:val="false"/>
                  <w:color w:val="0000FF"/>
                  <w:sz w:val="20"/>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7120" w:type="dxa"/>
        <w:jc w:val="left"/>
        <w:tblInd w:w="0" w:type="dxa"/>
        <w:tblLayout w:type="fixed"/>
        <w:tblCellMar>
          <w:top w:w="28" w:type="dxa"/>
          <w:left w:w="28" w:type="dxa"/>
          <w:bottom w:w="28" w:type="dxa"/>
          <w:right w:w="28" w:type="dxa"/>
        </w:tblCellMar>
      </w:tblPr>
      <w:tblGrid>
        <w:gridCol w:w="1173"/>
        <w:gridCol w:w="1035"/>
        <w:gridCol w:w="1046"/>
        <w:gridCol w:w="326"/>
        <w:gridCol w:w="1276"/>
        <w:gridCol w:w="168"/>
        <w:gridCol w:w="109"/>
        <w:gridCol w:w="109"/>
        <w:gridCol w:w="109"/>
        <w:gridCol w:w="313"/>
        <w:gridCol w:w="1228"/>
        <w:gridCol w:w="228"/>
      </w:tblGrid>
      <w:tr>
        <w:trPr/>
        <w:tc>
          <w:tcPr>
            <w:tcW w:w="117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597"/>
        <w:gridCol w:w="2241"/>
        <w:gridCol w:w="2252"/>
        <w:gridCol w:w="253"/>
        <w:gridCol w:w="994"/>
        <w:gridCol w:w="131"/>
        <w:gridCol w:w="109"/>
        <w:gridCol w:w="109"/>
        <w:gridCol w:w="109"/>
        <w:gridCol w:w="249"/>
        <w:gridCol w:w="976"/>
        <w:gridCol w:w="185"/>
      </w:tblGrid>
      <w:tr>
        <w:trPr/>
        <w:tc>
          <w:tcPr>
            <w:tcW w:w="259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obligation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Series B, $0.001 par value; 12,500,000 shares authorized, no shares issued and outstanding as of September 30, 2023 and 1,651,302 shares issued and outstanding as of December 31, 2022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A, $0.001 par value; 100,000,000 shares authorized, 13,848,800 and 10,790,787 shares issued and outstanding as of September 30, 2023 and December 31, 2022, respectively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B, $0.001 par value; 15,000,000 shares authorized, 7,416,414 shares issued and outstanding as September 30, 2023 and December 31, 2022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277,342 shares repurchased and 3,432,351 forward repurchase shares as of December 31, 2022. As of September 30, 2023, there was no treasury stock or forward repurchase shares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324,730 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10205" w:type="dxa"/>
        <w:jc w:val="left"/>
        <w:tblInd w:w="0" w:type="dxa"/>
        <w:tblLayout w:type="fixed"/>
        <w:tblCellMar>
          <w:top w:w="28" w:type="dxa"/>
          <w:left w:w="28" w:type="dxa"/>
          <w:bottom w:w="28" w:type="dxa"/>
          <w:right w:w="28" w:type="dxa"/>
        </w:tblCellMar>
      </w:tblPr>
      <w:tblGrid>
        <w:gridCol w:w="1608"/>
        <w:gridCol w:w="1336"/>
        <w:gridCol w:w="1349"/>
        <w:gridCol w:w="260"/>
        <w:gridCol w:w="832"/>
        <w:gridCol w:w="134"/>
        <w:gridCol w:w="134"/>
        <w:gridCol w:w="134"/>
        <w:gridCol w:w="134"/>
        <w:gridCol w:w="260"/>
        <w:gridCol w:w="761"/>
        <w:gridCol w:w="134"/>
        <w:gridCol w:w="109"/>
        <w:gridCol w:w="109"/>
        <w:gridCol w:w="109"/>
        <w:gridCol w:w="245"/>
        <w:gridCol w:w="903"/>
        <w:gridCol w:w="126"/>
        <w:gridCol w:w="126"/>
        <w:gridCol w:w="126"/>
        <w:gridCol w:w="126"/>
        <w:gridCol w:w="245"/>
        <w:gridCol w:w="716"/>
        <w:gridCol w:w="189"/>
      </w:tblGrid>
      <w:tr>
        <w:trPr/>
        <w:tc>
          <w:tcPr>
            <w:tcW w:w="160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before income taxes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stockholders</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stockholders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2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19,878</w:t>
            </w:r>
          </w:p>
        </w:tc>
      </w:tr>
    </w:tbl>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2684" w:type="dxa"/>
        <w:jc w:val="left"/>
        <w:tblInd w:w="0" w:type="dxa"/>
        <w:tblLayout w:type="fixed"/>
        <w:tblCellMar>
          <w:top w:w="28" w:type="dxa"/>
          <w:left w:w="28" w:type="dxa"/>
          <w:bottom w:w="28" w:type="dxa"/>
          <w:right w:w="28" w:type="dxa"/>
        </w:tblCellMar>
      </w:tblPr>
      <w:tblGrid>
        <w:gridCol w:w="516"/>
        <w:gridCol w:w="282"/>
        <w:gridCol w:w="283"/>
        <w:gridCol w:w="240"/>
        <w:gridCol w:w="241"/>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2022</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2023</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issuance costs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Conversions of preferred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 of buyback obligation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2023</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74,672 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issuance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6,870 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September 30, 2023</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70,481 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74,756 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2669" w:type="dxa"/>
        <w:jc w:val="left"/>
        <w:tblInd w:w="0" w:type="dxa"/>
        <w:tblLayout w:type="fixed"/>
        <w:tblCellMar>
          <w:top w:w="28" w:type="dxa"/>
          <w:left w:w="28" w:type="dxa"/>
          <w:bottom w:w="28" w:type="dxa"/>
          <w:right w:w="28" w:type="dxa"/>
        </w:tblCellMar>
      </w:tblPr>
      <w:tblGrid>
        <w:gridCol w:w="516"/>
        <w:gridCol w:w="282"/>
        <w:gridCol w:w="283"/>
        <w:gridCol w:w="233"/>
        <w:gridCol w:w="233"/>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72,013 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September 30, 2022</w:t>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11,028 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78,433 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77,604 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71"/>
        <w:gridCol w:w="2183"/>
        <w:gridCol w:w="2198"/>
        <w:gridCol w:w="109"/>
        <w:gridCol w:w="109"/>
        <w:gridCol w:w="109"/>
        <w:gridCol w:w="245"/>
        <w:gridCol w:w="912"/>
        <w:gridCol w:w="126"/>
        <w:gridCol w:w="126"/>
        <w:gridCol w:w="126"/>
        <w:gridCol w:w="126"/>
        <w:gridCol w:w="245"/>
        <w:gridCol w:w="837"/>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 and gain on lease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disposition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from operating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disposition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advanced key money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 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843" w:type="dxa"/>
        <w:jc w:val="left"/>
        <w:tblInd w:w="0" w:type="dxa"/>
        <w:tblLayout w:type="fixed"/>
        <w:tblCellMar>
          <w:top w:w="28" w:type="dxa"/>
          <w:left w:w="28" w:type="dxa"/>
          <w:bottom w:w="28" w:type="dxa"/>
          <w:right w:w="28" w:type="dxa"/>
        </w:tblCellMar>
      </w:tblPr>
      <w:tblGrid>
        <w:gridCol w:w="1985"/>
        <w:gridCol w:w="1740"/>
        <w:gridCol w:w="1750"/>
        <w:gridCol w:w="109"/>
        <w:gridCol w:w="109"/>
        <w:gridCol w:w="109"/>
        <w:gridCol w:w="261"/>
        <w:gridCol w:w="894"/>
        <w:gridCol w:w="135"/>
        <w:gridCol w:w="135"/>
        <w:gridCol w:w="135"/>
        <w:gridCol w:w="135"/>
        <w:gridCol w:w="261"/>
        <w:gridCol w:w="894"/>
        <w:gridCol w:w="191"/>
      </w:tblGrid>
      <w:tr>
        <w:trPr/>
        <w:tc>
          <w:tcPr>
            <w:tcW w:w="198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treasury stock - buyback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CaliberCos Inc., a Delaware corporation, and its consolidated subsidiaries (collectively, the “Company”, “Caliber”, “we”, “our”, and “us”), is an alternative asset manager of private syndication and direct</w:t>
      </w:r>
      <w:r>
        <w:rPr>
          <w:color w:val="000000"/>
          <w:shd w:fill="FFFFFF" w:val="clear"/>
        </w:rPr>
        <w:t xml:space="preserve"> </w:t>
      </w:r>
      <w:r>
        <w:rPr>
          <w:rFonts w:ascii="Times New Roman;sans-serif" w:hAnsi="Times New Roman;sans-serif"/>
          <w:b w:val="false"/>
          <w:color w:val="000000"/>
          <w:sz w:val="20"/>
          <w:shd w:fill="FFFFFF" w:val="clear"/>
        </w:rPr>
        <w:t>investment real estate funds and provider of a full suite of traditional real estate services. The Company was formed in November 2014, and originally began as Caliber Companies, LLC, an Arizona limited liability company, which commenced operations in January 2009. We also provide various support services to the investments we manage including fund formation services, lending support, construction and development management, and real estate brokerage. Our business is organized into three reportable segments: Fund Management, Development, and Brokerage. As of September 30, 2023, we had operations in Alaska, Arizona, Colorado, and Texas.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condensed consolidated financial statements. For funds in which we are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more detail.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guarantees of loans held by its consolidated funds, has five separate loans outstanding with maturity dates within the 12-month period subsequent to when these financial statements were issued with outside lenders totaling $28.8 million at September 30, 2023. Management is actively managing the potential amendments to the applicable loan agreements to include additional extension options, pay off or refinancing of these facilities. Management believes that we will be able to enter into new financing arrangements with third-party lenders. The Company has an aggregate of $38.1 million of individual corporate notes outstanding with maturity dates within the 12-month period subsequent to when these financial statements were issued. The loans generally have a 12-month term and may be extended upon the mutual agreement of the lender and the borrower. Management believes it can come to a mutual agreement with each lender to extend the maturities of the notes for an additional 12-month term. See Note 6 – Notes Payable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on the accrual basis of accounting in accordance with generally accepted accounting principles in the United States of America (“U.S. GAAP”). The accompanying condensed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entity is a variable interest entities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Voting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Interim Unaudited Financial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Company’s board of directors approved an amendment to its certificate of incorporation to effect a 1-for-1.6820384 reverse stock split of Class A common stock, Class B common stock and Series B preferred stock. The reverse stock split was effected on January 17, 2023. Certain prior period amounts have been updated to reflect the reverse stock split including share and per share amounts and additional paid-in-capital amounts on the condensed consolidated statement of equity for each of the three months ended March 31, 2022, June 30, 2022, and September 30,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held in escrow accounts by contractual agreement with lenders as part of financial loan covenant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carrying amount of our investments in unconsolidated entities was $3.3 million and $3.2 million, respectively. 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nine months ended September 30, 2023 and 2022, the Company had no impairment losses related to its investments in unconsolidated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Office leasehold improvements are amortized using the straight-line method over the shorter of the respective estimated useful life or the lease term.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Company had no impairment losses related to its real estate and other long-lived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Substantially all of the Company’s revenues are generated from the management, ownership and/or operations of real estate assets located in </w:t>
      </w:r>
      <w:r>
        <w:rPr>
          <w:rFonts w:ascii="Times New Roman;sans-serif" w:hAnsi="Times New Roman;sans-serif"/>
          <w:b w:val="false"/>
          <w:color w:val="000000"/>
          <w:sz w:val="20"/>
          <w:shd w:fill="FFFFFF" w:val="clear"/>
        </w:rPr>
        <w:t>Alaska, Arizona, Colorado, and Texas. Th</w:t>
      </w:r>
      <w:r>
        <w:rPr>
          <w:rFonts w:ascii="Times New Roman;sans-serif" w:hAnsi="Times New Roman;sans-serif"/>
          <w:b w:val="false"/>
          <w:color w:val="000000"/>
          <w:sz w:val="20"/>
        </w:rPr>
        <w:t>e Company mitigates the associated risk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Noncontrolling Interests in Consolidated Real Estate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the unaffiliated partners’ interests in the net assets of our consolidated real estate partnerships as noncontrolling interests within the accompanying condensed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management fees generated from the funds are generally based on 1.0% to 1.5% of the unreturned capital contributions in a particular fund and include reimbursement for costs incurred on behalf of the fund, including an allocation of certain overhead costs. The Company earns an asset management fee of 0.70% of the Caliber Hospitality Trust’s (as defined in Note 3 – VIEs) enterprise value and is reimbursed for certain costs incurred on behalf of the Caliber Hospitality Trust. These customer contracts require the Company to provide management services, representing a performance obligation that the Company satisfies over time.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In the event that the collectability of a receivable is uncertain, the Company will record an increase in the allowance for doubtful accounts. Amounts that are determined to be uncollectible with a high degree of certainty are written-off through bad debt expense, which is included in operating costs on the accompanying condensed consolidated statements of operations. The Company did not record an allowance for doubtful accounts as of September 30,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transactions with related parties. Related parties include affiliates of the entity, entities under common control of the Company, significant stockholders and executive management and members of their immediate families, and other parties that can significantly influence the management and operating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Lessor</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September 30,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assessment for ROU assets is consistent with the impairment analysis for the Company's other long-lived assets and is reviewed quarterly.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Consolidated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Real Estate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Capitalization and Depreciation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all tangible real estate assets is calculated using the straight-line method over the estimated useful lives of the assets. The estimated useful lives of our real estate assets are as follows:</w:t>
      </w:r>
    </w:p>
    <w:p>
      <w:pPr>
        <w:pStyle w:val="TextBody"/>
        <w:bidi w:val="0"/>
        <w:spacing w:before="0" w:after="0"/>
        <w:jc w:val="both"/>
        <w:rPr/>
      </w:pPr>
      <w:r>
        <w:rPr/>
      </w:r>
    </w:p>
    <w:tbl>
      <w:tblPr>
        <w:tblW w:w="4379" w:type="dxa"/>
        <w:jc w:val="left"/>
        <w:tblInd w:w="0" w:type="dxa"/>
        <w:tblLayout w:type="fixed"/>
        <w:tblCellMar>
          <w:top w:w="28" w:type="dxa"/>
          <w:left w:w="28" w:type="dxa"/>
          <w:bottom w:w="28" w:type="dxa"/>
          <w:right w:w="28" w:type="dxa"/>
        </w:tblCellMar>
      </w:tblPr>
      <w:tblGrid>
        <w:gridCol w:w="1140"/>
        <w:gridCol w:w="1002"/>
        <w:gridCol w:w="1007"/>
        <w:gridCol w:w="360"/>
        <w:gridCol w:w="360"/>
        <w:gridCol w:w="510"/>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40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depreciation expense was $2.8 million and $7.9 million, respectively. For the three and nine months ended September 30, 2022, depreciation expense was $2.2 million and $6.8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our consolidated funds did not record an impairment loss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includes rental revenue of $1.2 million and $3.5 million, for the three and nine months ended September 30, 2023, respectively, and $0.8 million and $2.8 million for the three and nine months ended September 30,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Upon adoption of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September 30,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ASC 842, rental revenue consisted of the amount each tenant paid in accordance with the terms of each lease and were reported on a straight-line basis over the initial noncancelable term of the lease, net of any concessions, and recognized when earned and collectability was reasonably assured. These revenues were recorded net of any sales and occupancy taxes collected from tenants. Rental revenue is not within the scope of ASC 606 and was accounted for in accordance with ASC 840 — Leases.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consolidated funds - other revenue includes interest income of $0.9 million and $2.7 million, for three and nine months ended September 30, 2023, respectively, and $0.8 million and $2.1 million for the three and nine months ended September 30, 2022, respectively, which is generated by a consolidated fund’s lending activity. Interest income is recognized on the accrual basis of accounting in accordance with the lending agreements over the term of the respective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In the event that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condensed consolidated statements of operations. Our consolidated funds had an no amount of allowance for doubtful accounts as of September 30,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funds record all derivative instruments on the condensed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condensed consolidated statements of operations. If the derivative is designated and qualifies for hedge accounting treatment, the change in fair value of the derivative is recorded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and disclosures consist of a three 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Inputs are quoted prices in active markets for identical assets or liabilities that can be accessed at the measurement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August 2020, the Financial Accounting Standards Board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amendments in ASU 2020-06 are effective for the Company for reporting periods beginning after December 15, 2023, including interim periods within those fiscal years, with early adoption permitted beginning after December 15, 2020. We are currently evaluating the impact of ASU 2020-06, but do not believe the adoption of this standard will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deconsolidated five hospitality funds which were contributed to the Caliber Hospitality, LP, whose sole general partner is Caliber Hospitality Trust, Inc. (the “Caliber Hospitality Trust”). During the nine months ended September 30, 2022, the Company deconsolidated two VIEs, one that sold its investment in a multi-family residential property, repaid the loan secured by the property and therefore the Company was no longer determined to be the primary beneficiary and one that was developing multi-family property and the Company was no longer determined to be the primary beneficiary upon refinancing the loan agreement. We aggregate and report the results of operations of these VIEs in consolidated fund revenues and consolidated fund expenses within the accompanying condensed consolidated statements of operations through the date of deconsolidation.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consolidated Caliber Hospitality, LP and the Caliber Hospitality Trust, which include activity from five previously consolidated hospitality funds and one previously unconsolidated fund during the nine months ended September 30, 2023 because the Company was determined to be the primary beneficiary as it has the power to direct the activities and the obligation to absorb their losses through its guarantee of the indebtedness secured by the hospitality assets, which is significant to Caliber Hospitality Trust and Caliber Hospitality, LP. In addition, the Company consolidated West Frontier Holdco, LLC (“West Frontier”) as the Company was determined to be the primary beneficiary as we have the power to direct the activities of West Frontier and the obligation to absorb their losses through its guarantee of their indebtedness which is significant to the fund. The consolidation of the Caliber Hospitality Trust and West Frontier consisted of the following, excluding intercompany eliminations at the time of consolidation (in thousands):</w:t>
      </w:r>
    </w:p>
    <w:p>
      <w:pPr>
        <w:pStyle w:val="TextBody"/>
        <w:bidi w:val="0"/>
        <w:spacing w:before="0" w:after="0"/>
        <w:jc w:val="both"/>
        <w:rPr/>
      </w:pPr>
      <w:r>
        <w:rPr/>
      </w:r>
    </w:p>
    <w:tbl>
      <w:tblPr>
        <w:tblW w:w="4715" w:type="dxa"/>
        <w:jc w:val="left"/>
        <w:tblInd w:w="0" w:type="dxa"/>
        <w:tblLayout w:type="fixed"/>
        <w:tblCellMar>
          <w:top w:w="28" w:type="dxa"/>
          <w:left w:w="28" w:type="dxa"/>
          <w:bottom w:w="28" w:type="dxa"/>
          <w:right w:w="28" w:type="dxa"/>
        </w:tblCellMar>
      </w:tblPr>
      <w:tblGrid>
        <w:gridCol w:w="1273"/>
        <w:gridCol w:w="1121"/>
        <w:gridCol w:w="1130"/>
        <w:gridCol w:w="211"/>
        <w:gridCol w:w="82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the Company consolidated Northsight Crossing AZ, LLC (“Northsight”) and Southpointe Fundco, LLC (“Southpointe”) because the Company was determined to be the primary beneficiary as we have the power to direct the activities of Northsight and Southpointe and the obligation to absorb their losses through its guarantee of their indebtedness which is significant to the fund. The consolidation of Northsight and Southpointe consisted of the following (in thousands) at the time of consolidation:</w:t>
      </w:r>
    </w:p>
    <w:p>
      <w:pPr>
        <w:pStyle w:val="TextBody"/>
        <w:bidi w:val="0"/>
        <w:spacing w:before="0" w:after="0"/>
        <w:jc w:val="both"/>
        <w:rPr/>
      </w:pPr>
      <w:r>
        <w:rPr/>
      </w:r>
    </w:p>
    <w:tbl>
      <w:tblPr>
        <w:tblW w:w="4611" w:type="dxa"/>
        <w:jc w:val="left"/>
        <w:tblInd w:w="0" w:type="dxa"/>
        <w:tblLayout w:type="fixed"/>
        <w:tblCellMar>
          <w:top w:w="28" w:type="dxa"/>
          <w:left w:w="28" w:type="dxa"/>
          <w:bottom w:w="28" w:type="dxa"/>
          <w:right w:w="28" w:type="dxa"/>
        </w:tblCellMar>
      </w:tblPr>
      <w:tblGrid>
        <w:gridCol w:w="1273"/>
        <w:gridCol w:w="1122"/>
        <w:gridCol w:w="1130"/>
        <w:gridCol w:w="211"/>
        <w:gridCol w:w="721"/>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condensed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Commitments and Contingencies for additional information related to the commitments and contingencies of these VIEs.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Real Estate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acquired its headquarters office building for an aggregate purchase price of $19.5 million with the acquisition being accounted for as an asset acquisition under U.S. GAAP. There were no asset acquisitions by the Company during the nine months ended September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purchase price among the assets acquired at their relative fair value as of the acquisition date, consisted of the following for the nine months ended September 30, 2023 (in thousands):</w:t>
      </w:r>
    </w:p>
    <w:p>
      <w:pPr>
        <w:pStyle w:val="TextBody"/>
        <w:bidi w:val="0"/>
        <w:spacing w:before="0" w:after="0"/>
        <w:jc w:val="both"/>
        <w:rPr/>
      </w:pPr>
      <w:r>
        <w:rPr/>
      </w:r>
    </w:p>
    <w:tbl>
      <w:tblPr>
        <w:tblW w:w="6967" w:type="dxa"/>
        <w:jc w:val="left"/>
        <w:tblInd w:w="0" w:type="dxa"/>
        <w:tblLayout w:type="fixed"/>
        <w:tblCellMar>
          <w:top w:w="28" w:type="dxa"/>
          <w:left w:w="28" w:type="dxa"/>
          <w:bottom w:w="28" w:type="dxa"/>
          <w:right w:w="28" w:type="dxa"/>
        </w:tblCellMar>
      </w:tblPr>
      <w:tblGrid>
        <w:gridCol w:w="1173"/>
        <w:gridCol w:w="1031"/>
        <w:gridCol w:w="1036"/>
        <w:gridCol w:w="702"/>
        <w:gridCol w:w="2400"/>
        <w:gridCol w:w="362"/>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3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3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assets</w:t>
            </w:r>
          </w:p>
        </w:tc>
        <w:tc>
          <w:tcPr>
            <w:tcW w:w="3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liabilities</w:t>
            </w:r>
          </w:p>
        </w:tc>
        <w:tc>
          <w:tcPr>
            <w:tcW w:w="3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consolidated funds acquired one multi-family residential property for an aggregate purchase price of $6.6 million with the acquisition being accounted for as an asset acquisition under U.S. GAAP. There were no asset acquisitions by the consolidated funds during the nine months ended September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nine months ended September 30, 2023 (in thousands):</w:t>
      </w:r>
    </w:p>
    <w:p>
      <w:pPr>
        <w:pStyle w:val="TextBody"/>
        <w:bidi w:val="0"/>
        <w:spacing w:before="0" w:after="0"/>
        <w:jc w:val="both"/>
        <w:rPr/>
      </w:pPr>
      <w:r>
        <w:rPr/>
      </w:r>
    </w:p>
    <w:tbl>
      <w:tblPr>
        <w:tblW w:w="6967" w:type="dxa"/>
        <w:jc w:val="left"/>
        <w:tblInd w:w="0" w:type="dxa"/>
        <w:tblLayout w:type="fixed"/>
        <w:tblCellMar>
          <w:top w:w="28" w:type="dxa"/>
          <w:left w:w="28" w:type="dxa"/>
          <w:bottom w:w="28" w:type="dxa"/>
          <w:right w:w="28" w:type="dxa"/>
        </w:tblCellMar>
      </w:tblPr>
      <w:tblGrid>
        <w:gridCol w:w="1173"/>
        <w:gridCol w:w="1031"/>
        <w:gridCol w:w="1036"/>
        <w:gridCol w:w="778"/>
        <w:gridCol w:w="2280"/>
        <w:gridCol w:w="406"/>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3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Dispositions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consolidated funds did not sell any properties. During the nine months ended September 30, 2022, the consolidated funds sold its investment in one multi-family apartment building located in Phoenix, Arizona, with a cost basis of $9.1 million, resulting in a gain of $21.5 million, which is included in consolidated funds - gain on sale of real estate assets on the accompanying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Prepaid and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consisted of the following as of September 30, 2023 and December 31, 2022 (in thousands):</w:t>
      </w:r>
    </w:p>
    <w:p>
      <w:pPr>
        <w:pStyle w:val="TextBody"/>
        <w:bidi w:val="0"/>
        <w:spacing w:before="0" w:after="0"/>
        <w:jc w:val="both"/>
        <w:rPr/>
      </w:pPr>
      <w:r>
        <w:rPr/>
      </w:r>
    </w:p>
    <w:tbl>
      <w:tblPr>
        <w:tblW w:w="6399" w:type="dxa"/>
        <w:jc w:val="left"/>
        <w:tblInd w:w="0" w:type="dxa"/>
        <w:tblLayout w:type="fixed"/>
        <w:tblCellMar>
          <w:top w:w="28" w:type="dxa"/>
          <w:left w:w="28" w:type="dxa"/>
          <w:bottom w:w="28" w:type="dxa"/>
          <w:right w:w="28" w:type="dxa"/>
        </w:tblCellMar>
      </w:tblPr>
      <w:tblGrid>
        <w:gridCol w:w="917"/>
        <w:gridCol w:w="806"/>
        <w:gridCol w:w="811"/>
        <w:gridCol w:w="397"/>
        <w:gridCol w:w="1165"/>
        <w:gridCol w:w="207"/>
        <w:gridCol w:w="109"/>
        <w:gridCol w:w="109"/>
        <w:gridCol w:w="109"/>
        <w:gridCol w:w="380"/>
        <w:gridCol w:w="1110"/>
        <w:gridCol w:w="27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Pursuit costs </w:t>
            </w:r>
            <w:r>
              <w:rPr>
                <w:rFonts w:ascii="Times New Roman;sans-serif" w:hAnsi="Times New Roman;sans-serif"/>
                <w:b w:val="false"/>
                <w:color w:val="000000"/>
                <w:sz w:val="13"/>
              </w:rPr>
              <w:t>(1)</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
        <w:gridCol w:w="141"/>
        <w:gridCol w:w="109"/>
        <w:gridCol w:w="789"/>
        <w:gridCol w:w="789"/>
        <w:gridCol w:w="789"/>
        <w:gridCol w:w="789"/>
        <w:gridCol w:w="789"/>
        <w:gridCol w:w="789"/>
        <w:gridCol w:w="789"/>
        <w:gridCol w:w="789"/>
        <w:gridCol w:w="789"/>
        <w:gridCol w:w="789"/>
        <w:gridCol w:w="789"/>
        <w:gridCol w:w="1116"/>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of the consolidated funds consisted of the following as of September 30, 2023 and December 31, 2022 (in thousands):</w:t>
      </w:r>
    </w:p>
    <w:p>
      <w:pPr>
        <w:pStyle w:val="TextBody"/>
        <w:bidi w:val="0"/>
        <w:spacing w:before="0" w:after="0"/>
        <w:jc w:val="both"/>
        <w:rPr/>
      </w:pPr>
      <w:r>
        <w:rPr/>
      </w:r>
    </w:p>
    <w:tbl>
      <w:tblPr>
        <w:tblW w:w="6400" w:type="dxa"/>
        <w:jc w:val="left"/>
        <w:tblInd w:w="0" w:type="dxa"/>
        <w:tblLayout w:type="fixed"/>
        <w:tblCellMar>
          <w:top w:w="28" w:type="dxa"/>
          <w:left w:w="28" w:type="dxa"/>
          <w:bottom w:w="28" w:type="dxa"/>
          <w:right w:w="28" w:type="dxa"/>
        </w:tblCellMar>
      </w:tblPr>
      <w:tblGrid>
        <w:gridCol w:w="918"/>
        <w:gridCol w:w="807"/>
        <w:gridCol w:w="810"/>
        <w:gridCol w:w="358"/>
        <w:gridCol w:w="1226"/>
        <w:gridCol w:w="185"/>
        <w:gridCol w:w="109"/>
        <w:gridCol w:w="109"/>
        <w:gridCol w:w="109"/>
        <w:gridCol w:w="380"/>
        <w:gridCol w:w="1110"/>
        <w:gridCol w:w="279"/>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Pursuit costs</w:t>
            </w:r>
            <w:r>
              <w:rPr>
                <w:color w:val="000000"/>
              </w:rPr>
              <w:t xml:space="preserve"> </w:t>
            </w:r>
            <w:r>
              <w:rPr>
                <w:rFonts w:ascii="Times New Roman;sans-serif" w:hAnsi="Times New Roman;sans-serif"/>
                <w:b w:val="false"/>
                <w:color w:val="000000"/>
                <w:sz w:val="13"/>
              </w:rPr>
              <w:t>(1)</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fees, net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Other assets as of September 30, 2023, primarily represents incremental costs, including professional, legal, consulting, accounting and tax services, directly attributable to Caliber Hospitality Trust that are deferred and will be charged against the gross proceeds of the offering.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multiple private equity real estate funds and the Company generates the following Fund Management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Asset Management Fees – We receive an annual asset management fee generally equal to 1.0% to 1.5% of the unreturned capital contributions in a particular fund to compensate us for the overall administration of that fund. The Company earns an asset management fee of 0.70% of the Caliber Hospitality Trust’s enterprise value and is reimbursed for certain costs incurred on behalf of the Caliber Hospitality Trust. We are also entitled to receive reimbursement for certain expenses incurred or paid on behalf of the fund, which may include an allocation of certain administrative and overhead costs. During the three and nine months ended September 30, 2023, the Company earned $1.3 million and $3.8 million, respectively, and during the three and nine months ended September 30, 2022, the Company earned $0.9 million and $3.0 million, respectively, of asset management fees from related parties, which are included in asset management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Performance allocations – We are entitled to an allocation of the income otherwise allocable to the limited partners/members of the funds we manage, commonly referred to as carried interest. Generally we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typically range from 6.0% for common equity to 10.0% to 12.0% for preferred equity, which does not participate in profits. There was an $0.1 million and $2.5 million of performance allocations during the three and nine months ended September 30, 2023, respectively, and $0.1 million and $2.5 million of performance allocations during the three and nine months ended September 30, 2022, respectively, earned by the Company from related parties, which are included in performance allocations on the accompanying condensed consolidated statements of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Transaction and Advisory Fees – We receive fees for services primarily relating to the set-up of certain funds, marketing, offering, registering, and selling of equity and debt instruments of the affiliates, loan placement and guarantee fees. During the three and nine months ended September 30, 2023, the Company earned an $0.4 million and $0.5 million, respectively, of transaction and advisory fees from related parties, which are included in transaction and advisory fees on the accompanying condensed consolidated statements of operations. During the three and nine months ended September 30, 2022, the Company earned $4.9 million and $5.9 million, respectively, of transaction and advisory fees from related parties, which are included in transaction and advisory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amounts due to the Company from related parties for fund management services was $4.8 million and $6.8 million, respectively, which are included in due from related parties on the accompanying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development related management services to affiliates and third parties, which include ground-up development and repositioning of real estate assets, the build-out of tenant space, the renovation of hospitality, residential, and commercial real estate, and general real estate repair and maintenance services.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and nine months ended September 30, 2023, the Company recognized $0.5 million and $1.5 million, respectively, and during the three and nine months ended September 30, 2022, the Company recognized $0.8 million and $1.8 million, respectively, of development revenue from related parties, which are included in transaction and advisory fees on the accompanying condensed consolidated statements of operati</w:t>
      </w:r>
      <w:r>
        <w:rPr>
          <w:rFonts w:ascii="Times New Roman;sans-serif" w:hAnsi="Times New Roman;sans-serif"/>
          <w:b w:val="false"/>
          <w:color w:val="000000"/>
          <w:sz w:val="20"/>
          <w:shd w:fill="FFFFFF" w:val="clear"/>
        </w:rPr>
        <w:t>ons. As of September 30, 2023 and December 31, 2022, amounts due to the Company from related parties for development serv</w:t>
      </w:r>
      <w:r>
        <w:rPr>
          <w:rFonts w:ascii="Times New Roman;sans-serif" w:hAnsi="Times New Roman;sans-serif"/>
          <w:b w:val="false"/>
          <w:color w:val="000000"/>
          <w:sz w:val="20"/>
        </w:rPr>
        <w:t>ices were $1.1 million and $1.0 million, respectively, which are included in due from related parties on the accompanying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 provides real estate brokerage services related to the purchase and sale of residential and commercial properties owned by the funds which we manage. During the three and nine months ended September 30, 2023, the Company recognized $0.2 million and $0.5 million, respectively and during the three and nine months ended September 30, 2022, the Company recognized $0.2 million and $0.6 million, respectively, of brokerage commission revenue from related parties, which are included in transaction and advisory fees on the accompanying condensed consolidated statements of operations. There w</w:t>
      </w:r>
      <w:r>
        <w:rPr>
          <w:rFonts w:ascii="Times New Roman;sans-serif" w:hAnsi="Times New Roman;sans-serif"/>
          <w:b w:val="false"/>
          <w:color w:val="000000"/>
          <w:sz w:val="20"/>
          <w:shd w:fill="FFFFFF" w:val="clear"/>
        </w:rPr>
        <w:t xml:space="preserve">ere </w:t>
      </w:r>
      <w:r>
        <w:rPr>
          <w:rFonts w:ascii="Times New Roman;sans-serif" w:hAnsi="Times New Roman;sans-serif"/>
          <w:b w:val="false"/>
          <w:color w:val="000000"/>
          <w:sz w:val="20"/>
        </w:rPr>
        <w:t>no brokerage commissions due from related parties as of September 30,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payable – related parties as of September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4"/>
        <w:gridCol w:w="941"/>
        <w:gridCol w:w="947"/>
        <w:gridCol w:w="109"/>
        <w:gridCol w:w="109"/>
        <w:gridCol w:w="109"/>
        <w:gridCol w:w="503"/>
        <w:gridCol w:w="864"/>
        <w:gridCol w:w="262"/>
        <w:gridCol w:w="109"/>
        <w:gridCol w:w="109"/>
        <w:gridCol w:w="109"/>
        <w:gridCol w:w="460"/>
        <w:gridCol w:w="886"/>
        <w:gridCol w:w="238"/>
        <w:gridCol w:w="109"/>
        <w:gridCol w:w="109"/>
        <w:gridCol w:w="109"/>
        <w:gridCol w:w="424"/>
        <w:gridCol w:w="424"/>
        <w:gridCol w:w="426"/>
        <w:gridCol w:w="109"/>
        <w:gridCol w:w="109"/>
        <w:gridCol w:w="109"/>
        <w:gridCol w:w="421"/>
        <w:gridCol w:w="421"/>
        <w:gridCol w:w="606"/>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Olathe Behavioral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Behavioral 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2025</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three and nine months ended September 30, 2023, the Company earned an immaterial amount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w:t>
      </w:r>
      <w:r>
        <w:rPr>
          <w:rFonts w:ascii="Times New Roman;sans-serif" w:hAnsi="Times New Roman;sans-serif"/>
          <w:b w:val="false"/>
          <w:color w:val="000000"/>
          <w:sz w:val="20"/>
          <w:shd w:fill="FFFFFF" w:val="clear"/>
        </w:rPr>
        <w:t>Ther</w:t>
      </w:r>
      <w:r>
        <w:rPr>
          <w:rFonts w:ascii="Times New Roman;sans-serif" w:hAnsi="Times New Roman;sans-serif"/>
          <w:b w:val="false"/>
          <w:color w:val="000000"/>
          <w:sz w:val="20"/>
        </w:rPr>
        <w:t>e was an immaterial amount of interest due to the Company as of September 30,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unsecured promissory notes with related parties. The notes may be repaid in whole, or in part, without penalty.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payable – related parties as of September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5"/>
        <w:gridCol w:w="1047"/>
        <w:gridCol w:w="1054"/>
        <w:gridCol w:w="109"/>
        <w:gridCol w:w="109"/>
        <w:gridCol w:w="109"/>
        <w:gridCol w:w="440"/>
        <w:gridCol w:w="848"/>
        <w:gridCol w:w="229"/>
        <w:gridCol w:w="109"/>
        <w:gridCol w:w="109"/>
        <w:gridCol w:w="109"/>
        <w:gridCol w:w="393"/>
        <w:gridCol w:w="871"/>
        <w:gridCol w:w="206"/>
        <w:gridCol w:w="109"/>
        <w:gridCol w:w="109"/>
        <w:gridCol w:w="109"/>
        <w:gridCol w:w="393"/>
        <w:gridCol w:w="393"/>
        <w:gridCol w:w="395"/>
        <w:gridCol w:w="109"/>
        <w:gridCol w:w="109"/>
        <w:gridCol w:w="109"/>
        <w:gridCol w:w="394"/>
        <w:gridCol w:w="394"/>
        <w:gridCol w:w="565"/>
      </w:tblGrid>
      <w:tr>
        <w:trPr/>
        <w:tc>
          <w:tcPr>
            <w:tcW w:w="127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3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Residential Advantage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Caliber Tax Advantaged Opportunity Fund II, LLC</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The Company entered into a $4.0 million unsecured promissory note with a related party and subsequently repaid the note during the nine months ended September 30,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each of the three and nine months ended September 30, 2023, the Company incurred an immaterial amount of interest expense in connection with the notes payable – related parties and during each of the three and nine months ended September 30, 2022, the Company incurred an immaterial of interest expense in connection with the notes payable – related parties, which is included in interest expense on the accompanying condensed consolidated statements of operations. There was an no </w:t>
      </w:r>
      <w:r>
        <w:rPr>
          <w:rFonts w:ascii="Times New Roman;sans-serif" w:hAnsi="Times New Roman;sans-serif"/>
          <w:b w:val="false"/>
          <w:color w:val="000000"/>
          <w:sz w:val="20"/>
          <w:shd w:fill="FFFFFF" w:val="clear"/>
        </w:rPr>
        <w:t>inte</w:t>
      </w:r>
      <w:r>
        <w:rPr>
          <w:rFonts w:ascii="Times New Roman;sans-serif" w:hAnsi="Times New Roman;sans-serif"/>
          <w:b w:val="false"/>
          <w:color w:val="000000"/>
          <w:sz w:val="20"/>
        </w:rPr>
        <w:t>rest payable due to related parties as of September 30, 2023 and December 31,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w:t>
      </w:r>
      <w:r>
        <w:rPr>
          <w:rFonts w:ascii="Times New Roman;sans-serif" w:hAnsi="Times New Roman;sans-serif"/>
          <w:b w:val="false"/>
          <w:color w:val="000000"/>
          <w:sz w:val="20"/>
          <w:shd w:fill="FFFFFF" w:val="clear"/>
        </w:rPr>
        <w:t>ed, interest-free, and due on demand. As of September 30, 2023 and December 31, 2022, other amounts due from related parties wer</w:t>
      </w:r>
      <w:r>
        <w:rPr>
          <w:rFonts w:ascii="Times New Roman;sans-serif" w:hAnsi="Times New Roman;sans-serif"/>
          <w:b w:val="false"/>
          <w:color w:val="000000"/>
          <w:sz w:val="20"/>
        </w:rPr>
        <w:t xml:space="preserve">e $0.5 million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$1.9 million</w:t>
      </w:r>
      <w:r>
        <w:rPr>
          <w:rFonts w:ascii="Times New Roman;sans-serif" w:hAnsi="Times New Roman;sans-serif"/>
          <w:b w:val="false"/>
          <w:color w:val="000000"/>
          <w:sz w:val="20"/>
          <w:shd w:fill="FFFFFF" w:val="clear"/>
        </w:rPr>
        <w:t>, respectively. As of September 30, 2023 and December 31, 2022, other amounts due to related parties we</w:t>
      </w:r>
      <w:r>
        <w:rPr>
          <w:rFonts w:ascii="Times New Roman;sans-serif" w:hAnsi="Times New Roman;sans-serif"/>
          <w:b w:val="false"/>
          <w:color w:val="000000"/>
          <w:sz w:val="20"/>
        </w:rPr>
        <w:t xml:space="preserve">re $0.1 million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$0.2 million, respectively, which are included in due to related parties on the accompanying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receivable – related parties consisted of the following as of September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0"/>
        <w:gridCol w:w="976"/>
        <w:gridCol w:w="982"/>
        <w:gridCol w:w="109"/>
        <w:gridCol w:w="109"/>
        <w:gridCol w:w="109"/>
        <w:gridCol w:w="324"/>
        <w:gridCol w:w="1112"/>
        <w:gridCol w:w="167"/>
        <w:gridCol w:w="109"/>
        <w:gridCol w:w="109"/>
        <w:gridCol w:w="109"/>
        <w:gridCol w:w="317"/>
        <w:gridCol w:w="1088"/>
        <w:gridCol w:w="163"/>
        <w:gridCol w:w="109"/>
        <w:gridCol w:w="109"/>
        <w:gridCol w:w="109"/>
        <w:gridCol w:w="404"/>
        <w:gridCol w:w="404"/>
        <w:gridCol w:w="405"/>
        <w:gridCol w:w="109"/>
        <w:gridCol w:w="109"/>
        <w:gridCol w:w="109"/>
        <w:gridCol w:w="442"/>
        <w:gridCol w:w="400"/>
        <w:gridCol w:w="563"/>
      </w:tblGrid>
      <w:tr>
        <w:trPr/>
        <w:tc>
          <w:tcPr>
            <w:tcW w:w="115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SF Alaska,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Ketch,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Hospitality LP (Tucson East)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J-25 Development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Diversified Opportunity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Ridge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Southridge,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Ironwood,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r>
      <w:tr>
        <w:trPr/>
        <w:tc>
          <w:tcPr>
            <w:tcW w:w="3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consolidated fund earned $0.9 million and $2.7 million, respectively, and during the three and nine months ended September 30, 2022, the consolidated fund earned $0.8 million and $2.1 million, respectively,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No interest was due to the Company as of September 30, 2023 and December 31, 2022.</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payable – related parties consisted of the following as of September 30, 2023 and December 31, 2022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302"/>
        <w:gridCol w:w="1073"/>
        <w:gridCol w:w="1080"/>
        <w:gridCol w:w="109"/>
        <w:gridCol w:w="109"/>
        <w:gridCol w:w="109"/>
        <w:gridCol w:w="310"/>
        <w:gridCol w:w="1062"/>
        <w:gridCol w:w="160"/>
        <w:gridCol w:w="109"/>
        <w:gridCol w:w="109"/>
        <w:gridCol w:w="109"/>
        <w:gridCol w:w="331"/>
        <w:gridCol w:w="971"/>
        <w:gridCol w:w="173"/>
        <w:gridCol w:w="109"/>
        <w:gridCol w:w="109"/>
        <w:gridCol w:w="109"/>
        <w:gridCol w:w="384"/>
        <w:gridCol w:w="384"/>
        <w:gridCol w:w="386"/>
        <w:gridCol w:w="109"/>
        <w:gridCol w:w="109"/>
        <w:gridCol w:w="109"/>
        <w:gridCol w:w="382"/>
        <w:gridCol w:w="368"/>
        <w:gridCol w:w="531"/>
      </w:tblGrid>
      <w:tr>
        <w:trPr/>
        <w:tc>
          <w:tcPr>
            <w:tcW w:w="130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Roosevelt III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2023</w:t>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3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three and nine months ended September 30, 2023, the consolidated funds incurred $0.3 million and $0.8 million, </w:t>
      </w:r>
      <w:r>
        <w:rPr>
          <w:rFonts w:ascii="Times New Roman;sans-serif" w:hAnsi="Times New Roman;sans-serif"/>
          <w:b w:val="false"/>
          <w:color w:val="000000"/>
          <w:sz w:val="20"/>
          <w:shd w:fill="FFFFFF" w:val="clear"/>
        </w:rPr>
        <w:t xml:space="preserve">respectively, and during the </w:t>
      </w:r>
      <w:r>
        <w:rPr>
          <w:rFonts w:ascii="Times New Roman;sans-serif" w:hAnsi="Times New Roman;sans-serif"/>
          <w:b w:val="false"/>
          <w:color w:val="000000"/>
          <w:sz w:val="20"/>
        </w:rPr>
        <w:t>three and nine months ended September 30, 2022</w:t>
      </w:r>
      <w:r>
        <w:rPr>
          <w:rFonts w:ascii="Times New Roman;sans-serif" w:hAnsi="Times New Roman;sans-serif"/>
          <w:b w:val="false"/>
          <w:color w:val="000000"/>
          <w:sz w:val="20"/>
          <w:shd w:fill="FFFFFF" w:val="clear"/>
        </w:rPr>
        <w:t xml:space="preserve">, the consolidated funds incurred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$0.7 million, respectively of interest expense in connection with the notes payable – related parties, which is included in consolidated funds – hospitality expenses and consolidated funds – other expenses on the accompanying condensed consolidated statements of operations. As of September 30, 2023 and December 31, 2022, there was $0.2 million and $0.1 million, respectively, of</w:t>
      </w:r>
      <w:r>
        <w:rPr>
          <w:color w:val="000000"/>
          <w:shd w:fill="FFFFFF" w:val="clear"/>
        </w:rPr>
        <w:t xml:space="preserve"> </w:t>
      </w: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nterest expense payable which is included in due to related parties on the accompanying condensed consolidated balance sheets. Management expects to extend these notes at maturity.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September 30, 2023 and December 31, 2022, there were an immaterial amount of other amounts due from related parties. As of September 30, 2023 and December 31, 2022, there were no other amounts due to related 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Notes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consisted of the following as of September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7"/>
        <w:gridCol w:w="672"/>
        <w:gridCol w:w="659"/>
        <w:gridCol w:w="109"/>
        <w:gridCol w:w="109"/>
        <w:gridCol w:w="109"/>
        <w:gridCol w:w="324"/>
        <w:gridCol w:w="1112"/>
        <w:gridCol w:w="167"/>
        <w:gridCol w:w="109"/>
        <w:gridCol w:w="109"/>
        <w:gridCol w:w="109"/>
        <w:gridCol w:w="317"/>
        <w:gridCol w:w="1088"/>
        <w:gridCol w:w="164"/>
        <w:gridCol w:w="109"/>
        <w:gridCol w:w="109"/>
        <w:gridCol w:w="109"/>
        <w:gridCol w:w="336"/>
        <w:gridCol w:w="299"/>
        <w:gridCol w:w="746"/>
        <w:gridCol w:w="109"/>
        <w:gridCol w:w="109"/>
        <w:gridCol w:w="109"/>
        <w:gridCol w:w="658"/>
        <w:gridCol w:w="641"/>
        <w:gridCol w:w="917"/>
      </w:tblGrid>
      <w:tr>
        <w:trPr/>
        <w:tc>
          <w:tcPr>
            <w:tcW w:w="79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2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10.00% - 12.00%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2023 - March 2025</w:t>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loans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2029</w:t>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 On January 31, 2023, Caliber assumed a loan which is secured by Caliber’s headquarters office building (see Note 4 – Real Estate Investments</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Notes and Convertible Corporate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multiple general corporate financing arrangements with third parties. The arrangements are generally evidenced in the form of a promissory note and require monthly or quarterly interest-only payments until maturity. Certain corporate notes are secured by the otherwise unencumbered assets of the Company. The loans generally have a 12-month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were 226 individual corporate notes outstanding, with an average outstanding principal balance of $0.2 million, interest rates ranging from 8.25% to 12.00%, with weighted average interest rate of 11.42%, and maturity dates ranging from December 2023 to March 2025. During the nine months ended September 30, 2023, there were no conversions of debt into common stock.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were 124 individual corporate notes outstanding, with an average outstanding principal balance of $0.1 million, interest rates ranging from 8.25% to 12.00%, with a weighted average interest rate of 10.19%, and maturity dates ranging from April 2023 to June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corporate notes with a conversion feature. The conversion price is $7.57 per share of common stock. The holders of the convertible corporate notes can elect to convert all or any portion of the balance at any time. As of September 30, 2023 and December 31, 2022, the value of the conversion feature was zero.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Minimum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principal repayments of our indebtedness as of September 30, 2023 (in thousands):</w:t>
      </w:r>
    </w:p>
    <w:p>
      <w:pPr>
        <w:pStyle w:val="TextBody"/>
        <w:bidi w:val="0"/>
        <w:spacing w:before="0" w:after="0"/>
        <w:jc w:val="both"/>
        <w:rPr/>
      </w:pPr>
      <w:r>
        <w:rPr/>
      </w:r>
    </w:p>
    <w:tbl>
      <w:tblPr>
        <w:tblW w:w="4562"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deferred financing costs for the Company was an immaterial amount and there were no deferred financing cost write-offs during the three and nine months ended September 30, 2023. There were no deferred financing costs or related amortization as of or during the three and nine months ended September 30,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Consolidated Funds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of the consolidated funds consisted of the following as of September 30, 2023 and December 31, 2022,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7"/>
        <w:gridCol w:w="897"/>
        <w:gridCol w:w="900"/>
        <w:gridCol w:w="109"/>
        <w:gridCol w:w="109"/>
        <w:gridCol w:w="109"/>
        <w:gridCol w:w="280"/>
        <w:gridCol w:w="1096"/>
        <w:gridCol w:w="144"/>
        <w:gridCol w:w="109"/>
        <w:gridCol w:w="109"/>
        <w:gridCol w:w="109"/>
        <w:gridCol w:w="274"/>
        <w:gridCol w:w="1077"/>
        <w:gridCol w:w="142"/>
        <w:gridCol w:w="109"/>
        <w:gridCol w:w="109"/>
        <w:gridCol w:w="109"/>
        <w:gridCol w:w="381"/>
        <w:gridCol w:w="381"/>
        <w:gridCol w:w="383"/>
        <w:gridCol w:w="109"/>
        <w:gridCol w:w="109"/>
        <w:gridCol w:w="109"/>
        <w:gridCol w:w="568"/>
        <w:gridCol w:w="532"/>
        <w:gridCol w:w="534"/>
        <w:gridCol w:w="161"/>
      </w:tblGrid>
      <w:tr>
        <w:trPr/>
        <w:tc>
          <w:tcPr>
            <w:tcW w:w="1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Four Points by Sheraton Hotel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2050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injury disaster and 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3.75% - 12.05%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2024 - June 2050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September 30, 2023.</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nine months ended September 30, 2023, the hotel ceased operations as the Company is converting the property into a multi-family residential assets.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In March 2023, the fund was consolidated as the Company was determined to be the primary beneficiary as we have the power to direct the activities of West Frontier and the obligation to absorb their losses through its guarantee of their indebtedness which is significant to the fund.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September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2015, the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terms of the loan allow the prepayment of the outstanding balance in part or in whole at any time prior to the maturity date, subject to a prepayment premium fee. The loan is guaranteed by an individual who is an affiliate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the consolidated fund entered into a loan agreement which is secured by a deed of trust and assignment of leases and rents of a hotel property in Phoenix, Arizona. The loan requires monthly interest-only payments until maturity. The loan is guaranteed by the Company and matured in September 2023. Per the terms of this agreement, the interest rate on the loan is equal to US Prime Rate plus 2.25%, with a floor rate of 9.65%, until August 31, 2023, at which time, the interest rate increases to 18% until the loan is paid in full or replaced with construction financing from the lender. The lender has not called the loan as of November 9, 2023 and the consolidated fund is current on monthly interest payments. The Company is negotiating a construction loan and expects to repay the loan upon execution of the construction loan.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The loan is guaranteed by the Company. In November 2023, the loan agreement was amended with the lender, extending the maturity date to February 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the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The loan is guaranteed by the Company. As of September 30, 2023 and December 31, 2022, the consolidated fund was not in compliance with its debt service coverage ratio requirement based on the operation of the related property. Per the loan agreement, the lender is entitled to declare an event of default unless the Company agrees to partially repay the loan in an amount and on terms satisfactory to the lender. The Company has been in communication with the lender to negotiate an agreement to mitigate any event of default. There can be no assurance, the management believes we will be able to come to an agreement with the lender in order to mitigate any defaults. In November 2023, the loan agreement was amended with the lender, extending the maturity date to February 7, 2024.</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the consolidated fund entered into a loan agreement which is secured by a deed of trust and assignment of rents of a multi-family property located in Scottsdale, Arizona. The loan bears interest at a fixed annual rate of 5.25% until August 1, 2023. On August 1, 2023 and each six months thereafter until the maturity date in August 2050, the interest rate will be adjusted to a rate which is equal to the sum of the six-month LIBOR plus 3.75%. The loan required interest-only payments until July 2021 and principal and interest payments thereafter until maturity. The loan amount may be prepaid prior to maturity subject to certain conditions and terms outlined in the agreement which defines the schedule of prepayment premiums based on the timing of the exercise of this option. The loan is guaranteed by individuals who are affiliates of the Company. In October 2023, the consolidated fund paid the loan amount outstanding in full.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consolidated fund entered into a $6.3 million loan agreement which is secured by a deed of trust and assignment of leases and rents of a multi-family property located in Scottsdale, Arizona. Per the terms of the loan agreement, the loan has a fixed interest rate of 7.42% and requires interest-only payments until maturity in November 2028. The terms of the loan allow the prepayment of the outstanding balance prior to the maturity date, subject to certain conditions, terms and fees outlined in the loan agreement. The loan is guaranteed by individuals who are affiliates of the Company.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consolidated fund entered into a loan agreement which is secured by a deed of trust and assignment of rents of a commercial property in Scottsdale, Arizona. The loan bears interest at an annual rate of 3.75% for the first five years, thereafter, the interest rate is adjusted annually to a rate which is equal to the sum of the published prime rate as defined by the agreement and a margin of 0.5% with a floor of 3.75%. The loan matures in February 2029. Except for an annual maximum principal reduction of 20% of the original principal balance, the loan may be prepaid subject to a 1.0% prepayment premium on the outstanding balance at the time of prepayment during the first two years of the loan. The loan is guaranteed by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consolidated fund entered into a loan agreement which is secured by a deed of trust and assignment of rents of a residential development property in Phoenix, Arizona. The loan has a fixed rate per annum equal to 9.99%. In May 2023, an extension agreement was executed with the lender, extending the maturity date to December 2023. The terms of the loan allow the prepayment of the outstanding balance in part or in whole at any time prior to the maturity date with no prepayment penalty. The loan is guaranteed by an individual who is an affiliate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8.75% as of September 30, 2023. The Company is required to pay a fee of 0.20% of the unused revolving balance. In August 2023, the agreement was amended extending the maturity date of the LOC to October 2024 and removing certain restrictive covenants. The terms of the LOC include certain financial covenants and as of September 30, 2023, the consolidated fund was in compliance with all such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Member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the nine months ended September 30, 2023, the consolidated fund, Southpointe Fundco, LLC,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Economic Injury Disaster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consolidated funds were granted Economic Injury Disaster Loans, which are secured by the assets of the respective funds and have a fixed interest rate of 3.75 % and mature in June 2050. At each of September 30, 2023 and December 31, 2022, the outstanding principal balance was $0.5 million.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Debt Maturities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future aggregate principal repayments due on the Company’s notes payable are as follows (in thousands):</w:t>
      </w:r>
    </w:p>
    <w:p>
      <w:pPr>
        <w:pStyle w:val="TextBody"/>
        <w:bidi w:val="0"/>
        <w:spacing w:before="0" w:after="0"/>
        <w:jc w:val="both"/>
        <w:rPr/>
      </w:pPr>
      <w:r>
        <w:rPr/>
      </w:r>
    </w:p>
    <w:tbl>
      <w:tblPr>
        <w:tblW w:w="4667"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was $0.4 million and $1.1 million during the three and nine months ended September 30, 2023, respectively, and $0.1 million and $0.4 million during the three and nine months ended September 30, 2022, respectively. There were no deferred financing cost write-offs during the three and nine months ended September 30, 2023. There was $0.1 million of deferred financing cost write-offs during the three and nine months ended September 30,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Company includes the revenues generated by the rental operations of one commercial office property, which was acquired in January 2023. As of September 30, 2023, the leases have non-cancelable remaining lease terms from 1.4 years to 3.6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2023, the Company does not have any material related party leases as a lessor. During the three and nine months ended September 30, 2023, there was $0.5 million and $1.2 million of fixed rental revenue, respectively, which is included in other income (loss), net on the accompanying condensed consolidated statements of operations. During both of the three and nine months ended September 30, 2023, there was an immaterial amount of variable rental revenue, , which is included in other income (loss), net on the accompanying condensed consolidated statements of operations. The Company had no rental revenue for the three and nine months ended September 30, 2022. Variable rental revenue are primarily costs reimbursed related to common area maintenance.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Company under non-cancellable operating leases over the next five years and thereafter as of September 30, 2023 are as follows (in thousands): </w:t>
      </w:r>
    </w:p>
    <w:p>
      <w:pPr>
        <w:pStyle w:val="TextBody"/>
        <w:bidi w:val="0"/>
        <w:spacing w:before="0" w:after="0"/>
        <w:jc w:val="both"/>
        <w:rPr/>
      </w:pPr>
      <w:r>
        <w:rPr/>
      </w:r>
    </w:p>
    <w:tbl>
      <w:tblPr>
        <w:tblW w:w="4784"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616"/>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consolidated funds includes the revenues generated primarily by the rental operations of three multi-family residential properties, including GC Square Apartments, which was sold in March 2022, and two commercial properties. As of September 30, 2023, the leases have non-cancelable remaining lease terms from 0.1 years to 10.4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September 30, 2023, the consolidated funds do not have any material related party leases as a lessor. The components of rental revenue for the three and nine months ended September 30, 2023 and 2022 (in thousands) are presented in the table below. Variable rental revenue are primarily costs reimbursed related to common area maintenance.</w:t>
      </w:r>
    </w:p>
    <w:p>
      <w:pPr>
        <w:pStyle w:val="TextBody"/>
        <w:bidi w:val="0"/>
        <w:spacing w:before="0" w:after="0"/>
        <w:jc w:val="both"/>
        <w:rPr/>
      </w:pPr>
      <w:r>
        <w:rPr/>
      </w:r>
    </w:p>
    <w:tbl>
      <w:tblPr>
        <w:tblW w:w="7669"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321"/>
        <w:gridCol w:w="938"/>
        <w:gridCol w:w="166"/>
        <w:gridCol w:w="166"/>
        <w:gridCol w:w="166"/>
        <w:gridCol w:w="166"/>
        <w:gridCol w:w="321"/>
        <w:gridCol w:w="709"/>
        <w:gridCol w:w="166"/>
        <w:gridCol w:w="109"/>
        <w:gridCol w:w="109"/>
        <w:gridCol w:w="109"/>
        <w:gridCol w:w="286"/>
        <w:gridCol w:w="836"/>
        <w:gridCol w:w="147"/>
        <w:gridCol w:w="147"/>
        <w:gridCol w:w="147"/>
        <w:gridCol w:w="147"/>
        <w:gridCol w:w="286"/>
        <w:gridCol w:w="836"/>
        <w:gridCol w:w="20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consolidated funds under non-cancellable operating leases over the next five years and thereafter as of September 30, 2023 are as follows (in thousands): </w:t>
      </w:r>
    </w:p>
    <w:p>
      <w:pPr>
        <w:pStyle w:val="TextBody"/>
        <w:bidi w:val="0"/>
        <w:spacing w:before="0" w:after="0"/>
        <w:jc w:val="both"/>
        <w:rPr/>
      </w:pPr>
      <w:r>
        <w:rPr/>
      </w:r>
    </w:p>
    <w:tbl>
      <w:tblPr>
        <w:tblW w:w="4889" w:type="dxa"/>
        <w:jc w:val="left"/>
        <w:tblInd w:w="0" w:type="dxa"/>
        <w:tblLayout w:type="fixed"/>
        <w:tblCellMar>
          <w:top w:w="28" w:type="dxa"/>
          <w:left w:w="28" w:type="dxa"/>
          <w:bottom w:w="28" w:type="dxa"/>
          <w:right w:w="28" w:type="dxa"/>
        </w:tblCellMar>
      </w:tblPr>
      <w:tblGrid>
        <w:gridCol w:w="1140"/>
        <w:gridCol w:w="1000"/>
        <w:gridCol w:w="1009"/>
        <w:gridCol w:w="109"/>
        <w:gridCol w:w="109"/>
        <w:gridCol w:w="109"/>
        <w:gridCol w:w="211"/>
        <w:gridCol w:w="721"/>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Other Liabilities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Liabilities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as of September 30, 2023 and December 31, 2022 (in thousands):</w:t>
      </w:r>
    </w:p>
    <w:p>
      <w:pPr>
        <w:pStyle w:val="TextBody"/>
        <w:bidi w:val="0"/>
        <w:spacing w:before="0" w:after="0"/>
        <w:jc w:val="both"/>
        <w:rPr/>
      </w:pPr>
      <w:r>
        <w:rPr/>
      </w:r>
    </w:p>
    <w:tbl>
      <w:tblPr>
        <w:tblW w:w="6551" w:type="dxa"/>
        <w:jc w:val="left"/>
        <w:tblInd w:w="0" w:type="dxa"/>
        <w:tblLayout w:type="fixed"/>
        <w:tblCellMar>
          <w:top w:w="28" w:type="dxa"/>
          <w:left w:w="28" w:type="dxa"/>
          <w:bottom w:w="28" w:type="dxa"/>
          <w:right w:w="28" w:type="dxa"/>
        </w:tblCellMar>
      </w:tblPr>
      <w:tblGrid>
        <w:gridCol w:w="973"/>
        <w:gridCol w:w="853"/>
        <w:gridCol w:w="858"/>
        <w:gridCol w:w="475"/>
        <w:gridCol w:w="1049"/>
        <w:gridCol w:w="246"/>
        <w:gridCol w:w="109"/>
        <w:gridCol w:w="109"/>
        <w:gridCol w:w="109"/>
        <w:gridCol w:w="484"/>
        <w:gridCol w:w="931"/>
        <w:gridCol w:w="355"/>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tenant security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Liabilities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of the consolidated funds consisted of the following as of September 30, 2023 and December 31, 2022 (in thousands):</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770"/>
        <w:gridCol w:w="679"/>
        <w:gridCol w:w="681"/>
        <w:gridCol w:w="397"/>
        <w:gridCol w:w="1165"/>
        <w:gridCol w:w="207"/>
        <w:gridCol w:w="109"/>
        <w:gridCol w:w="109"/>
        <w:gridCol w:w="109"/>
        <w:gridCol w:w="380"/>
        <w:gridCol w:w="1110"/>
        <w:gridCol w:w="279"/>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key money, net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Supplemental Cash Flow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 for the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2654"/>
        <w:gridCol w:w="2264"/>
        <w:gridCol w:w="2276"/>
        <w:gridCol w:w="109"/>
        <w:gridCol w:w="109"/>
        <w:gridCol w:w="109"/>
        <w:gridCol w:w="268"/>
        <w:gridCol w:w="784"/>
        <w:gridCol w:w="138"/>
        <w:gridCol w:w="138"/>
        <w:gridCol w:w="138"/>
        <w:gridCol w:w="138"/>
        <w:gridCol w:w="285"/>
        <w:gridCol w:w="593"/>
        <w:gridCol w:w="202"/>
      </w:tblGrid>
      <w:tr>
        <w:trPr/>
        <w:tc>
          <w:tcPr>
            <w:tcW w:w="265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none of which was capitalized for the nine months ended September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$31 and $10 for the nine months ended September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moved from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related party eliminated in 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lieu of cash payment for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moved to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eliminated in consolidation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Caliber Tax Advantaged Opportunity Fund LP</w:t>
      </w:r>
    </w:p>
    <w:p>
      <w:pPr>
        <w:pStyle w:val="TextBody"/>
        <w:bidi w:val="0"/>
        <w:spacing w:before="0" w:after="0"/>
        <w:jc w:val="both"/>
        <w:rPr/>
      </w:pPr>
      <w:r>
        <w:rPr/>
      </w:r>
    </w:p>
    <w:p>
      <w:pPr>
        <w:pStyle w:val="TextBody"/>
        <w:bidi w:val="0"/>
        <w:spacing w:lineRule="auto" w:line="29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September 30, 2023 and December 31, 2022, the Company estimated fair value of CTAF was greater than the 6% IRR for the limited partners.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Buyback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the Company agreed to repurchase 3,709,693 shares (“Buyback Program”) owned by one of its non-participating founders for $4.54 per share of common stock in exchange for an amendment to such non-participating founder’s shareholder voting rights and other Company protections. Due to the length of time of the liability, the Company recorded a liability of $13.6 million and a corresponding reduction to equity in treasury stock at the inception of the Buyback Program using a present value discount rate of 10.00%. As of December 31, 2022, remaining number of shares to be repurchased was 3,432,351 and the balance of the liability was $12.4 million, which is included in buyback obligation on the accompanying condensed consolidated balance sheets. During the nine months ended September 30, 2023, the Company repurchased 41,615 shares of Class A common stock pursuant to the Buyback Program and on May 19, 2023, the Company’s Class A common stock began trading on the NASDAQ Capital Market, at which point the buyback obligation was relieved and no further amounts were due under the Buyback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Franchise Agreements and Advance Key Money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hospitality funds are parties to various franchise agreements where, pursuant to the respective agreements, the respective fund is required to pay monthly fees, generally consisting of royalty, service contribution, technology, program and/or marketing fees. The franchise agreements expire on various dates from June 2025 through August 2033. The consolidated funds recognized total franchise fees of $0.8 million and $3.5 million for the three and nine months ended September 30, 2023, respectively, and $0.7 million and $2.8 million for the three and nine months ended September 30,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one franchise agreement, the consolidated funds received an advance of $1.5 million (“Advance Key Money”) for the consolidated funds to retain the franchisor on the hotel property for 20 years. The consolidated funds are not required to repay any part of the Advance Key Money unless the franchise agreement is cancelled before the termination date of August 2033.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Net Income (Loss)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calculated the basic and diluted earnings per share during the three and nine months ended September 30, 2023 and 2022 as follows (in thousands,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7"/>
        <w:gridCol w:w="1346"/>
        <w:gridCol w:w="1354"/>
        <w:gridCol w:w="260"/>
        <w:gridCol w:w="832"/>
        <w:gridCol w:w="134"/>
        <w:gridCol w:w="134"/>
        <w:gridCol w:w="134"/>
        <w:gridCol w:w="134"/>
        <w:gridCol w:w="260"/>
        <w:gridCol w:w="761"/>
        <w:gridCol w:w="134"/>
        <w:gridCol w:w="109"/>
        <w:gridCol w:w="109"/>
        <w:gridCol w:w="109"/>
        <w:gridCol w:w="245"/>
        <w:gridCol w:w="903"/>
        <w:gridCol w:w="126"/>
        <w:gridCol w:w="126"/>
        <w:gridCol w:w="126"/>
        <w:gridCol w:w="126"/>
        <w:gridCol w:w="245"/>
        <w:gridCol w:w="716"/>
        <w:gridCol w:w="185"/>
      </w:tblGrid>
      <w:tr>
        <w:trPr/>
        <w:tc>
          <w:tcPr>
            <w:tcW w:w="159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CaliberCos Inc.</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10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shareholders of CaliberCos Inc.</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2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18,033</w:t>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options, net</w:t>
            </w:r>
          </w:p>
        </w:tc>
        <w:tc>
          <w:tcPr>
            <w:tcW w:w="122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convertible debt, net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22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w:t>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19,878</w:t>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shareholders</w:t>
            </w:r>
          </w:p>
        </w:tc>
        <w:tc>
          <w:tcPr>
            <w:tcW w:w="26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8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shareholders</w:t>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number of antidilutive shares </w:t>
      </w:r>
      <w:r>
        <w:rPr>
          <w:rFonts w:ascii="Times New Roman;sans-serif" w:hAnsi="Times New Roman;sans-serif"/>
          <w:b w:val="false"/>
          <w:color w:val="000000"/>
          <w:sz w:val="20"/>
          <w:shd w:fill="FFFFFF" w:val="clear"/>
        </w:rPr>
        <w:t xml:space="preserve">consisted of the potential exercise of stock options and potential conversion of convertible debt. The following table summarizes these potential exercises and conversions during the </w:t>
      </w:r>
      <w:r>
        <w:rPr>
          <w:rFonts w:ascii="Times New Roman;sans-serif" w:hAnsi="Times New Roman;sans-serif"/>
          <w:b w:val="false"/>
          <w:color w:val="000000"/>
          <w:sz w:val="20"/>
        </w:rPr>
        <w:t>three and nine months ended September 30, 2023 and 2022</w:t>
      </w:r>
      <w:r>
        <w:rPr>
          <w:rFonts w:ascii="Times New Roman;sans-serif" w:hAnsi="Times New Roman;sans-serif"/>
          <w:b w:val="false"/>
          <w:color w:val="000000"/>
          <w:sz w:val="20"/>
          <w:shd w:fill="FFFFFF" w:val="clear"/>
        </w:rPr>
        <w:t>, which h</w:t>
      </w:r>
      <w:r>
        <w:rPr>
          <w:rFonts w:ascii="Times New Roman;sans-serif" w:hAnsi="Times New Roman;sans-serif"/>
          <w:b w:val="false"/>
          <w:color w:val="000000"/>
          <w:sz w:val="20"/>
        </w:rPr>
        <w:t>ave been excluded from the computation of diluted earnings per share attributable to common shareholders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8"/>
        <w:gridCol w:w="1316"/>
        <w:gridCol w:w="1324"/>
        <w:gridCol w:w="332"/>
        <w:gridCol w:w="295"/>
        <w:gridCol w:w="295"/>
        <w:gridCol w:w="295"/>
        <w:gridCol w:w="295"/>
        <w:gridCol w:w="295"/>
        <w:gridCol w:w="321"/>
        <w:gridCol w:w="295"/>
        <w:gridCol w:w="297"/>
        <w:gridCol w:w="109"/>
        <w:gridCol w:w="109"/>
        <w:gridCol w:w="109"/>
        <w:gridCol w:w="322"/>
        <w:gridCol w:w="285"/>
        <w:gridCol w:w="285"/>
        <w:gridCol w:w="285"/>
        <w:gridCol w:w="285"/>
        <w:gridCol w:w="285"/>
        <w:gridCol w:w="311"/>
        <w:gridCol w:w="285"/>
        <w:gridCol w:w="287"/>
        <w:gridCol w:w="109"/>
        <w:gridCol w:w="109"/>
        <w:gridCol w:w="162"/>
      </w:tblGrid>
      <w:tr>
        <w:trPr/>
        <w:tc>
          <w:tcPr>
            <w:tcW w:w="15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stock options were exercised</w:t>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14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convertible debt were converted</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There were no antidilutive shares for the three and nine months ended September 30,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w:t>
      </w:r>
      <w:r>
        <w:rPr>
          <w:color w:val="000000"/>
          <w:shd w:fill="FFFFFF" w:val="clear"/>
        </w:rPr>
        <w:t xml:space="preserve"> </w:t>
      </w:r>
      <w:r>
        <w:rPr>
          <w:rFonts w:ascii="Times New Roman;sans-serif" w:hAnsi="Times New Roman;sans-serif"/>
          <w:b w:val="false"/>
          <w:color w:val="000000"/>
          <w:sz w:val="20"/>
          <w:shd w:fill="FFFFFF" w:val="clear"/>
        </w:rPr>
        <w:t xml:space="preserve">Level 2 inputs. The estimated fair value of the Company’s real estate loan was determined by management based on a discounted future cash-flow model. As of September 30, 2023 the Company’s real estate loan had a carrying value of </w:t>
      </w:r>
      <w:r>
        <w:rPr>
          <w:rFonts w:ascii="Times New Roman;sans-serif" w:hAnsi="Times New Roman;sans-serif"/>
          <w:b w:val="false"/>
          <w:color w:val="000000"/>
          <w:sz w:val="20"/>
        </w:rPr>
        <w:t>$16.3 million and a fair value of $9.3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September 30, 2023 and December 31, 2022 approximated fair value. The fair value of the consolidated funds’ fixed rate debt were measured with Level 2 inputs. The estimated fair values for the instruments below were determined by management based on a discounted future cash-flow model (in thousands).</w:t>
      </w:r>
    </w:p>
    <w:p>
      <w:pPr>
        <w:pStyle w:val="TextBody"/>
        <w:bidi w:val="0"/>
        <w:spacing w:before="0" w:after="0"/>
        <w:jc w:val="both"/>
        <w:rPr/>
      </w:pPr>
      <w:r>
        <w:rPr/>
      </w:r>
    </w:p>
    <w:tbl>
      <w:tblPr>
        <w:tblW w:w="7783"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Tucson East,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Derivative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did not have any derivatives designated as hedging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have entered into interest rate caps and swaps. The following table summarizes the consolidated funds non-designated derivatives as of September 30, 2023 and December 31, 2022 (dollar amounts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613"/>
        <w:gridCol w:w="537"/>
        <w:gridCol w:w="539"/>
        <w:gridCol w:w="109"/>
        <w:gridCol w:w="109"/>
        <w:gridCol w:w="109"/>
        <w:gridCol w:w="675"/>
        <w:gridCol w:w="675"/>
        <w:gridCol w:w="677"/>
        <w:gridCol w:w="112"/>
        <w:gridCol w:w="112"/>
        <w:gridCol w:w="112"/>
        <w:gridCol w:w="313"/>
        <w:gridCol w:w="1071"/>
        <w:gridCol w:w="160"/>
        <w:gridCol w:w="109"/>
        <w:gridCol w:w="109"/>
        <w:gridCol w:w="109"/>
        <w:gridCol w:w="675"/>
        <w:gridCol w:w="675"/>
        <w:gridCol w:w="677"/>
        <w:gridCol w:w="109"/>
        <w:gridCol w:w="109"/>
        <w:gridCol w:w="109"/>
        <w:gridCol w:w="308"/>
        <w:gridCol w:w="1057"/>
        <w:gridCol w:w="236"/>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consolidated funds’ non-designated derivatives, as well as their classification on the condensed consolidated balance sheets, as of September 30, 2023 and December 31, 2022 (in thousands):</w:t>
      </w:r>
    </w:p>
    <w:p>
      <w:pPr>
        <w:pStyle w:val="TextBody"/>
        <w:bidi w:val="0"/>
        <w:spacing w:before="0" w:after="0"/>
        <w:jc w:val="both"/>
        <w:rPr/>
      </w:pPr>
      <w:r>
        <w:rPr/>
      </w:r>
    </w:p>
    <w:tbl>
      <w:tblPr>
        <w:tblW w:w="10009"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1259"/>
        <w:gridCol w:w="1259"/>
        <w:gridCol w:w="1262"/>
        <w:gridCol w:w="109"/>
        <w:gridCol w:w="109"/>
        <w:gridCol w:w="109"/>
        <w:gridCol w:w="397"/>
        <w:gridCol w:w="1165"/>
        <w:gridCol w:w="207"/>
        <w:gridCol w:w="109"/>
        <w:gridCol w:w="109"/>
        <w:gridCol w:w="109"/>
        <w:gridCol w:w="380"/>
        <w:gridCol w:w="1110"/>
        <w:gridCol w:w="279"/>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 or loss recognized in consolidated funds - hospitality expenses in the condensed consolidated statements of operations for three and nine months ended September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0"/>
        <w:gridCol w:w="457"/>
        <w:gridCol w:w="458"/>
        <w:gridCol w:w="109"/>
        <w:gridCol w:w="109"/>
        <w:gridCol w:w="109"/>
        <w:gridCol w:w="903"/>
        <w:gridCol w:w="844"/>
        <w:gridCol w:w="846"/>
        <w:gridCol w:w="109"/>
        <w:gridCol w:w="109"/>
        <w:gridCol w:w="109"/>
        <w:gridCol w:w="299"/>
        <w:gridCol w:w="661"/>
        <w:gridCol w:w="154"/>
        <w:gridCol w:w="154"/>
        <w:gridCol w:w="154"/>
        <w:gridCol w:w="154"/>
        <w:gridCol w:w="299"/>
        <w:gridCol w:w="576"/>
        <w:gridCol w:w="154"/>
        <w:gridCol w:w="109"/>
        <w:gridCol w:w="109"/>
        <w:gridCol w:w="109"/>
        <w:gridCol w:w="289"/>
        <w:gridCol w:w="639"/>
        <w:gridCol w:w="149"/>
        <w:gridCol w:w="149"/>
        <w:gridCol w:w="149"/>
        <w:gridCol w:w="149"/>
        <w:gridCol w:w="289"/>
        <w:gridCol w:w="556"/>
        <w:gridCol w:w="222"/>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43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4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Segment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organized into three operating segments which constitute three reportable segments for management and financial reporting purposes: Fund Management, Development and Brokerage. Each segment is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Fund Management segment represents our fund management activities along with back office and corporate support functions including accounting and human resources. It includes the activities of Caliber Services, LLC and its subsidiaries, (“Caliber Services”), which acts as an external manager of our funds that have diversified investment objectives. It also includes the activities associated with Caliber Securities, LLC (“Caliber Securities”), a wholly-owned Arizona registered issuer-dealer, which generates fees from fund formation. Revenues generated by this segment include asset management fees, performance allocations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LLC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segment includes our real estate brokerage operations. The Company generates commission revenue by acting as a broker for residential and commercial real estate owners and investors seeking to buy, sell and/or lease properties, including investment properties, as well as primary residences. The Company provides brokerage services to affiliated entities as well as third parties.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includes the operating results and measures of profitability for all operating entities which the Company and our chief executive officer, who is our chief operating decision maker, analyze on a regular basis, for the purposes of allocating resources and assessing performance. The results of each segment are presented on a gross basis, prior to any necessary adjustments to (i) eliminate inter-segment transactions, if any, (ii) eliminate the results of entities that are not included in our accompanying condensed consolidated financial statements, (iii) eliminate revenue activity presented gross when U.S. GAAP requires net, and (iv) reclassify items to reflect U.S. GAAP consolidated presentation.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revenues and net income (loss) of each of our reportable segments for the three and nine months ended September 30, 2023 and 2022 (in thousands). Consolidated fund revenues and consolidated fund net income (loss) are presented in order to meet the U.S. GAAP requirement to reconcile the total segment revenues to total revenues on the condensed consolidated statement of operations which includes consolidated fund revenues. Interest income, interest expense, depreciation and amortization expense, and other income (expenses), net are excluded from our segment presentation as these amounts are immaterial.</w:t>
      </w:r>
    </w:p>
    <w:p>
      <w:pPr>
        <w:pStyle w:val="TextBody"/>
        <w:bidi w:val="0"/>
        <w:spacing w:before="0" w:after="0"/>
        <w:jc w:val="both"/>
        <w:rPr/>
      </w:pPr>
      <w:r>
        <w:rPr/>
      </w:r>
    </w:p>
    <w:tbl>
      <w:tblPr>
        <w:tblW w:w="10450"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9"/>
        <w:gridCol w:w="600"/>
        <w:gridCol w:w="162"/>
        <w:gridCol w:w="109"/>
        <w:gridCol w:w="109"/>
        <w:gridCol w:w="109"/>
        <w:gridCol w:w="240"/>
        <w:gridCol w:w="497"/>
        <w:gridCol w:w="134"/>
        <w:gridCol w:w="109"/>
        <w:gridCol w:w="109"/>
        <w:gridCol w:w="109"/>
        <w:gridCol w:w="196"/>
        <w:gridCol w:w="571"/>
        <w:gridCol w:w="109"/>
        <w:gridCol w:w="109"/>
        <w:gridCol w:w="109"/>
        <w:gridCol w:w="109"/>
        <w:gridCol w:w="292"/>
        <w:gridCol w:w="851"/>
        <w:gridCol w:w="163"/>
        <w:gridCol w:w="109"/>
        <w:gridCol w:w="109"/>
        <w:gridCol w:w="109"/>
        <w:gridCol w:w="251"/>
        <w:gridCol w:w="733"/>
        <w:gridCol w:w="142"/>
        <w:gridCol w:w="109"/>
        <w:gridCol w:w="109"/>
        <w:gridCol w:w="109"/>
        <w:gridCol w:w="229"/>
        <w:gridCol w:w="775"/>
        <w:gridCol w:w="182"/>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12,526 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12,526 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14,673 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17,025 </w:t>
            </w:r>
          </w:p>
        </w:tc>
        <w:tc>
          <w:tcPr>
            <w:tcW w:w="18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(12,222)</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50" w:type="dxa"/>
        <w:jc w:val="left"/>
        <w:tblInd w:w="0" w:type="dxa"/>
        <w:tblLayout w:type="fixed"/>
        <w:tblCellMar>
          <w:top w:w="28" w:type="dxa"/>
          <w:left w:w="28" w:type="dxa"/>
          <w:bottom w:w="28" w:type="dxa"/>
          <w:right w:w="28" w:type="dxa"/>
        </w:tblCellMar>
      </w:tblPr>
      <w:tblGrid>
        <w:gridCol w:w="379"/>
        <w:gridCol w:w="320"/>
        <w:gridCol w:w="322"/>
        <w:gridCol w:w="213"/>
        <w:gridCol w:w="719"/>
        <w:gridCol w:w="119"/>
        <w:gridCol w:w="109"/>
        <w:gridCol w:w="109"/>
        <w:gridCol w:w="109"/>
        <w:gridCol w:w="283"/>
        <w:gridCol w:w="609"/>
        <w:gridCol w:w="159"/>
        <w:gridCol w:w="109"/>
        <w:gridCol w:w="109"/>
        <w:gridCol w:w="109"/>
        <w:gridCol w:w="230"/>
        <w:gridCol w:w="512"/>
        <w:gridCol w:w="129"/>
        <w:gridCol w:w="109"/>
        <w:gridCol w:w="109"/>
        <w:gridCol w:w="109"/>
        <w:gridCol w:w="196"/>
        <w:gridCol w:w="571"/>
        <w:gridCol w:w="109"/>
        <w:gridCol w:w="109"/>
        <w:gridCol w:w="109"/>
        <w:gridCol w:w="109"/>
        <w:gridCol w:w="292"/>
        <w:gridCol w:w="851"/>
        <w:gridCol w:w="163"/>
        <w:gridCol w:w="109"/>
        <w:gridCol w:w="109"/>
        <w:gridCol w:w="109"/>
        <w:gridCol w:w="251"/>
        <w:gridCol w:w="733"/>
        <w:gridCol w:w="142"/>
        <w:gridCol w:w="109"/>
        <w:gridCol w:w="109"/>
        <w:gridCol w:w="109"/>
        <w:gridCol w:w="229"/>
        <w:gridCol w:w="775"/>
        <w:gridCol w:w="182"/>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52,008 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52,008 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10,690 </w:t>
            </w:r>
          </w:p>
        </w:tc>
        <w:tc>
          <w:tcPr>
            <w:tcW w:w="11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2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58,272 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66,992 </w:t>
            </w:r>
          </w:p>
        </w:tc>
        <w:tc>
          <w:tcPr>
            <w:tcW w:w="18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(23,507)</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tbl>
      <w:tblPr>
        <w:tblW w:w="10435" w:type="dxa"/>
        <w:jc w:val="left"/>
        <w:tblInd w:w="0" w:type="dxa"/>
        <w:tblLayout w:type="fixed"/>
        <w:tblCellMar>
          <w:top w:w="28" w:type="dxa"/>
          <w:left w:w="28" w:type="dxa"/>
          <w:bottom w:w="28" w:type="dxa"/>
          <w:right w:w="28" w:type="dxa"/>
        </w:tblCellMar>
      </w:tblPr>
      <w:tblGrid>
        <w:gridCol w:w="379"/>
        <w:gridCol w:w="320"/>
        <w:gridCol w:w="322"/>
        <w:gridCol w:w="239"/>
        <w:gridCol w:w="678"/>
        <w:gridCol w:w="134"/>
        <w:gridCol w:w="109"/>
        <w:gridCol w:w="109"/>
        <w:gridCol w:w="109"/>
        <w:gridCol w:w="283"/>
        <w:gridCol w:w="609"/>
        <w:gridCol w:w="159"/>
        <w:gridCol w:w="109"/>
        <w:gridCol w:w="109"/>
        <w:gridCol w:w="109"/>
        <w:gridCol w:w="235"/>
        <w:gridCol w:w="505"/>
        <w:gridCol w:w="131"/>
        <w:gridCol w:w="109"/>
        <w:gridCol w:w="109"/>
        <w:gridCol w:w="109"/>
        <w:gridCol w:w="196"/>
        <w:gridCol w:w="556"/>
        <w:gridCol w:w="109"/>
        <w:gridCol w:w="109"/>
        <w:gridCol w:w="109"/>
        <w:gridCol w:w="109"/>
        <w:gridCol w:w="292"/>
        <w:gridCol w:w="851"/>
        <w:gridCol w:w="163"/>
        <w:gridCol w:w="109"/>
        <w:gridCol w:w="109"/>
        <w:gridCol w:w="109"/>
        <w:gridCol w:w="251"/>
        <w:gridCol w:w="733"/>
        <w:gridCol w:w="142"/>
        <w:gridCol w:w="109"/>
        <w:gridCol w:w="109"/>
        <w:gridCol w:w="109"/>
        <w:gridCol w:w="295"/>
        <w:gridCol w:w="657"/>
        <w:gridCol w:w="234"/>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2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10,988 </w:t>
            </w:r>
          </w:p>
        </w:tc>
        <w:tc>
          <w:tcPr>
            <w:tcW w:w="2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7,038 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12,531 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19,506 </w:t>
            </w:r>
          </w:p>
        </w:tc>
        <w:tc>
          <w:tcPr>
            <w:tcW w:w="2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5e8c07171a347b98d612243002f33dc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tbl>
      <w:tblPr>
        <w:tblW w:w="10435" w:type="dxa"/>
        <w:jc w:val="left"/>
        <w:tblInd w:w="0" w:type="dxa"/>
        <w:tblLayout w:type="fixed"/>
        <w:tblCellMar>
          <w:top w:w="28" w:type="dxa"/>
          <w:left w:w="28" w:type="dxa"/>
          <w:bottom w:w="28" w:type="dxa"/>
          <w:right w:w="28" w:type="dxa"/>
        </w:tblCellMar>
      </w:tblPr>
      <w:tblGrid>
        <w:gridCol w:w="379"/>
        <w:gridCol w:w="320"/>
        <w:gridCol w:w="322"/>
        <w:gridCol w:w="239"/>
        <w:gridCol w:w="678"/>
        <w:gridCol w:w="134"/>
        <w:gridCol w:w="109"/>
        <w:gridCol w:w="109"/>
        <w:gridCol w:w="109"/>
        <w:gridCol w:w="239"/>
        <w:gridCol w:w="678"/>
        <w:gridCol w:w="134"/>
        <w:gridCol w:w="109"/>
        <w:gridCol w:w="109"/>
        <w:gridCol w:w="109"/>
        <w:gridCol w:w="235"/>
        <w:gridCol w:w="505"/>
        <w:gridCol w:w="131"/>
        <w:gridCol w:w="109"/>
        <w:gridCol w:w="109"/>
        <w:gridCol w:w="109"/>
        <w:gridCol w:w="196"/>
        <w:gridCol w:w="556"/>
        <w:gridCol w:w="109"/>
        <w:gridCol w:w="109"/>
        <w:gridCol w:w="109"/>
        <w:gridCol w:w="109"/>
        <w:gridCol w:w="269"/>
        <w:gridCol w:w="887"/>
        <w:gridCol w:w="150"/>
        <w:gridCol w:w="109"/>
        <w:gridCol w:w="109"/>
        <w:gridCol w:w="109"/>
        <w:gridCol w:w="251"/>
        <w:gridCol w:w="733"/>
        <w:gridCol w:w="142"/>
        <w:gridCol w:w="109"/>
        <w:gridCol w:w="109"/>
        <w:gridCol w:w="109"/>
        <w:gridCol w:w="233"/>
        <w:gridCol w:w="769"/>
        <w:gridCol w:w="184"/>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43,801 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43,801 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14,879 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48,672 </w:t>
            </w:r>
          </w:p>
        </w:tc>
        <w:tc>
          <w:tcPr>
            <w:tcW w:w="15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62,489 </w:t>
            </w:r>
          </w:p>
        </w:tc>
        <w:tc>
          <w:tcPr>
            <w:tcW w:w="18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(4,878)</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and transactions that occurred after September 30, 2023 through November 9, 2023, the date these condensed consolidated financial statement were available to be issued. In addition to those matters discussed in Note 6 – Notes Payable, the following is a summary of the significant events and transactions that took place during this period:</w:t>
      </w:r>
    </w:p>
    <w:p>
      <w:pPr>
        <w:pStyle w:val="TextBody"/>
        <w:bidi w:val="0"/>
        <w:spacing w:before="0" w:after="0"/>
        <w:ind w:left="0" w:right="0" w:firstLine="360"/>
        <w:jc w:val="both"/>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On October 13, 2023, Northsight Crossing AZ, LLC, a Caliber co-sponsored single asset syndication, sold Northsight Crossing for $27.4 million, resulting in cash proceeds of approximately $12.2 million, net of loan repayment, closing costs and fees, a gain on the sale of real estate of approximately $5.0 million, and a loss on the extinguishment of debt of approximately $0.2 million. The property was purchased in January 2022 for $21.1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Prospectus on Form 424(b)(4) filed with the SEC on May 17, 2023. Capitalized terms used herein, but not otherwise defined, shall have the meaning ascribed to those terms in the “Part I - Financial Information,” including the related notes to the condensed consolidated financial statements contained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is a leading vertically integrated asset management firm whose primary goal is to enhance the wealth of investors seeking to make investments in middle-market assets. We strive to build wealth for our investor clients by creating, managing, and servicing proprietary products including middle-market investment funds, private syndications, and direct investments. Our funds include investment vehicles focused primarily on real estate, private equity, and debt facilities. We earn asset management fees calculated as a percentage of managed capital in our Funds and Offerings. We market our services through direct sales to private investors, wholesaling to investment advisers, direct sales to family offices and institutions, and through in-house client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primarily act as an alternative asset manager, we also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believe our model allows us to acquire attractive projects, reduce operating costs, and deliver services to our funds that bolster net returns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organized into three reportable segments for management and financial reporting purposes: Fund Management, Development, and 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 This segment represents our fund management activities along with back office and corporate support functions including accounting and human resources. It includes the activities of Caliber Services, which acts as an external manager of our funds, which have diversified investment objectives. It also includes the activities associated with Caliber Securities, a wholly-owned Arizona registered issuer-dealer, which generates fees from set-up services and fund formation. We earn fund management fees for services rendered to each of the funds by Caliber Services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Asset Management Fee</w:t>
      </w:r>
      <w:r>
        <w:rPr>
          <w:rFonts w:ascii="Times New Roman;sans-serif" w:hAnsi="Times New Roman;sans-serif"/>
          <w:b w:val="false"/>
          <w:color w:val="000000"/>
          <w:sz w:val="20"/>
        </w:rPr>
        <w:t>. We receive an annual asset management fee typically equal to 1.0% to 1.5% of the non-affiliated capital contributions related to the assets owned by the particular fund to compensate us for the overall administration of that fund. These management fees are payable regularly, generally on a monthly basis, pursuant to our management agreement with each fund.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Performance Allocations. </w:t>
      </w:r>
      <w:r>
        <w:rPr>
          <w:rFonts w:ascii="Times New Roman;sans-serif" w:hAnsi="Times New Roman;sans-serif"/>
          <w:b w:val="false"/>
          <w:color w:val="000000"/>
          <w:sz w:val="20"/>
        </w:rPr>
        <w:t>We are entitled to an allocation of the income allocable to the limited partners or members of each fund for returns above accumulated and unpaid priority preferred returns and repayment of preferred capital contributions (the “Hurdle Rate”), commonly referred to as carried interest. Performance allocations are an important element of our business and have historically accounted for a material portion of our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fund, we typically receive a carried interest of 15.0% to 35.0%, depending on the fund, of all cash distributions from (i) the operating cash flow of each fund above the Hurdle Rate and (ii) the cash flow resulting from the sale or refinancing of any investments held by our funds after payment of the related fund’s investors unpaid priority preferred returns and Hurdle Rate. Our funds’ preferred returns range from 6.0% to 12.0%.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Financing Fee</w:t>
      </w:r>
      <w:r>
        <w:rPr>
          <w:rFonts w:ascii="Times New Roman;sans-serif" w:hAnsi="Times New Roman;sans-serif"/>
          <w:b w:val="false"/>
          <w:color w:val="000000"/>
          <w:sz w:val="20"/>
        </w:rPr>
        <w:t>. We earn a fee upon the closing of a loan by our investment funds with a third-party lender to compensate us for the services performed and costs incurred in securing the financing. This is typically a fixed fee arrangement which approximates no more than 1.0% of the total loan and will not exceed 3.0% of the total loan after considering all other origination fees charged by lenders and brokers involved in the transaction. Financing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Set-Up Fee. </w:t>
      </w:r>
      <w:r>
        <w:rPr>
          <w:rFonts w:ascii="Times New Roman;sans-serif" w:hAnsi="Times New Roman;sans-serif"/>
          <w:b w:val="false"/>
          <w:color w:val="000000"/>
          <w:sz w:val="20"/>
        </w:rPr>
        <w:t>We charge an initial one-time fee related to the initial formation, administration and set-up of the applicable fund. Set-up fees can be flat fees or a percentage of capital raised, typically 1.5% of capital raised or less.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Fund Formation Fee.</w:t>
      </w:r>
      <w:r>
        <w:rPr>
          <w:color w:val="000000"/>
        </w:rPr>
        <w:t> </w:t>
      </w:r>
      <w:r>
        <w:rPr>
          <w:rFonts w:ascii="Times New Roman;sans-serif" w:hAnsi="Times New Roman;sans-serif"/>
          <w:b w:val="false"/>
          <w:color w:val="000000"/>
          <w:sz w:val="20"/>
        </w:rPr>
        <w:t>Through Caliber Securities, we earn non-affiliated fees from raising capital for our funds. Our contracts with our funds are typically fixed fee arrangements which approximate no more than 3.5% on capital raised.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contractual terms of the relevant funds we manage, in addition to the fees noted above, Caliber is entitled to be reimbursed for its expenses, which are not to exceed non-affiliated third-party costs, related to services provided to the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 This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development, redevelopment, construction, and entitlement projects that are underway or are in the planning stages, which we define as AUD. This category includes projects we are planning to build on undeveloped land and projects to be built and constructed on undeveloped lands which are not yet owned by our funds but are under contract to purchase. Completing these development activities may ultimately result in income-producing assets, assets we can sell to third parties, or both. As of September 30, 2023, we are actively developing 2,460 multifamily units, 2,300 single family units, 2.5 million square feet of commercial and industrial, and 1.3 million square feet of office and retail. If all of these projects are brought to completion, the total cost capitalized to these projects, which represents total current estimated costs to complete the development and construction of such projects, is $2.2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assets under development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Brokerage — This segment is involved in the buying, selling and leasing of all our funds’ assets. For the three and nine months ended September 30, 2023, our brokerage segm</w:t>
      </w:r>
      <w:r>
        <w:rPr>
          <w:rFonts w:ascii="Times New Roman;sans-serif" w:hAnsi="Times New Roman;sans-serif"/>
          <w:b w:val="false"/>
          <w:color w:val="000000"/>
          <w:sz w:val="20"/>
          <w:shd w:fill="FFFFFF" w:val="clear"/>
        </w:rPr>
        <w:t>ent completed approximate</w:t>
      </w:r>
      <w:r>
        <w:rPr>
          <w:rFonts w:ascii="Times New Roman;sans-serif" w:hAnsi="Times New Roman;sans-serif"/>
          <w:b w:val="false"/>
          <w:color w:val="000000"/>
          <w:sz w:val="20"/>
        </w:rPr>
        <w:t>ly $6.0 million and $16.8 million, respectively, in transactions generating $0.1 million and $0.4 million of brokerage fees, respectively. For the three and nine months ended September 30, 2022, our brokerage segment completed approximately $2.2 million and $63.1 million, respectively, in transactions generating $0.1 million and $0.9 million of brokerage fees,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is driven by trends which affect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Capital formation:</w:t>
      </w:r>
      <w:r>
        <w:rPr>
          <w:color w:val="000000"/>
        </w:rPr>
        <w:t> </w:t>
      </w:r>
      <w:r>
        <w:rPr>
          <w:rFonts w:ascii="Times New Roman;sans-serif" w:hAnsi="Times New Roman;sans-serif"/>
          <w:b w:val="false"/>
          <w:color w:val="000000"/>
          <w:sz w:val="20"/>
        </w:rPr>
        <w:t>any trend which increases or decreases investors’ knowledge of alternative investments, desire to acquire them, access to acquire them, and knowledge and appreciation of Caliber as a potential provider, will affect our ability to attract and raise new capital. Capital formation also drives investment acquisitions, which contribute to Caliber’s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Investment acquisition:</w:t>
      </w:r>
      <w:r>
        <w:rPr>
          <w:color w:val="000000"/>
        </w:rPr>
        <w:t> </w:t>
      </w:r>
      <w:r>
        <w:rPr>
          <w:rFonts w:ascii="Times New Roman;sans-serif" w:hAnsi="Times New Roman;sans-serif"/>
          <w:b w:val="false"/>
          <w:color w:val="000000"/>
          <w:sz w:val="20"/>
        </w:rPr>
        <w:t>any trend which increases or decreases the supply of middle-market real estate projects or loans, the accessibility of 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Project execution:</w:t>
      </w:r>
      <w:r>
        <w:rPr>
          <w:color w:val="000000"/>
        </w:rPr>
        <w:t> </w:t>
      </w:r>
      <w:r>
        <w:rPr>
          <w:rFonts w:ascii="Times New Roman;sans-serif" w:hAnsi="Times New Roman;sans-serif"/>
          <w:b w:val="false"/>
          <w:color w:val="000000"/>
          <w:sz w:val="20"/>
        </w:rPr>
        <w:t>any trend which increases or decreases the costs of execution on a real estate project, including materials pricing, labor pricing, access to materials, delays due to governmental action, and the general labor market, will affect Caliber’s ability to generate revenues.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 depends in large part on our ability to raise capital for our funds from investors. Since our inception, we have continued to successfully raise capital into our funds with our total capital raised through September 30, 2023 of approxi</w:t>
      </w:r>
      <w:r>
        <w:rPr>
          <w:rFonts w:ascii="Times New Roman;sans-serif" w:hAnsi="Times New Roman;sans-serif"/>
          <w:b w:val="false"/>
          <w:color w:val="000000"/>
          <w:sz w:val="20"/>
          <w:shd w:fill="FFFFFF" w:val="clear"/>
        </w:rPr>
        <w:t xml:space="preserve">mately </w:t>
      </w:r>
      <w:r>
        <w:rPr>
          <w:rFonts w:ascii="Times New Roman;sans-serif" w:hAnsi="Times New Roman;sans-serif"/>
          <w:b w:val="false"/>
          <w:color w:val="000000"/>
          <w:sz w:val="20"/>
        </w:rPr>
        <w:t>$650.5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had historical successes, there can be no assurance that fundraising for our new and existing funds will experience similar success. If we were unable to raise such capital, we would be unable to collect capital raise fees or deploy such capital into investments, which would materially reduce our revenues and cash flow and adversely affect our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for our Development segment.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3.7% in September 2023. As a result, from January 1, 2022 through September 20, 2023, the Federal Reserve increased the federal funds rate by 525 basis points and has indicated its intention to continue to increase interest rates in an effort to combat inflation.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Financial Measures and Indicators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from (i) asset management fees, (ii) performance allocations and (iii) advisory and transaction services. Included within our consolidated results, are the related revenues of certain consolidated VIEs.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include interest expense and interest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condensed consolidated results of operations for the three months ended September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92"/>
        <w:gridCol w:w="1298"/>
        <w:gridCol w:w="1310"/>
        <w:gridCol w:w="284"/>
        <w:gridCol w:w="928"/>
        <w:gridCol w:w="146"/>
        <w:gridCol w:w="146"/>
        <w:gridCol w:w="146"/>
        <w:gridCol w:w="146"/>
        <w:gridCol w:w="284"/>
        <w:gridCol w:w="831"/>
        <w:gridCol w:w="146"/>
        <w:gridCol w:w="109"/>
        <w:gridCol w:w="109"/>
        <w:gridCol w:w="109"/>
        <w:gridCol w:w="211"/>
        <w:gridCol w:w="687"/>
        <w:gridCol w:w="109"/>
        <w:gridCol w:w="109"/>
        <w:gridCol w:w="109"/>
        <w:gridCol w:w="109"/>
        <w:gridCol w:w="381"/>
        <w:gridCol w:w="385"/>
        <w:gridCol w:w="621"/>
      </w:tblGrid>
      <w:tr>
        <w:trPr/>
        <w:tc>
          <w:tcPr>
            <w:tcW w:w="14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5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1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4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4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6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hospitality expenses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other expenses</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10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income taxes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2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62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total revenues were $17.0 million and $19.5 million, respectively, representing a period-over-period decrease of 12.7%. This decrease was primarily due to a decrease of $4.8 million in consolidated transaction and advisory fees, representing a period-over-period decrease of 82.3%, due to $4.4 million of organization and offering fees earned for services performed in conjunction with the formation of Caliber Tax Advantaged Opportunity Zone Fund II, LLC during the three months ended September 30, 2022, offset by an increase in consolidated fund revenues, primarily from Hilton Tucson East which was consolidated during the three months ended March 31, 2023.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total expenses were $28.4 million and $21.4 million, respectively, representing a period-over-period increase of 32.9%. The increase was primarily due to an increase in consolidated fund related expenses from Hilton Tucson East, which was consolidated during the three months ended March 31, 2023, and rising labor costs and variable costs associated with increased revenue, such as management and franchise fees and loyalty program costs. In addition, the increase in operating costs was primarily due to an increase in payroll costs related to increased headcount and cost of human capital driven by the Company’s growth initiatives, as the Company looks to enhance its capabilities across all lines of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interest expense was $1.3 million and $0.3 million, respectively. The increase was primarily due to the increase in corporate notes outstanding during the three months ended September 30, 2023,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specific to our various segments for the three months ended September 30, 2023 and 2022. Our segment information is presented in a format consistent with the information senior management uses to make operating decisions, assess performance and allocate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revenues and expenses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 Furthermore, segment expenses are also different than those presented on a consolidated U.S. GAAP basis due to the exclusion of fund expenses that are paid by the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Fund Management segment (in thousands):</w:t>
      </w:r>
    </w:p>
    <w:p>
      <w:pPr>
        <w:pStyle w:val="TextBody"/>
        <w:bidi w:val="0"/>
        <w:spacing w:before="0" w:after="0"/>
        <w:jc w:val="both"/>
        <w:rPr/>
      </w:pPr>
      <w:r>
        <w:rPr/>
      </w:r>
    </w:p>
    <w:tbl>
      <w:tblPr>
        <w:tblW w:w="8784" w:type="dxa"/>
        <w:jc w:val="left"/>
        <w:tblInd w:w="0" w:type="dxa"/>
        <w:tblLayout w:type="fixed"/>
        <w:tblCellMar>
          <w:top w:w="28" w:type="dxa"/>
          <w:left w:w="28" w:type="dxa"/>
          <w:bottom w:w="28" w:type="dxa"/>
          <w:right w:w="28" w:type="dxa"/>
        </w:tblCellMar>
      </w:tblPr>
      <w:tblGrid>
        <w:gridCol w:w="976"/>
        <w:gridCol w:w="857"/>
        <w:gridCol w:w="866"/>
        <w:gridCol w:w="289"/>
        <w:gridCol w:w="948"/>
        <w:gridCol w:w="149"/>
        <w:gridCol w:w="149"/>
        <w:gridCol w:w="149"/>
        <w:gridCol w:w="149"/>
        <w:gridCol w:w="289"/>
        <w:gridCol w:w="845"/>
        <w:gridCol w:w="149"/>
        <w:gridCol w:w="109"/>
        <w:gridCol w:w="109"/>
        <w:gridCol w:w="109"/>
        <w:gridCol w:w="211"/>
        <w:gridCol w:w="691"/>
        <w:gridCol w:w="109"/>
        <w:gridCol w:w="109"/>
        <w:gridCol w:w="109"/>
        <w:gridCol w:w="109"/>
        <w:gridCol w:w="342"/>
        <w:gridCol w:w="348"/>
        <w:gridCol w:w="614"/>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transaction and advisory fees were $0.6 million and $5.0 million, respectively, representing a period-over-period decrease of 88.8%. The decrease was primarily related to $4.4 million of organization and offering fees earned for services performed in conjunction with the formation of Caliber Tax Advantaged Opportunity Zone Fund II, LLC during the three months ended September 30, 2022, compared to $0.4 million of such fees earned during the three months ended September 30, 2023, offset by an increase in fund administration fees for the three months ended September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total expenses were $6.0 million and $4.1 million, respectively, representing a period-over-period increase of 45.4%. The increase was primarily due to an increase in operating costs from additional payroll associated with increased headcount and cost of human capital driven by the Company’s growth initiatives, as the Company looks to enhance its capabilities across all lines of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interest expense was $1.1 million and $0.3 million, respectively. The increase was primarily due to the increase in corporate notes outstanding during the three months ended September 30, 2023, as compared to the same period in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interest income was $0.7 million, which represents the interest earned on various related party notes receivable that were entered into subsequent to June 30, 2022.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Development segment (in thousands):</w:t>
      </w:r>
    </w:p>
    <w:p>
      <w:pPr>
        <w:pStyle w:val="TextBody"/>
        <w:bidi w:val="0"/>
        <w:spacing w:before="0" w:after="0"/>
        <w:jc w:val="both"/>
        <w:rPr/>
      </w:pPr>
      <w:r>
        <w:rPr/>
      </w:r>
    </w:p>
    <w:tbl>
      <w:tblPr>
        <w:tblW w:w="8573" w:type="dxa"/>
        <w:jc w:val="left"/>
        <w:tblInd w:w="0" w:type="dxa"/>
        <w:tblLayout w:type="fixed"/>
        <w:tblCellMar>
          <w:top w:w="28" w:type="dxa"/>
          <w:left w:w="28" w:type="dxa"/>
          <w:bottom w:w="28" w:type="dxa"/>
          <w:right w:w="28" w:type="dxa"/>
        </w:tblCellMar>
      </w:tblPr>
      <w:tblGrid>
        <w:gridCol w:w="939"/>
        <w:gridCol w:w="823"/>
        <w:gridCol w:w="833"/>
        <w:gridCol w:w="321"/>
        <w:gridCol w:w="709"/>
        <w:gridCol w:w="166"/>
        <w:gridCol w:w="166"/>
        <w:gridCol w:w="166"/>
        <w:gridCol w:w="166"/>
        <w:gridCol w:w="321"/>
        <w:gridCol w:w="938"/>
        <w:gridCol w:w="166"/>
        <w:gridCol w:w="109"/>
        <w:gridCol w:w="109"/>
        <w:gridCol w:w="109"/>
        <w:gridCol w:w="237"/>
        <w:gridCol w:w="541"/>
        <w:gridCol w:w="123"/>
        <w:gridCol w:w="109"/>
        <w:gridCol w:w="109"/>
        <w:gridCol w:w="109"/>
        <w:gridCol w:w="344"/>
        <w:gridCol w:w="34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transaction and advisory fees were $0.5 million and $1.2 million, respectively, representing a period-over-period decrease of 56.3%. The decrease is primarily due to a decrease in development fees related to one commercial development project in Arizona during the three months ended September 30, 2023,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Brokerage segment (in thousands):</w:t>
      </w:r>
    </w:p>
    <w:p>
      <w:pPr>
        <w:pStyle w:val="TextBody"/>
        <w:bidi w:val="0"/>
        <w:spacing w:before="0" w:after="0"/>
        <w:jc w:val="both"/>
        <w:rPr/>
      </w:pPr>
      <w:r>
        <w:rPr/>
      </w:r>
    </w:p>
    <w:tbl>
      <w:tblPr>
        <w:tblW w:w="8602" w:type="dxa"/>
        <w:jc w:val="left"/>
        <w:tblInd w:w="0" w:type="dxa"/>
        <w:tblLayout w:type="fixed"/>
        <w:tblCellMar>
          <w:top w:w="28" w:type="dxa"/>
          <w:left w:w="28" w:type="dxa"/>
          <w:bottom w:w="28" w:type="dxa"/>
          <w:right w:w="28" w:type="dxa"/>
        </w:tblCellMar>
      </w:tblPr>
      <w:tblGrid>
        <w:gridCol w:w="939"/>
        <w:gridCol w:w="823"/>
        <w:gridCol w:w="833"/>
        <w:gridCol w:w="346"/>
        <w:gridCol w:w="765"/>
        <w:gridCol w:w="179"/>
        <w:gridCol w:w="179"/>
        <w:gridCol w:w="179"/>
        <w:gridCol w:w="179"/>
        <w:gridCol w:w="346"/>
        <w:gridCol w:w="765"/>
        <w:gridCol w:w="179"/>
        <w:gridCol w:w="109"/>
        <w:gridCol w:w="109"/>
        <w:gridCol w:w="109"/>
        <w:gridCol w:w="237"/>
        <w:gridCol w:w="541"/>
        <w:gridCol w:w="123"/>
        <w:gridCol w:w="109"/>
        <w:gridCol w:w="109"/>
        <w:gridCol w:w="109"/>
        <w:gridCol w:w="359"/>
        <w:gridCol w:w="362"/>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costs, primarily related to repairs and maintenance, depreciation expense and other income, net, which includes rental revenue, increased due to the acquisition of the Company’s headquarters office building in 2023. Interest expense increased due to the note assumed in conjunction with the headquarters office building acquisition.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condensed consolidated results of operations for the nine months ended September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67"/>
        <w:gridCol w:w="1334"/>
        <w:gridCol w:w="1347"/>
        <w:gridCol w:w="254"/>
        <w:gridCol w:w="950"/>
        <w:gridCol w:w="131"/>
        <w:gridCol w:w="131"/>
        <w:gridCol w:w="131"/>
        <w:gridCol w:w="131"/>
        <w:gridCol w:w="254"/>
        <w:gridCol w:w="744"/>
        <w:gridCol w:w="131"/>
        <w:gridCol w:w="109"/>
        <w:gridCol w:w="109"/>
        <w:gridCol w:w="109"/>
        <w:gridCol w:w="211"/>
        <w:gridCol w:w="783"/>
        <w:gridCol w:w="109"/>
        <w:gridCol w:w="109"/>
        <w:gridCol w:w="109"/>
        <w:gridCol w:w="109"/>
        <w:gridCol w:w="359"/>
        <w:gridCol w:w="362"/>
        <w:gridCol w:w="622"/>
      </w:tblGrid>
      <w:tr>
        <w:trPr/>
        <w:tc>
          <w:tcPr>
            <w:tcW w:w="156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3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0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66,992 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62,489 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hospitality expenses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other expenses</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before income taxes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2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14,561 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total revenues were $67.0 million and $62.5 million, respectively, representing a period-over-period increase of 7.2%. This increase was due to an increase in revenues in our consolidated fund hotel assets resulting from increased occupancy rates and higher average daily rates and from revenues from Hilton Tucson East which was consolidated during the nine months ended September 30, 2023, offset by a $5.1 million, or 36.9%, decrease in consolidated asset management fees, performance allocations, and transaction and advisory fees, which primarily relates to $4.4 million of organization and offering fees earned for services performed in conjunction with the formation of Caliber Tax Advantaged Opportunity Zone Fund II, LLC during the nine months ended September 30, 2023.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total expenses were $88.8 million and $66.1 million, respectively, representing a period-over-period increase of 34.5%. The increase was primarily due to an increase in consolidated fund related expenses due to rising labor costs and variable costs associated with increased revenue, such as management and franchise fees and loyalty program costs, and from operating expenses from Hilton Tucson East, which was consolidated during the nine months ended September 30, 2023. In addition, there was an increase in operating costs from (i) additional payroll associated with increased headcount and cost of human capital driven by the Company’s growth initiatives, as the Company looks to enhance its capabilities across all lines of service, (ii) an increase in bonus expense due to the timing of bonus accruals during the nine months ended September 30, 2023 as compared to 2022, and (iii) an increase in stock compensation expense for restricted stock units that vested upon the closing of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consolidated funds – gain on sale of real estate investments includes the gain recognized in 2022 on the sale of GC Square Apartments for $21.5 million, a multi-family property with a cost basis of $9.1 million. The sale drove the majority of our performance allocations for the nine months ended September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interest expense was $3.4 million and $0.7 million, respectively. The increase was primarily due to the increase in corporate notes outstanding during the nine months ended September 30, 2023, as compared to the same period in 2022. In addition, there was one real estate note outstanding during the nine months ended September 30, 2023 with no comparable real estate notes outstanding during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specific to our various segments for the nine months ended September 30, 2023 and 2022. Our segment information is presented in a format consistent with the information senior management uses to make operating decisions, assess performance and allocate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revenues and expenses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 Furthermore, segment expenses are also different than those presented on a consolidated U.S. GAAP basis due to the exclusion of fund expenses that are paid by the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Fund Management segment (in thousands):</w:t>
      </w:r>
    </w:p>
    <w:p>
      <w:pPr>
        <w:pStyle w:val="TextBody"/>
        <w:bidi w:val="0"/>
        <w:spacing w:before="0" w:after="0"/>
        <w:jc w:val="both"/>
        <w:rPr/>
      </w:pPr>
      <w:r>
        <w:rPr/>
      </w:r>
    </w:p>
    <w:tbl>
      <w:tblPr>
        <w:tblW w:w="8802" w:type="dxa"/>
        <w:jc w:val="left"/>
        <w:tblInd w:w="0" w:type="dxa"/>
        <w:tblLayout w:type="fixed"/>
        <w:tblCellMar>
          <w:top w:w="28" w:type="dxa"/>
          <w:left w:w="28" w:type="dxa"/>
          <w:bottom w:w="28" w:type="dxa"/>
          <w:right w:w="28" w:type="dxa"/>
        </w:tblCellMar>
      </w:tblPr>
      <w:tblGrid>
        <w:gridCol w:w="976"/>
        <w:gridCol w:w="857"/>
        <w:gridCol w:w="866"/>
        <w:gridCol w:w="266"/>
        <w:gridCol w:w="1004"/>
        <w:gridCol w:w="137"/>
        <w:gridCol w:w="137"/>
        <w:gridCol w:w="137"/>
        <w:gridCol w:w="137"/>
        <w:gridCol w:w="266"/>
        <w:gridCol w:w="777"/>
        <w:gridCol w:w="137"/>
        <w:gridCol w:w="109"/>
        <w:gridCol w:w="109"/>
        <w:gridCol w:w="109"/>
        <w:gridCol w:w="211"/>
        <w:gridCol w:w="796"/>
        <w:gridCol w:w="109"/>
        <w:gridCol w:w="109"/>
        <w:gridCol w:w="109"/>
        <w:gridCol w:w="109"/>
        <w:gridCol w:w="357"/>
        <w:gridCol w:w="364"/>
        <w:gridCol w:w="614"/>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asset management fees were $7.1 million and $6.1 million, respectively, representing a period-over-period increase of 16.4%. The increase was primarily due to an increase in 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performance allocations were $2.5 million, which represents the carried interest earned related to the contribution of the hospitality assets to Caliber Hospitality, LP in March 2023. For the nine months ended September 30, 2022, performance allocations were $2.5 million, which represents the carried interest earned related to the sale of the GC Square Apartments multi-family property in March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and 2022, transaction and advisory fees were $1.1 million and $6.3 million, respectively, representing a period-over-period decrease of 82.1%. The decrease was primarily related to $4.4 million of organization and offering fees earned for services performed in conjunction with the formation of Caliber Tax Advantaged Opportunity Zone Fund II, LLC during the nine months ended September 30, 2023, compared to $0.4 million of such fees earned during the nine months ended September 30, 2022 and a decrease in capital raise fees.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operating costs were $14.2 million and $7.0 million, respectively, representing a period-over-period increase of 102.1%. This increase was primarily due to an increase in payroll costs related to increased headcount and cost of human capital driven by the Company’s growth initiatives, as the Company looks to enhance its capabilities across all lines of service. In addition, there was an increase in bonus expense of $1.7 million due to the timing of bonus accruals during the nine months ended September 30, 2023 as compared to 2022 and an increase in stock compensation expense of $2.6 million for restricted stock units that vested upon the closing of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general and administrative expenses were $4.4 million and $5.2 million, respectively, representing a period-over-period decrease of 15.6%. The decrease was primarily due to a legal settlement and related legal costs incurred during the nine months ended September 30, 2022 and a decrease in accounting and other legal fees incurred during the nine months ended September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interest expense, net of gain on extinguishment of debt, was $2.9 million and $0.6 million, respectively. The increase was due to the gain on extinguishment of debt recognized during the nine months ended September 30, 2022 on the forgiveness of a PPP loan of $1.4 million principal, plus accrued interest. primarily and due to the increase in corporate notes outstanding during the nine months ended September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interest income was $1.5 million, which represents the interest earned on various related party notes receivable. There was $0.1 million interest income for the nine months ended September 30, 2022 as the related party notes receivable were entered into subsequent to June 30, 2023.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Development segment (in thousands):</w:t>
      </w:r>
    </w:p>
    <w:p>
      <w:pPr>
        <w:pStyle w:val="TextBody"/>
        <w:bidi w:val="0"/>
        <w:spacing w:before="0" w:after="0"/>
        <w:jc w:val="both"/>
        <w:rPr/>
      </w:pPr>
      <w:r>
        <w:rPr/>
      </w:r>
    </w:p>
    <w:tbl>
      <w:tblPr>
        <w:tblW w:w="8448" w:type="dxa"/>
        <w:jc w:val="left"/>
        <w:tblInd w:w="0" w:type="dxa"/>
        <w:tblLayout w:type="fixed"/>
        <w:tblCellMar>
          <w:top w:w="28" w:type="dxa"/>
          <w:left w:w="28" w:type="dxa"/>
          <w:bottom w:w="28" w:type="dxa"/>
          <w:right w:w="28" w:type="dxa"/>
        </w:tblCellMar>
      </w:tblPr>
      <w:tblGrid>
        <w:gridCol w:w="939"/>
        <w:gridCol w:w="823"/>
        <w:gridCol w:w="833"/>
        <w:gridCol w:w="287"/>
        <w:gridCol w:w="840"/>
        <w:gridCol w:w="148"/>
        <w:gridCol w:w="148"/>
        <w:gridCol w:w="148"/>
        <w:gridCol w:w="148"/>
        <w:gridCol w:w="287"/>
        <w:gridCol w:w="840"/>
        <w:gridCol w:w="148"/>
        <w:gridCol w:w="109"/>
        <w:gridCol w:w="109"/>
        <w:gridCol w:w="109"/>
        <w:gridCol w:w="237"/>
        <w:gridCol w:w="541"/>
        <w:gridCol w:w="123"/>
        <w:gridCol w:w="109"/>
        <w:gridCol w:w="109"/>
        <w:gridCol w:w="109"/>
        <w:gridCol w:w="344"/>
        <w:gridCol w:w="34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and 2022, transaction and advisory fees were $2.1 million and $2.6 million, respectively, representing a period-over-period decrease of 18.0%. The decrease is primarily due to completing development projects in late 2022 and early 2023, offset by new development projects and increased construction activity at ongoing development projects.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Brokerage segment (in thousands):</w:t>
      </w:r>
    </w:p>
    <w:p>
      <w:pPr>
        <w:pStyle w:val="TextBody"/>
        <w:bidi w:val="0"/>
        <w:spacing w:before="0" w:after="0"/>
        <w:jc w:val="both"/>
        <w:rPr/>
      </w:pPr>
      <w:r>
        <w:rPr/>
      </w:r>
    </w:p>
    <w:tbl>
      <w:tblPr>
        <w:tblW w:w="8595" w:type="dxa"/>
        <w:jc w:val="left"/>
        <w:tblInd w:w="0" w:type="dxa"/>
        <w:tblLayout w:type="fixed"/>
        <w:tblCellMar>
          <w:top w:w="28" w:type="dxa"/>
          <w:left w:w="28" w:type="dxa"/>
          <w:bottom w:w="28" w:type="dxa"/>
          <w:right w:w="28" w:type="dxa"/>
        </w:tblCellMar>
      </w:tblPr>
      <w:tblGrid>
        <w:gridCol w:w="939"/>
        <w:gridCol w:w="823"/>
        <w:gridCol w:w="833"/>
        <w:gridCol w:w="298"/>
        <w:gridCol w:w="764"/>
        <w:gridCol w:w="154"/>
        <w:gridCol w:w="154"/>
        <w:gridCol w:w="154"/>
        <w:gridCol w:w="154"/>
        <w:gridCol w:w="298"/>
        <w:gridCol w:w="870"/>
        <w:gridCol w:w="154"/>
        <w:gridCol w:w="109"/>
        <w:gridCol w:w="109"/>
        <w:gridCol w:w="109"/>
        <w:gridCol w:w="211"/>
        <w:gridCol w:w="691"/>
        <w:gridCol w:w="109"/>
        <w:gridCol w:w="109"/>
        <w:gridCol w:w="109"/>
        <w:gridCol w:w="109"/>
        <w:gridCol w:w="360"/>
        <w:gridCol w:w="361"/>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transaction and advisory fees were $0.6 million and $1.2 million, respectively. The decrease is primarily related to a decrease of brokerage transactions, which were $16.8 million during the nine months ended September 30, 2023, as compared to $63.1 million during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interest expense included interest related to one real estate note outstanding during the nine months ended September 30, 2023 with no comparable real estate notes outstanding during the same period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Valuations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a number of inputs built within forecasting models which are either developed by a third party or by our internal finance team.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The majority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underlying factors that led to the change in fair value in the current year, we identify assets that are undervalued and/or underperforming at the time of acquisition. Such assets generally undergo some form of repositioning soon after our acquisition in order to help drive increased appreciation and operating performance. Once the repositioning is complete, we focus on increasing the asset’s net operating income, thereby further increasing the value of the asset. Making below-market acquisitions, adding value through development activities, and increasing free cash flow with proper management all represent a material component to our core business model.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Under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AUM refers to the assets we manage or sponsor. We monitor two types of information with regard to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i.Managed Capital – we define this as the total equity capital raised from investors in our funds at any point in time. We use this information to monitor, among other things, the amount of ‘preferred return’ that would be paid at the time of a distribution and the potential to earn a performance fee over and above the preferred return at the time of the distribution. Our asset management fees are based on a percentage of managed capital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September 30, 2023, we had total FV AUM of approximately $822.5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of the managed capital for the nine months ended September 30, 2023 (in thousands):</w:t>
      </w:r>
    </w:p>
    <w:tbl>
      <w:tblPr>
        <w:tblW w:w="4887"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287"/>
        <w:gridCol w:w="1124"/>
        <w:gridCol w:w="20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Managed Capital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412,446 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managed capital for our investment fund portfolios as of September 30, 2023 and December 31, 2022 (in thousands):</w:t>
      </w:r>
    </w:p>
    <w:p>
      <w:pPr>
        <w:pStyle w:val="TextBody"/>
        <w:bidi w:val="0"/>
        <w:spacing w:before="0" w:after="0"/>
        <w:jc w:val="both"/>
        <w:rPr/>
      </w:pPr>
      <w:r>
        <w:rPr/>
      </w:r>
    </w:p>
    <w:tbl>
      <w:tblPr>
        <w:tblW w:w="5381" w:type="dxa"/>
        <w:jc w:val="left"/>
        <w:tblInd w:w="0" w:type="dxa"/>
        <w:tblLayout w:type="fixed"/>
        <w:tblCellMar>
          <w:top w:w="28" w:type="dxa"/>
          <w:left w:w="28" w:type="dxa"/>
          <w:bottom w:w="28" w:type="dxa"/>
          <w:right w:w="28" w:type="dxa"/>
        </w:tblCellMar>
      </w:tblPr>
      <w:tblGrid>
        <w:gridCol w:w="547"/>
        <w:gridCol w:w="480"/>
        <w:gridCol w:w="488"/>
        <w:gridCol w:w="326"/>
        <w:gridCol w:w="1276"/>
        <w:gridCol w:w="168"/>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(1)</w:t>
            </w:r>
            <w:r>
              <w:rPr>
                <w:color w:val="000000"/>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r>
              <w:rPr>
                <w:color w:val="000000"/>
              </w:rPr>
              <w:t> </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412,446 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(1)Credit managed capital represents loans made to Caliber’s investment funds by our diversified credit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(2)Other managed capital represents undeployed capital held in our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hospitality funds decreased by $1.0 million during the nine months ended September 30, 2023, due to the $5.0 million purchase of Caliber Hospitality Trust’s Class A non-voting preferred stock, which was offset by a $6.0 million decrease when hotel operations ceased at the Four Points by Sheraton hotel, as the Company is converting the property into a multi-family residential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residential investment funds increased by $9.7 million during the nine months ended September 30, 2023, due to the planned conversion of the Four Points by Sheraton hotel discussed above and $9.2 million in capital raised into our residential assets, offset by $5.5 million of redemptions by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commercial investment funds increased $19.6 million during the nine months ended September 30, 2023, representing: (i) $6.3 million in capital raised into our commercial assets, and (ii) $13.3 million contributed by our diversified funds, to support seven commercial ground-up builds and acquisitions in Arizona. The scope of investments included tenant improvements, land development, and acquiring existing operating commercial properties.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raised $19.6 million of new capital into Caliber Fixed Income Fund III, LP (“CFIF III”) and deployed it into our various real estate investments, which was offset by $15.6 million of repayments of the notes receivable. We also deployed $11.1 million directly into new investments in the form of notes receivable, which was offset by $10.1 million of repayments of the 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held $11.2 million of other managed capital, which included a $3.2 million private equity investment in a local start-up business and $8.0 million of undeployed cash and pursuit costs, compared to $15.3 million of other managed capital, which included a $3.2 million private equity investment in a local start-up business and $12.1 million of undeployed cash and pursuit costs held as of December 31,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FV AUM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shd w:fill="FFFFFF" w:val="clear"/>
        </w:rPr>
        <w:t>As the economy continued to recover, our FV AUM increased. T</w:t>
      </w:r>
      <w:r>
        <w:rPr>
          <w:rFonts w:ascii="Times New Roman;sans-serif" w:hAnsi="Times New Roman;sans-serif"/>
          <w:b w:val="false"/>
          <w:color w:val="231F20"/>
          <w:sz w:val="20"/>
        </w:rPr>
        <w:t>he table below details the activities that had an impact on our FV AUM, during the nine months ended September 30, 2023 (in thousands).</w:t>
      </w:r>
    </w:p>
    <w:p>
      <w:pPr>
        <w:pStyle w:val="TextBody"/>
        <w:bidi w:val="0"/>
        <w:spacing w:before="0" w:after="0"/>
        <w:jc w:val="both"/>
        <w:rPr/>
      </w:pPr>
      <w:r>
        <w:rPr/>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FV AUM of our investment fund portfolios as of September 30, 2023 and December 31, 2022 (in thousands):</w:t>
      </w:r>
    </w:p>
    <w:p>
      <w:pPr>
        <w:pStyle w:val="TextBody"/>
        <w:bidi w:val="0"/>
        <w:spacing w:before="0" w:after="0"/>
        <w:jc w:val="both"/>
        <w:rPr/>
      </w:pPr>
      <w:r>
        <w:rPr/>
      </w:r>
    </w:p>
    <w:tbl>
      <w:tblPr>
        <w:tblW w:w="5381" w:type="dxa"/>
        <w:jc w:val="left"/>
        <w:tblInd w:w="0" w:type="dxa"/>
        <w:tblLayout w:type="fixed"/>
        <w:tblCellMar>
          <w:top w:w="28" w:type="dxa"/>
          <w:left w:w="28" w:type="dxa"/>
          <w:bottom w:w="28" w:type="dxa"/>
          <w:right w:w="28" w:type="dxa"/>
        </w:tblCellMar>
      </w:tblPr>
      <w:tblGrid>
        <w:gridCol w:w="547"/>
        <w:gridCol w:w="480"/>
        <w:gridCol w:w="488"/>
        <w:gridCol w:w="326"/>
        <w:gridCol w:w="1276"/>
        <w:gridCol w:w="168"/>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(1)Assets acquired during the nine months ended September 30, 2023 include one development asset in Colorado, our headquarters office building, and two multi-family residential asset in Arizona.</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(2)Credit FV AUM represents loans made to Caliber’s investment funds by our diversified credit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(3)Other FV AUM represents undeployed capital held in our diversified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Consolidated EBITDA, Consolidated Adjusted EBITDA, and Caliber Adjusted EBITDA, which are not recognized financial measures under U.S. GAAP, as supplemental disclosures because we regularly review these measures to evaluate our funds, measure our performance, identify trends, formulate financial projections and make strategic decisions.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EBITDA represents the Company’s and the consolidated funds’ earnings before net interest expense, income taxes, depreciation and amortization. Consolidated Adjusted EBITDA represents Consolidated EBITDA as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Caliber Adjusted EBITDA represents Consolidated Adjusted EBITDA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When analyzing our operating performance, investors should use these measures in addition to, and not as an alternative for, their most directly comparable financial measure calculated and presented in accordance with U.S. GAAP. We generally use these non-U.S. GAAP financial measures to evaluate operating performance and for other discretionary purposes. We believe that these measures enhance the understanding of ongoing operations and comparability of current results to prior periods and may be useful for investors to analyze our financial performance because they eliminate the impact of selected charges that may obscure trends in the underlying performance of our business. Because not all companies use identical calculations, our presentation of Consolidated EBITDA, Consolidated Adjusted EBITDA, and Caliber Adjusted EBITDA may not be comparable to similarly identified measures of other companies.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Consolidated EBITDA, Consolidated Adjusted EBITDA, and Caliber Adjusted EBITDA are not intended to be measures of free cash flow for our discretionary use because they do not consider certain cash requirements such as tax and debt service payments.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a reconciliation of net (loss) income to </w:t>
      </w:r>
      <w:r>
        <w:rPr>
          <w:rFonts w:ascii="Times New Roman;sans-serif" w:hAnsi="Times New Roman;sans-serif"/>
          <w:b w:val="false"/>
          <w:color w:val="231F20"/>
          <w:sz w:val="20"/>
        </w:rPr>
        <w:t>Consolidated EBITDA, Consolidated Adjusted EBITDA, and Caliber Adjusted EBITDA</w:t>
      </w:r>
      <w:r>
        <w:rPr>
          <w:color w:val="000000"/>
        </w:rPr>
        <w:t xml:space="preserve"> </w:t>
      </w:r>
      <w:r>
        <w:rPr>
          <w:rFonts w:ascii="Times New Roman;sans-serif" w:hAnsi="Times New Roman;sans-serif"/>
          <w:b w:val="false"/>
          <w:color w:val="000000"/>
          <w:sz w:val="20"/>
        </w:rPr>
        <w:t>for the three and nine months ended September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10"/>
        <w:gridCol w:w="1269"/>
        <w:gridCol w:w="1221"/>
        <w:gridCol w:w="261"/>
        <w:gridCol w:w="973"/>
        <w:gridCol w:w="135"/>
        <w:gridCol w:w="135"/>
        <w:gridCol w:w="135"/>
        <w:gridCol w:w="135"/>
        <w:gridCol w:w="261"/>
        <w:gridCol w:w="781"/>
        <w:gridCol w:w="135"/>
        <w:gridCol w:w="109"/>
        <w:gridCol w:w="109"/>
        <w:gridCol w:w="109"/>
        <w:gridCol w:w="244"/>
        <w:gridCol w:w="911"/>
        <w:gridCol w:w="126"/>
        <w:gridCol w:w="126"/>
        <w:gridCol w:w="126"/>
        <w:gridCol w:w="126"/>
        <w:gridCol w:w="244"/>
        <w:gridCol w:w="837"/>
        <w:gridCol w:w="187"/>
      </w:tblGrid>
      <w:tr>
        <w:trPr/>
        <w:tc>
          <w:tcPr>
            <w:tcW w:w="151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00" w:type="dxa"/>
            <w:gridSpan w:val="3"/>
            <w:vMerge w:val="continue"/>
            <w:tcBorders/>
            <w:tcMar>
              <w:top w:w="0" w:type="dxa"/>
              <w:left w:w="0" w:type="dxa"/>
              <w:bottom w:w="0" w:type="dxa"/>
              <w:right w:w="0" w:type="dxa"/>
            </w:tcMar>
            <w:vAlign w:val="center"/>
          </w:tcPr>
          <w:p>
            <w:pPr>
              <w:pStyle w:val="Normal"/>
              <w:bidi w:val="0"/>
              <w:jc w:val="left"/>
              <w:rPr/>
            </w:pPr>
            <w:r>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EBITDA adjustments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EBITDA</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(3,556)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4,500</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34,213</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buy-back</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costs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registration costs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(3,157)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36,123</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eliminations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Adjusted EBITDA eliminations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 Adjusted EBITDA</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(1,511)</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5,659</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(2,804)</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7,285</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guarantees of loans held by its consolidated funds, has five separate loans outstanding with maturity dates within the 12-month period subsequent to when these financial statements were issued with outside lenders totaling $28.8 million at September 30, 2023. Management is actively managing the potential amendments to the applicable loan agreements to include additional extension options, pay off or refinancing of these facilities. Management believes that we will be able to come to an agreement with the respective lenders in order to mitigate any defaults or enter into new financing arrangements with third-party lenders. See Note 6 – Notes Payable for additional details. As of December 31, 2022, the Company, through guarantees of loans held by its consolidated funds, had five separate loans outstanding with maturity dates within the 12-month period subsequent to December 31, 2022 with outside lenders totaling $28.8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our excess unrestricted cash in bank accounts with several high-quality financial institutions. We believe that our current capital position is sufficient to meet our current liquidity needs for at least the next 12 months.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Equity Financings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Since inception through September 30, 2023, we have raised approxima</w:t>
      </w:r>
      <w:r>
        <w:rPr>
          <w:rFonts w:ascii="Times New Roman;sans-serif" w:hAnsi="Times New Roman;sans-serif"/>
          <w:b w:val="false"/>
          <w:color w:val="000000"/>
          <w:sz w:val="20"/>
        </w:rPr>
        <w:t>tely $39.3 million from the sale of common and convertible preferred stock to third parties and management. The funds received from the issuance of our stock sales have been used for operating expenditures and refinancing our higher interest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19, 2023, the Company closed its initial public offering of 1,200,000 shares of Class A common stock at a public offering price of $4.00 per share, for aggregate gross proceeds of $4.8 million before deducting underwriting discounts, commissions, and other offering expenses, at which point the buyback obligation was relieved and no further amounts are due under the Buyback Program.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Debt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issued and outstanding unsecured promissory notes of $38.2 million with an average outstanding principal balance of $0.2 million, a weighted average interest rate of 11.42%, and maturity dates ranging from December 2023 to March 2025.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believes it can come to a mutual agreement with each lender to extend the maturities of the notes for an additional 12-month term. This outstanding debt resulted in $1.2 million and $2.9 million of interest expense for the three and nine months ended September 30, 2023.</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below discusses in more detail the Company’s primary sources and uses of cash and primary drivers of cash flows within the Company’s condensed consolidated statements of cash flows (in thousands).</w:t>
      </w:r>
    </w:p>
    <w:tbl>
      <w:tblPr>
        <w:tblW w:w="8174"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58"/>
        <w:gridCol w:w="973"/>
        <w:gridCol w:w="133"/>
        <w:gridCol w:w="133"/>
        <w:gridCol w:w="133"/>
        <w:gridCol w:w="133"/>
        <w:gridCol w:w="258"/>
        <w:gridCol w:w="845"/>
        <w:gridCol w:w="133"/>
        <w:gridCol w:w="109"/>
        <w:gridCol w:w="109"/>
        <w:gridCol w:w="109"/>
        <w:gridCol w:w="211"/>
        <w:gridCol w:w="69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1,877</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the Company and to our consolidated funds (in thousands).</w:t>
      </w:r>
    </w:p>
    <w:tbl>
      <w:tblPr>
        <w:tblW w:w="10035" w:type="dxa"/>
        <w:jc w:val="left"/>
        <w:tblInd w:w="0" w:type="dxa"/>
        <w:tblLayout w:type="fixed"/>
        <w:tblCellMar>
          <w:top w:w="28" w:type="dxa"/>
          <w:left w:w="28" w:type="dxa"/>
          <w:bottom w:w="28" w:type="dxa"/>
          <w:right w:w="28" w:type="dxa"/>
        </w:tblCellMar>
      </w:tblPr>
      <w:tblGrid>
        <w:gridCol w:w="1963"/>
        <w:gridCol w:w="1721"/>
        <w:gridCol w:w="1731"/>
        <w:gridCol w:w="109"/>
        <w:gridCol w:w="109"/>
        <w:gridCol w:w="109"/>
        <w:gridCol w:w="269"/>
        <w:gridCol w:w="882"/>
        <w:gridCol w:w="139"/>
        <w:gridCol w:w="139"/>
        <w:gridCol w:w="139"/>
        <w:gridCol w:w="139"/>
        <w:gridCol w:w="269"/>
        <w:gridCol w:w="882"/>
        <w:gridCol w:w="139"/>
        <w:gridCol w:w="109"/>
        <w:gridCol w:w="109"/>
        <w:gridCol w:w="109"/>
        <w:gridCol w:w="241"/>
        <w:gridCol w:w="554"/>
        <w:gridCol w:w="174"/>
      </w:tblGrid>
      <w:tr>
        <w:trPr/>
        <w:tc>
          <w:tcPr>
            <w:tcW w:w="196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(11,142)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(3,816)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(7,326)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(18,919)</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(43,955)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(23,877)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(20,078)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57,580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29,570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28,010</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1,877</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606</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from operating activities are generally comprised of asset management fees, performance allocations, and transaction and advisory fees, less cash used for operating expenses, including interest paid on our debt obligations. Net cash flows used in operating activities of the Company increased during the nine months ended September 30, 2023 as compared to the same period in 2022 primarily related to increased interest payments related to the Company’s corporate notes. Net cash flows used in operating activities of the consolidated funds increased from the nine months ended September 30, 2023, as compared to the net cash flows provided by operating activities during the same period in 2022, was primarily due to increased interest payments related to the consolidated funds notes payable.</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used in investing activities of the Company for the nine months ended September 30, 2023 as compared to the same period in 2022 primarily relates to an increase in the acquisition of real estate assets. The increase in net cash flows used in investing activities of the consolidated funds is primarily due to a decrease in proceeds from the sale of real estate investments, offset by the increase in the acquisition of real estate assets, and the net impact of the consolidation and deconsolidation of VIEs, and a decrease in investments in real estate assets.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provided by financing activities of the Company for the nine months ended September 30, 2023 as compared to the same period in 2022 was primarily due to an increase of $31.8 million of net proceeds on notes payable and an increase of $2.6 million in proceeds from the issuance of common stock, net of equity issuance costs during the nine months ended September 30, 2023 as compared to the same period in 2022. The decrease in net cash flows provided by financing activities of the consolidated funds is primarily due to a decrease in the net proceeds from notes payable and notes payable – related parties of our consolidated funds of $3.1 million, an increase in deferred financing costs paid of $2.2 million, and an increase in distributions to noncontrolling interest holders of $2.0 million during the nine months ended September 30, 2023 as compared to the same period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Company’s more significant estimates and judgements used in the preparation of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 management fees are generally based on 1.0% to 1.5% of the unreturned capital contributions in a particular fund and include reimbursement for costs incurred on behalf of the fund, including an allocation of certain overhead costs. Asset management fees are recalculated for each fund on an annual basis. These customer contracts require the Company to provide management services, representing a performance obligation that the Company satisfies over time.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accounts for income taxes under the asset and liability method in accordance with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activities are organized into three operating segments which constitute three reportable segments based on similarities with both their qualitative and economic characteristics. These segments distinguish all of the primary revenue generating activities of the business but group them together by their nature. The Company’s chief operating decision maker uses total revenue, operating income and key operating statistics to evaluate performance and allocate resources to the Company’s operations. The Company’s operations are organized into three reportable segments for management and financial reporting purposes, Fund Management, Development and Brokerage.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that the consolidated investment funds do not meet the requirements to be an operating segment. The non-reportable segments include certain business activities which do not meet the requirement to be a reportable segment because they are immaterial. These activities represent the operating activity of our single-family assets which involve both the sale and rental of real estate assets. In addition, the Company has not and does not allocate its assets or liabilities specifically to the operating segments and the Company’s chief operating decision maker does not review assets or liabilities by segment to make operating decisions. Assets, liabilities and corporate expenses are recorded at the legal entity level, which is not consistent to the operating segment and is therefore not reported by segment.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 of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consolidated funds’ more significant estimates and judgements used in the preparation of our condensed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$1.2 million and $3.5 million for the three and nine months ended September 30, 2023, respectively, and $0.8 million and $2.8 million for the three and nine months ended September 30,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debt included fixed-rate debt with a fair value and carrying value of $107.5 million and $123.2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debt included variable-rate debt with a fair value and carrying value of $81.3 million. The sensitivity analysis related to our variable-rate debt assumes an immediate 100 basis point move in interest rates from their September 30, 2023 levels, with all other variables held constant. A 100 basis point increase or decrease in variable interest rates on our variable-rate debt would increase or decrease our interest expense by $0.8 million annually.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Substantially all of the Company’s revenues are generated from the management, ownership and/or operations of real estate assets located in </w:t>
      </w:r>
      <w:r>
        <w:rPr>
          <w:rFonts w:ascii="Times New Roman;sans-serif" w:hAnsi="Times New Roman;sans-serif"/>
          <w:b w:val="false"/>
          <w:color w:val="000000"/>
          <w:sz w:val="20"/>
          <w:shd w:fill="FFFFFF" w:val="clear"/>
        </w:rPr>
        <w:t>Alaska, Arizona, Colorado, and Texas</w:t>
      </w:r>
      <w:r>
        <w:rPr>
          <w:rFonts w:ascii="Times New Roman;sans-serif" w:hAnsi="Times New Roman;sans-serif"/>
          <w:b w:val="false"/>
          <w:color w:val="000000"/>
          <w:sz w:val="20"/>
        </w:rPr>
        <w:t>. The Company mitigates the associated risk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financing relationships with a diversified mix of lenders (differing size and type), including large national banks, local community banks, private equity lenders, and insurance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September 30, 2023 and determined that the disclosure controls and procedures were effective at a reasonable assurance level as of that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occurred in our internal control over financial reporting (as defined in Rules 13a-15(f) and 15d -15(f) of the Exchange Act) during the three months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1A. Risk Factors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Risk Factors section in the Company’s Prospectus on Form 424(b)(4) filed with the SEC on May 17,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30"/>
        <w:gridCol w:w="289"/>
        <w:gridCol w:w="290"/>
        <w:gridCol w:w="109"/>
        <w:gridCol w:w="109"/>
        <w:gridCol w:w="109"/>
        <w:gridCol w:w="2734"/>
        <w:gridCol w:w="2568"/>
        <w:gridCol w:w="3667"/>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CaliberCos Inc. (incorporated by reference to Exhibit 3.2 of CaliberCos Inc.’s Form 8-K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CaliberCos Inc. Amended and Restated 2017 Stock Incentive Plan (incorporated by reference to Exhibit 99.1 of CaliberCos Inc.’s Form S-8 (File No. 333-272078),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Loan Agreement, dated as of January 20, 2023, among 47th Street Phoenix Airport LLC, CHPH Holding, LLC, and 44th and McDowell Holding, LLC, as Borrower and Trimont Real Estate Advisors, LLC, as Agent for BP Holdings SIGMA LLC, as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Guaranty of Recourse Obligations dated January 20, 2023, by John C. Loeffler, II, Jennifer Schrader,CDIF, LLC, Caliber Diversified Opportunity Fund II, LP, and CaliberCos Inc. for the benefit of BP Holdings Sigma, LLC(Incorporated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Loan Agreement dated as of October 17, 2019 between Pollock Gateway II DE LLC, as borrower and Barclays Capital Real Estate Inc., as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Assumption Agreement dated January 25, 2023 by and among Pollock Gateway II DE LLC, original borrower, Gateway II Holdco, LLC, new borrower, Guila Pollock and Vita Piazza, trustees of The James and Guila Pollock Trust dated June 27, 2006, original guarantor, CaliberCos Inc., new guarantor, and Wells Fargo Bank, National Association, as Trustee for the benefit of the registered holders of BBCMS Mortgage Trust 2019-C5, Commercial Mortgage Pass Through Certificates, Series 2019-C5,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Executive Employment Agreement dated January 1, 2019 by and among CaliberCos Inc. and Jennifer Schrader (incorporated by reference to Exhibit 6.5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Executive Employment Agreement dated January 1, 2019 by and among CaliberCos Inc. and John C. Loeffler II (incorporated by reference to Exhibit 6.6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Executive Employment Agreement dated January 1, 2019 by and among CaliberCos Inc. and Roy Bade (incorporated by reference to Exhibit 6.7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Executive Employment Agreement dated January 1, 2019 by and among CaliberCos Inc. and Jade Leung (incorporated by reference to Exhibit 6.8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Indemnification Agreement between CaliberCos Inc. and its directors and officers (incorporated by reference to Exhibit 10.11 to the Registrant’s Registration Statement on Form S-1/A, filed with the SEC on November 23, 2022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Escrow Agreement by and among CaliberCos Inc., SI Securities, LLC and The Bryn Mawr Trust Company of Delaware (incorporated by reference to Exhibit 8.1 of CaliberCos Inc.’s offering statement on Form 1-A (File No.024-11016), filed with the SEC on January 3, 2020)</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Caliber/ Encore Opportunistic Growth Fund Limited Liability Company Agreement dated May 1, 2022 by and between CaliberCos Inc. and Encore Caliber Holdings, LLC (incorporated by reference to Exhibit 10.13 to the Registrant’s Registration Statement on Form S-1/A, filed with the SEC on April 12, 2023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Managing Dealer Agreement by and among CaliberCos Inc., Skyway Capital Markets, LLC and Issuer (incorporated by reference to Exhibit 10.14 to the Registrant’s Registration Statement on Form S-1/A, filed with the SEC on April 12, 2023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Sponsor Consulting Agreement dated December 1, 2022 by and among CaliberCos Inc. and Skyway Capital Markets, LLC (incorporated by reference to Exhibit 10.15 to the Registrant’s Registration Statement on Form S-1/A, filed with the SEC on April 12, 2023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Contribution Agreement dated June 30, 2023 (Incorporated by reference to the Company’s Current Report on Form 8-K (File No. 024-11016), filed with the SEC on July 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9476" w:type="dxa"/>
        <w:jc w:val="left"/>
        <w:tblInd w:w="0" w:type="dxa"/>
        <w:tblLayout w:type="fixed"/>
        <w:tblCellMar>
          <w:top w:w="28" w:type="dxa"/>
          <w:left w:w="28" w:type="dxa"/>
          <w:bottom w:w="28" w:type="dxa"/>
          <w:right w:w="28" w:type="dxa"/>
        </w:tblCellMar>
      </w:tblPr>
      <w:tblGrid>
        <w:gridCol w:w="352"/>
        <w:gridCol w:w="311"/>
        <w:gridCol w:w="312"/>
        <w:gridCol w:w="109"/>
        <w:gridCol w:w="109"/>
        <w:gridCol w:w="109"/>
        <w:gridCol w:w="2391"/>
        <w:gridCol w:w="2391"/>
        <w:gridCol w:w="3392"/>
      </w:tblGrid>
      <w:tr>
        <w:trPr/>
        <w:tc>
          <w:tcPr>
            <w:tcW w:w="3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32023.htm">
              <w:r>
                <w:rPr>
                  <w:rStyle w:val="InternetLink"/>
                  <w:rFonts w:ascii="Times New Roman;sans-serif" w:hAnsi="Times New Roman;sans-serif"/>
                  <w:b w:val="false"/>
                  <w:color w:val="0000FF"/>
                  <w:sz w:val="20"/>
                  <w:u w:val="single"/>
                </w:rPr>
                <w:t>Certification of Principal Executive Officer Pursuant to Rules 13a-14(a) and 15d-14(a)</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32023.htm">
              <w:r>
                <w:rPr>
                  <w:rStyle w:val="InternetLink"/>
                  <w:rFonts w:ascii="Times New Roman;sans-serif" w:hAnsi="Times New Roman;sans-serif"/>
                  <w:b w:val="false"/>
                  <w:color w:val="0000FF"/>
                  <w:sz w:val="20"/>
                  <w:u w:val="single"/>
                </w:rPr>
                <w:t>Certification of Principal Financial Officer Pursuant to Rules 13a-14(a) and 15d-14(a)</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32023.htm">
              <w:r>
                <w:rPr>
                  <w:rStyle w:val="InternetLink"/>
                  <w:rFonts w:ascii="Times New Roman;sans-serif" w:hAnsi="Times New Roman;sans-serif"/>
                  <w:b w:val="false"/>
                  <w:color w:val="0000FF"/>
                  <w:sz w:val="20"/>
                  <w:u w:val="single"/>
                </w:rPr>
                <w:t>Certification of Principal Executive Officer Pursuant to 18 U.S.C. Section 1350</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32023.htm">
              <w:r>
                <w:rPr>
                  <w:rStyle w:val="InternetLink"/>
                  <w:rFonts w:ascii="Times New Roman;sans-serif" w:hAnsi="Times New Roman;sans-serif"/>
                  <w:b w:val="false"/>
                  <w:color w:val="0000FF"/>
                  <w:sz w:val="20"/>
                  <w:u w:val="single"/>
                </w:rPr>
                <w:t>Certification of Principal Financial Officer Pursuant to 18 U.S.C. Section 1350</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on </w:t>
      </w:r>
      <w:r>
        <w:rPr>
          <w:rFonts w:ascii="Times New Roman;sans-serif" w:hAnsi="Times New Roman;sans-serif"/>
          <w:b w:val="false"/>
          <w:color w:val="000000"/>
          <w:sz w:val="20"/>
        </w:rPr>
        <w:t>November 9, 2023</w:t>
      </w:r>
      <w:r>
        <w:rPr>
          <w:rFonts w:ascii="Times New Roman;sans-serif" w:hAnsi="Times New Roman;sans-serif"/>
          <w:b w:val="false"/>
          <w:color w:val="000000"/>
          <w:sz w:val="20"/>
          <w:shd w:fill="FFFFFF" w:val="clear"/>
        </w:rPr>
        <w:t>.</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843"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548"/>
        <w:gridCol w:w="1548"/>
        <w:gridCol w:w="1569"/>
        <w:gridCol w:w="109"/>
        <w:gridCol w:w="109"/>
        <w:gridCol w:w="109"/>
        <w:gridCol w:w="481"/>
        <w:gridCol w:w="481"/>
        <w:gridCol w:w="688"/>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14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304"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September 30, 2023,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September 30, 2023,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304"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Archives/edgar/data/1627282/000110465922112555/tm2228946d1_ex4-1.htm" TargetMode="External"/><Relationship Id="rId7" Type="http://schemas.openxmlformats.org/officeDocument/2006/relationships/hyperlink" Target="https://www.sec.gov/Archives/edgar/data/1627282/000110465922112555/tm2228946d1_ex4-1.htm" TargetMode="External"/><Relationship Id="rId8" Type="http://schemas.openxmlformats.org/officeDocument/2006/relationships/hyperlink" Target="https://www.sec.gov/Archives/edgar/data/1627282/000110465923035668/tm2230806d13_ex4-2.htm" TargetMode="External"/><Relationship Id="rId9" Type="http://schemas.openxmlformats.org/officeDocument/2006/relationships/hyperlink" Target="https://www.sec.gov/Archives/edgar/data/1627282/000110465923035668/tm2230806d13_ex4-2.htm" TargetMode="External"/><Relationship Id="rId10" Type="http://schemas.openxmlformats.org/officeDocument/2006/relationships/hyperlink" Target="https://www.sec.gov/Archives/edgar/data/1627282/000114420419030743/tv515450_ex3-2.htm" TargetMode="External"/><Relationship Id="rId11" Type="http://schemas.openxmlformats.org/officeDocument/2006/relationships/hyperlink" Target="https://www.sec.gov/Archives/edgar/data/1627282/000114420419030743/tv515450_ex3-2.htm" TargetMode="External"/><Relationship Id="rId12" Type="http://schemas.openxmlformats.org/officeDocument/2006/relationships/hyperlink" Target="http://www.sec.gov/Archives/edgar/data/1627282/000110465923062652/tm2232225d2_ex99-1.htm" TargetMode="External"/><Relationship Id="rId13" Type="http://schemas.openxmlformats.org/officeDocument/2006/relationships/hyperlink" Target="http://www.sec.gov/Archives/edgar/data/1627282/000110465923062652/tm2232225d2_ex99-1.htm" TargetMode="External"/><Relationship Id="rId14" Type="http://schemas.openxmlformats.org/officeDocument/2006/relationships/hyperlink" Target="https://www.sec.gov/Archives/edgar/data/1627282/000162728223000012/ex102_loanagreementxairp.htm" TargetMode="External"/><Relationship Id="rId15" Type="http://schemas.openxmlformats.org/officeDocument/2006/relationships/hyperlink" Target="https://www.sec.gov/Archives/edgar/data/1627282/000162728223000012/ex102_loanagreementxairp.htm" TargetMode="External"/><Relationship Id="rId16" Type="http://schemas.openxmlformats.org/officeDocument/2006/relationships/hyperlink" Target="https://www.sec.gov/Archives/edgar/data/1627282/000162728223000012/ex-103guarantyofrecourse.htm" TargetMode="External"/><Relationship Id="rId17" Type="http://schemas.openxmlformats.org/officeDocument/2006/relationships/hyperlink" Target="https://www.sec.gov/Archives/edgar/data/1627282/000162728223000012/ex-103guarantyofrecourse.htm" TargetMode="External"/><Relationship Id="rId18" Type="http://schemas.openxmlformats.org/officeDocument/2006/relationships/hyperlink" Target="https://www.sec.gov/Archives/edgar/data/1627282/000162728223000012/ex-104gatewayloan.htm" TargetMode="External"/><Relationship Id="rId19" Type="http://schemas.openxmlformats.org/officeDocument/2006/relationships/hyperlink" Target="https://www.sec.gov/Archives/edgar/data/1627282/000162728223000012/ex-104gatewayloan.htm" TargetMode="External"/><Relationship Id="rId20" Type="http://schemas.openxmlformats.org/officeDocument/2006/relationships/hyperlink" Target="https://www.sec.gov/Archives/edgar/data/1627282/000162728223000012/ex-105assumptionagreemen.htm" TargetMode="External"/><Relationship Id="rId21" Type="http://schemas.openxmlformats.org/officeDocument/2006/relationships/hyperlink" Target="https://www.sec.gov/Archives/edgar/data/1627282/000162728223000012/ex-105assumptionagreemen.htm" TargetMode="External"/><Relationship Id="rId22" Type="http://schemas.openxmlformats.org/officeDocument/2006/relationships/hyperlink" Target="https://www.sec.gov/Archives/edgar/data/1627282/000114420419040575/tv527915_ex6-5.htm" TargetMode="External"/><Relationship Id="rId23" Type="http://schemas.openxmlformats.org/officeDocument/2006/relationships/hyperlink" Target="https://www.sec.gov/Archives/edgar/data/1627282/000114420419040575/tv527915_ex6-5.htm" TargetMode="External"/><Relationship Id="rId24" Type="http://schemas.openxmlformats.org/officeDocument/2006/relationships/hyperlink" Target="https://www.sec.gov/Archives/edgar/data/1627282/000114420419040575/tv527915_ex6-6.htm" TargetMode="External"/><Relationship Id="rId25" Type="http://schemas.openxmlformats.org/officeDocument/2006/relationships/hyperlink" Target="https://www.sec.gov/Archives/edgar/data/1627282/000114420419040575/tv527915_ex6-6.htm" TargetMode="External"/><Relationship Id="rId26" Type="http://schemas.openxmlformats.org/officeDocument/2006/relationships/hyperlink" Target="https://www.sec.gov/Archives/edgar/data/1627282/000114420419040575/tv527915_ex6-7.htm" TargetMode="External"/><Relationship Id="rId27" Type="http://schemas.openxmlformats.org/officeDocument/2006/relationships/hyperlink" Target="https://www.sec.gov/Archives/edgar/data/1627282/000114420419040575/tv527915_ex6-7.htm" TargetMode="External"/><Relationship Id="rId28" Type="http://schemas.openxmlformats.org/officeDocument/2006/relationships/hyperlink" Target="https://www.sec.gov/Archives/edgar/data/1627282/000114420419040575/tv527915_ex6-8.htm" TargetMode="External"/><Relationship Id="rId29" Type="http://schemas.openxmlformats.org/officeDocument/2006/relationships/hyperlink" Target="https://www.sec.gov/Archives/edgar/data/1627282/000114420419040575/tv527915_ex6-8.htm" TargetMode="External"/><Relationship Id="rId30" Type="http://schemas.openxmlformats.org/officeDocument/2006/relationships/hyperlink" Target="https://www.sec.gov/Archives/edgar/data/1627282/000110465922121830/tm2230806d1_ex10-11.htm" TargetMode="External"/><Relationship Id="rId31" Type="http://schemas.openxmlformats.org/officeDocument/2006/relationships/hyperlink" Target="https://www.sec.gov/Archives/edgar/data/1627282/000110465922121830/tm2230806d1_ex10-11.htm" TargetMode="External"/><Relationship Id="rId32" Type="http://schemas.openxmlformats.org/officeDocument/2006/relationships/hyperlink" Target="https://www.sec.gov/Archives/edgar/data/1627282/000110465920000830/tv534320_ex8-1.htm" TargetMode="External"/><Relationship Id="rId33" Type="http://schemas.openxmlformats.org/officeDocument/2006/relationships/hyperlink" Target="https://www.sec.gov/Archives/edgar/data/1627282/000110465920000830/tv534320_ex8-1.htm" TargetMode="External"/><Relationship Id="rId34" Type="http://schemas.openxmlformats.org/officeDocument/2006/relationships/hyperlink" Target="https://www.sec.gov/Archives/edgar/data/1627282/000110465923044483/tm2230806d15_ex10-13.htm" TargetMode="External"/><Relationship Id="rId35" Type="http://schemas.openxmlformats.org/officeDocument/2006/relationships/hyperlink" Target="https://www.sec.gov/Archives/edgar/data/1627282/000110465923044483/tm2230806d15_ex10-13.htm" TargetMode="External"/><Relationship Id="rId36" Type="http://schemas.openxmlformats.org/officeDocument/2006/relationships/hyperlink" Target="https://www.sec.gov/Archives/edgar/data/1627282/000110465923044483/tm2230806d15_ex10-14.htm" TargetMode="External"/><Relationship Id="rId37" Type="http://schemas.openxmlformats.org/officeDocument/2006/relationships/hyperlink" Target="https://www.sec.gov/Archives/edgar/data/1627282/000110465923044483/tm2230806d15_ex10-14.htm" TargetMode="External"/><Relationship Id="rId38" Type="http://schemas.openxmlformats.org/officeDocument/2006/relationships/hyperlink" Target="https://www.sec.gov/Archives/edgar/data/1627282/000110465923044483/tm2230806d15_ex10-15.htm" TargetMode="External"/><Relationship Id="rId39" Type="http://schemas.openxmlformats.org/officeDocument/2006/relationships/hyperlink" Target="https://www.sec.gov/Archives/edgar/data/1627282/000110465923044483/tm2230806d15_ex10-15.htm" TargetMode="External"/><Relationship Id="rId40" Type="http://schemas.openxmlformats.org/officeDocument/2006/relationships/hyperlink" Target="https://www.sec.gov/Archives/edgar/data/1627282/000162728223000018/caliber-reitltdxcontribu.htm" TargetMode="External"/><Relationship Id="rId41" Type="http://schemas.openxmlformats.org/officeDocument/2006/relationships/hyperlink" Target="https://www.sec.gov/Archives/edgar/data/1627282/000162728223000018/caliber-reitltdxcontribu.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35038</Words>
  <Characters>196036</Characters>
  <CharactersWithSpaces>229037</CharactersWithSpaces>
  <Paragraphs>4531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