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rFonts w:ascii="Times New Roman;sans-serif" w:hAnsi="Times New Roman;sans-serif"/>
          <w:b w:val="false"/>
          <w:color w:val="000000"/>
          <w:sz w:val="20"/>
        </w:rPr>
        <w:t>______</w:t>
      </w:r>
      <w:r>
        <w:rPr>
          <w:color w:val="000000"/>
        </w:rPr>
        <w:t xml:space="preserve"> </w:t>
      </w:r>
      <w:r>
        <w:rPr>
          <w:rFonts w:ascii="Times New Roman;sans-serif" w:hAnsi="Times New Roman;sans-serif"/>
          <w:b/>
          <w:color w:val="000000"/>
          <w:sz w:val="20"/>
        </w:rPr>
        <w:t xml:space="preserve">to </w:t>
      </w:r>
      <w:r>
        <w:rPr>
          <w:rFonts w:ascii="Times New Roman;sans-serif" w:hAnsi="Times New Roman;sans-serif"/>
          <w:b w:val="false"/>
          <w:color w:val="000000"/>
          <w:sz w:val="20"/>
        </w:rPr>
        <w:t>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001-41703</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CALIBERCOS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47-2426901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85258</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tbl>
      <w:tblPr>
        <w:tblW w:w="5004" w:type="dxa"/>
        <w:jc w:val="center"/>
        <w:tblInd w:w="0" w:type="dxa"/>
        <w:tblLayout w:type="fixed"/>
        <w:tblCellMar>
          <w:top w:w="28" w:type="dxa"/>
          <w:left w:w="28" w:type="dxa"/>
          <w:bottom w:w="28" w:type="dxa"/>
          <w:right w:w="28" w:type="dxa"/>
        </w:tblCellMar>
      </w:tblPr>
      <w:tblGrid>
        <w:gridCol w:w="124"/>
        <w:gridCol w:w="109"/>
        <w:gridCol w:w="109"/>
        <w:gridCol w:w="1427"/>
        <w:gridCol w:w="1427"/>
        <w:gridCol w:w="1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(480) 295-7600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Securities Exchange Act of 1934:</w:t>
      </w:r>
    </w:p>
    <w:tbl>
      <w:tblPr>
        <w:tblW w:w="9554" w:type="dxa"/>
        <w:jc w:val="left"/>
        <w:tblInd w:w="0" w:type="dxa"/>
        <w:tblLayout w:type="fixed"/>
        <w:tblCellMar>
          <w:top w:w="28" w:type="dxa"/>
          <w:left w:w="28" w:type="dxa"/>
          <w:bottom w:w="28" w:type="dxa"/>
          <w:right w:w="28" w:type="dxa"/>
        </w:tblCellMar>
      </w:tblPr>
      <w:tblGrid>
        <w:gridCol w:w="1532"/>
        <w:gridCol w:w="1341"/>
        <w:gridCol w:w="1357"/>
        <w:gridCol w:w="539"/>
        <w:gridCol w:w="539"/>
        <w:gridCol w:w="541"/>
        <w:gridCol w:w="1085"/>
        <w:gridCol w:w="1085"/>
        <w:gridCol w:w="1535"/>
      </w:tblGrid>
      <w:tr>
        <w:trPr/>
        <w:tc>
          <w:tcPr>
            <w:tcW w:w="153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2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$0.001 par value per share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CWD</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22,472,770 shares of common stock, comprised of 15,056,356 shares of Class A Common Stock and 7,416,414 shares of Class B Common Stock of CaliberCos Inc. as of November 8,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this report, the term “Company” refers to CaliberCos Inc. and its wholly-owned subsidiaries. The “Consolidated Funds” refers to the Companies consolidated variable interest entities. The “Consolidated Company”, “Caliber”, “we”, “us”, and “our” refers to the Company and the Consolidated Funds collectively.</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estimates of our expenses, future revenues, capital requirements and our needs for additional financing;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estimates of the size of our market opportunities;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successfully enter new markets, manage our growth expansion and comply with any applicable laws and regulations;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effects of increased competition from our market competitors;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significant disruption in, or breach in security of, our information technology systems and resultant interruptions in service and any related impact on our reputation;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attraction and retention of qualified employees and key personnel;</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effectiveness of our internal controls;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laws and government regulation affecting our business;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impact of adverse economic conditions;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sufficiency of our cash and cash equivalents to meet our liquidity needs and service our indebtedness;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outcomes of legal or administrative proceedings.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07"/>
        <w:gridCol w:w="2975"/>
        <w:gridCol w:w="2983"/>
        <w:gridCol w:w="109"/>
        <w:gridCol w:w="109"/>
        <w:gridCol w:w="109"/>
        <w:gridCol w:w="149"/>
        <w:gridCol w:w="149"/>
        <w:gridCol w:w="215"/>
      </w:tblGrid>
      <w:tr>
        <w:trPr/>
        <w:tc>
          <w:tcPr>
            <w:tcW w:w="3407"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238">
              <w:r>
                <w:rPr>
                  <w:rStyle w:val="InternetLink"/>
                  <w:rFonts w:ascii="Times New Roman;sans-serif" w:hAnsi="Times New Roman;sans-serif"/>
                  <w:b/>
                  <w:color w:val="0000FF"/>
                  <w:sz w:val="20"/>
                  <w:u w:val="single"/>
                </w:rPr>
                <w:t>Part I - Financial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right"/>
              <w:rPr/>
            </w:pPr>
            <w:hyperlink w:anchor="ie3056dfa6fbd49328256d19d95cd5dce_238">
              <w:r>
                <w:rPr>
                  <w:rStyle w:val="InternetLink"/>
                  <w:rFonts w:ascii="Times New Roman;sans-serif" w:hAnsi="Times New Roman;sans-serif"/>
                  <w:b w:val="false"/>
                  <w:color w:val="0000FF"/>
                  <w:sz w:val="20"/>
                  <w:u w:val="single"/>
                </w:rPr>
                <w:t>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241">
              <w:r>
                <w:rPr>
                  <w:rStyle w:val="InternetLink"/>
                  <w:rFonts w:ascii="Times New Roman;sans-serif" w:hAnsi="Times New Roman;sans-serif"/>
                  <w:b w:val="false"/>
                  <w:color w:val="0000FF"/>
                  <w:sz w:val="20"/>
                  <w:u w:val="single"/>
                </w:rPr>
                <w:t>Item 1.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241">
              <w:r>
                <w:rPr>
                  <w:rStyle w:val="InternetLink"/>
                  <w:rFonts w:ascii="Times New Roman;sans-serif" w:hAnsi="Times New Roman;sans-serif"/>
                  <w:b w:val="false"/>
                  <w:color w:val="0000FF"/>
                  <w:sz w:val="20"/>
                  <w:u w:val="single"/>
                </w:rPr>
                <w:t>4</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247">
              <w:r>
                <w:rPr>
                  <w:rStyle w:val="InternetLink"/>
                  <w:rFonts w:ascii="Times New Roman;sans-serif" w:hAnsi="Times New Roman;sans-serif"/>
                  <w:b w:val="false"/>
                  <w:color w:val="0000FF"/>
                  <w:sz w:val="20"/>
                  <w:u w:val="single"/>
                </w:rPr>
                <w:t>Consolidated Balance Sheets as of September 30, 2024 and December 31, 2023</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247">
              <w:r>
                <w:rPr>
                  <w:rStyle w:val="InternetLink"/>
                  <w:rFonts w:ascii="Times New Roman;sans-serif" w:hAnsi="Times New Roman;sans-serif"/>
                  <w:b w:val="false"/>
                  <w:color w:val="0000FF"/>
                  <w:sz w:val="20"/>
                  <w:u w:val="single"/>
                </w:rPr>
                <w:t>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250">
              <w:r>
                <w:rPr>
                  <w:rStyle w:val="InternetLink"/>
                  <w:rFonts w:ascii="Times New Roman;sans-serif" w:hAnsi="Times New Roman;sans-serif"/>
                  <w:b w:val="false"/>
                  <w:color w:val="0000FF"/>
                  <w:sz w:val="20"/>
                  <w:u w:val="single"/>
                </w:rPr>
                <w:t>Consolidated Statements of Operations for the Three and Nine Months Ended September 30, 2024 and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250">
              <w:r>
                <w:rPr>
                  <w:rStyle w:val="InternetLink"/>
                  <w:rFonts w:ascii="Times New Roman;sans-serif" w:hAnsi="Times New Roman;sans-serif"/>
                  <w:b w:val="false"/>
                  <w:color w:val="0000FF"/>
                  <w:sz w:val="20"/>
                  <w:u w:val="single"/>
                </w:rPr>
                <w:t>6</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253">
              <w:r>
                <w:rPr>
                  <w:rStyle w:val="InternetLink"/>
                  <w:rFonts w:ascii="Times New Roman;sans-serif" w:hAnsi="Times New Roman;sans-serif"/>
                  <w:b w:val="false"/>
                  <w:color w:val="0000FF"/>
                  <w:sz w:val="20"/>
                  <w:u w:val="single"/>
                </w:rPr>
                <w:t>Consolidated Statements of Changes in Stockholders’ Equity for the Three and Nine Months Ended September 30, 2024 and 2023</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253">
              <w:r>
                <w:rPr>
                  <w:rStyle w:val="InternetLink"/>
                  <w:rFonts w:ascii="Times New Roman;sans-serif" w:hAnsi="Times New Roman;sans-serif"/>
                  <w:b w:val="false"/>
                  <w:color w:val="0000FF"/>
                  <w:sz w:val="20"/>
                  <w:u w:val="single"/>
                </w:rPr>
                <w:t>7</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256">
              <w:r>
                <w:rPr>
                  <w:rStyle w:val="InternetLink"/>
                  <w:rFonts w:ascii="Times New Roman;sans-serif" w:hAnsi="Times New Roman;sans-serif"/>
                  <w:b w:val="false"/>
                  <w:color w:val="0000FF"/>
                  <w:sz w:val="20"/>
                  <w:u w:val="single"/>
                </w:rPr>
                <w:t>Consolidated Statements of Cash Flows for the Nine Months Ended September 30, 2024 and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256">
              <w:r>
                <w:rPr>
                  <w:rStyle w:val="InternetLink"/>
                  <w:rFonts w:ascii="Times New Roman;sans-serif" w:hAnsi="Times New Roman;sans-serif"/>
                  <w:b w:val="false"/>
                  <w:color w:val="0000FF"/>
                  <w:sz w:val="20"/>
                  <w:u w:val="single"/>
                </w:rPr>
                <w:t>9</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259">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259">
              <w:r>
                <w:rPr>
                  <w:rStyle w:val="InternetLink"/>
                  <w:rFonts w:ascii="Times New Roman;sans-serif" w:hAnsi="Times New Roman;sans-serif"/>
                  <w:b w:val="false"/>
                  <w:color w:val="0000FF"/>
                  <w:sz w:val="20"/>
                  <w:u w:val="single"/>
                </w:rPr>
                <w:t>11</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322">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322">
              <w:r>
                <w:rPr>
                  <w:rStyle w:val="InternetLink"/>
                  <w:rFonts w:ascii="Times New Roman;sans-serif" w:hAnsi="Times New Roman;sans-serif"/>
                  <w:b w:val="false"/>
                  <w:color w:val="0000FF"/>
                  <w:sz w:val="20"/>
                  <w:u w:val="single"/>
                </w:rPr>
                <w:t>41</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364">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364">
              <w:r>
                <w:rPr>
                  <w:rStyle w:val="InternetLink"/>
                  <w:rFonts w:ascii="Times New Roman;sans-serif" w:hAnsi="Times New Roman;sans-serif"/>
                  <w:b w:val="false"/>
                  <w:color w:val="0000FF"/>
                  <w:sz w:val="20"/>
                  <w:u w:val="single"/>
                </w:rPr>
                <w:t>81</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367">
              <w:r>
                <w:rPr>
                  <w:rStyle w:val="InternetLink"/>
                  <w:rFonts w:ascii="Times New Roman;sans-serif" w:hAnsi="Times New Roman;sans-serif"/>
                  <w:b w:val="false"/>
                  <w:color w:val="0000FF"/>
                  <w:sz w:val="20"/>
                  <w:u w:val="single"/>
                </w:rPr>
                <w:t>Item 4. 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367">
              <w:r>
                <w:rPr>
                  <w:rStyle w:val="InternetLink"/>
                  <w:rFonts w:ascii="Times New Roman;sans-serif" w:hAnsi="Times New Roman;sans-serif"/>
                  <w:b w:val="false"/>
                  <w:color w:val="0000FF"/>
                  <w:sz w:val="20"/>
                  <w:u w:val="single"/>
                </w:rPr>
                <w:t>81</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370">
              <w:r>
                <w:rPr>
                  <w:rStyle w:val="InternetLink"/>
                  <w:rFonts w:ascii="Times New Roman;sans-serif" w:hAnsi="Times New Roman;sans-serif"/>
                  <w:b/>
                  <w:color w:val="0000FF"/>
                  <w:sz w:val="20"/>
                  <w:u w:val="single"/>
                </w:rPr>
                <w:t>Part II - Other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370">
              <w:r>
                <w:rPr>
                  <w:rStyle w:val="InternetLink"/>
                  <w:rFonts w:ascii="Times New Roman;sans-serif" w:hAnsi="Times New Roman;sans-serif"/>
                  <w:b w:val="false"/>
                  <w:color w:val="0000FF"/>
                  <w:sz w:val="20"/>
                  <w:u w:val="single"/>
                </w:rPr>
                <w:t>82</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373">
              <w:r>
                <w:rPr>
                  <w:rStyle w:val="InternetLink"/>
                  <w:rFonts w:ascii="Times New Roman;sans-serif" w:hAnsi="Times New Roman;sans-serif"/>
                  <w:b w:val="false"/>
                  <w:color w:val="0000FF"/>
                  <w:sz w:val="20"/>
                  <w:u w:val="single"/>
                </w:rPr>
                <w:t>Item 1. 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373">
              <w:r>
                <w:rPr>
                  <w:rStyle w:val="InternetLink"/>
                  <w:rFonts w:ascii="Times New Roman;sans-serif" w:hAnsi="Times New Roman;sans-serif"/>
                  <w:b w:val="false"/>
                  <w:color w:val="0000FF"/>
                  <w:sz w:val="20"/>
                  <w:u w:val="single"/>
                </w:rPr>
                <w:t>82</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376">
              <w:r>
                <w:rPr>
                  <w:rStyle w:val="InternetLink"/>
                  <w:rFonts w:ascii="Times New Roman;sans-serif" w:hAnsi="Times New Roman;sans-serif"/>
                  <w:b w:val="false"/>
                  <w:color w:val="0000FF"/>
                  <w:sz w:val="20"/>
                  <w:u w:val="single"/>
                </w:rPr>
                <w:t xml:space="preserve">Item 1A. Risk Factors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376">
              <w:r>
                <w:rPr>
                  <w:rStyle w:val="InternetLink"/>
                  <w:rFonts w:ascii="Times New Roman;sans-serif" w:hAnsi="Times New Roman;sans-serif"/>
                  <w:b w:val="false"/>
                  <w:color w:val="0000FF"/>
                  <w:sz w:val="20"/>
                  <w:u w:val="single"/>
                </w:rPr>
                <w:t>82</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379">
              <w:r>
                <w:rPr>
                  <w:rStyle w:val="InternetLink"/>
                  <w:rFonts w:ascii="Times New Roman;sans-serif" w:hAnsi="Times New Roman;sans-serif"/>
                  <w:b w:val="false"/>
                  <w:color w:val="0000FF"/>
                  <w:sz w:val="20"/>
                  <w:u w:val="single"/>
                </w:rPr>
                <w:t>Item 2. Unregistered Sales of Equity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379">
              <w:r>
                <w:rPr>
                  <w:rStyle w:val="InternetLink"/>
                  <w:rFonts w:ascii="Times New Roman;sans-serif" w:hAnsi="Times New Roman;sans-serif"/>
                  <w:b w:val="false"/>
                  <w:color w:val="0000FF"/>
                  <w:sz w:val="20"/>
                  <w:u w:val="single"/>
                </w:rPr>
                <w:t>82</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382">
              <w:r>
                <w:rPr>
                  <w:rStyle w:val="InternetLink"/>
                  <w:rFonts w:ascii="Times New Roman;sans-serif" w:hAnsi="Times New Roman;sans-serif"/>
                  <w:b w:val="false"/>
                  <w:color w:val="0000FF"/>
                  <w:sz w:val="20"/>
                  <w:u w:val="single"/>
                </w:rPr>
                <w:t>Item 3. Defaults Upon Senior Securities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382">
              <w:r>
                <w:rPr>
                  <w:rStyle w:val="InternetLink"/>
                  <w:rFonts w:ascii="Times New Roman;sans-serif" w:hAnsi="Times New Roman;sans-serif"/>
                  <w:b w:val="false"/>
                  <w:color w:val="0000FF"/>
                  <w:sz w:val="20"/>
                  <w:u w:val="single"/>
                </w:rPr>
                <w:t>82</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385">
              <w:r>
                <w:rPr>
                  <w:rStyle w:val="InternetLink"/>
                  <w:rFonts w:ascii="Times New Roman;sans-serif" w:hAnsi="Times New Roman;sans-serif"/>
                  <w:b w:val="false"/>
                  <w:color w:val="0000FF"/>
                  <w:sz w:val="20"/>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385">
              <w:r>
                <w:rPr>
                  <w:rStyle w:val="InternetLink"/>
                  <w:rFonts w:ascii="Times New Roman;sans-serif" w:hAnsi="Times New Roman;sans-serif"/>
                  <w:b w:val="false"/>
                  <w:color w:val="0000FF"/>
                  <w:sz w:val="20"/>
                  <w:u w:val="single"/>
                </w:rPr>
                <w:t>82</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388">
              <w:r>
                <w:rPr>
                  <w:rStyle w:val="InternetLink"/>
                  <w:rFonts w:ascii="Times New Roman;sans-serif" w:hAnsi="Times New Roman;sans-serif"/>
                  <w:b w:val="false"/>
                  <w:color w:val="0000FF"/>
                  <w:sz w:val="20"/>
                  <w:u w:val="single"/>
                </w:rPr>
                <w:t xml:space="preserve">Item 5. Other Information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388">
              <w:r>
                <w:rPr>
                  <w:rStyle w:val="InternetLink"/>
                  <w:rFonts w:ascii="Times New Roman;sans-serif" w:hAnsi="Times New Roman;sans-serif"/>
                  <w:b w:val="false"/>
                  <w:color w:val="0000FF"/>
                  <w:sz w:val="20"/>
                  <w:u w:val="single"/>
                </w:rPr>
                <w:t>82</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391">
              <w:r>
                <w:rPr>
                  <w:rStyle w:val="InternetLink"/>
                  <w:rFonts w:ascii="Times New Roman;sans-serif" w:hAnsi="Times New Roman;sans-serif"/>
                  <w:b w:val="false"/>
                  <w:color w:val="0000FF"/>
                  <w:sz w:val="20"/>
                  <w:u w:val="single"/>
                </w:rPr>
                <w:t>Item 6. Exhibit Index</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391">
              <w:r>
                <w:rPr>
                  <w:rStyle w:val="InternetLink"/>
                  <w:rFonts w:ascii="Times New Roman;sans-serif" w:hAnsi="Times New Roman;sans-serif"/>
                  <w:b w:val="false"/>
                  <w:color w:val="0000FF"/>
                  <w:sz w:val="20"/>
                  <w:u w:val="single"/>
                </w:rPr>
                <w:t>83</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3056dfa6fbd49328256d19d95cd5dce_394">
              <w:r>
                <w:rPr>
                  <w:rStyle w:val="InternetLink"/>
                  <w:rFonts w:ascii="Times New Roman;sans-serif" w:hAnsi="Times New Roman;sans-serif"/>
                  <w:b w:val="false"/>
                  <w:color w:val="0000FF"/>
                  <w:sz w:val="20"/>
                  <w:u w:val="single"/>
                </w:rPr>
                <w:t>Signatures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3056dfa6fbd49328256d19d95cd5dce_394">
              <w:r>
                <w:rPr>
                  <w:rStyle w:val="InternetLink"/>
                  <w:rFonts w:ascii="Times New Roman;sans-serif" w:hAnsi="Times New Roman;sans-serif"/>
                  <w:b w:val="false"/>
                  <w:color w:val="0000FF"/>
                  <w:sz w:val="20"/>
                  <w:u w:val="single"/>
                </w:rPr>
                <w:t>84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 AND PER SHARE DATA)</w:t>
      </w:r>
    </w:p>
    <w:tbl>
      <w:tblPr>
        <w:tblW w:w="7240" w:type="dxa"/>
        <w:jc w:val="left"/>
        <w:tblInd w:w="0" w:type="dxa"/>
        <w:tblLayout w:type="fixed"/>
        <w:tblCellMar>
          <w:top w:w="28" w:type="dxa"/>
          <w:left w:w="28" w:type="dxa"/>
          <w:bottom w:w="28" w:type="dxa"/>
          <w:right w:w="28" w:type="dxa"/>
        </w:tblCellMar>
      </w:tblPr>
      <w:tblGrid>
        <w:gridCol w:w="1216"/>
        <w:gridCol w:w="1074"/>
        <w:gridCol w:w="1084"/>
        <w:gridCol w:w="326"/>
        <w:gridCol w:w="1276"/>
        <w:gridCol w:w="168"/>
        <w:gridCol w:w="109"/>
        <w:gridCol w:w="109"/>
        <w:gridCol w:w="109"/>
        <w:gridCol w:w="313"/>
        <w:gridCol w:w="1228"/>
        <w:gridCol w:w="228"/>
      </w:tblGrid>
      <w:tr>
        <w:trPr/>
        <w:tc>
          <w:tcPr>
            <w:tcW w:w="121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158,583 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589"/>
        <w:gridCol w:w="2235"/>
        <w:gridCol w:w="2246"/>
        <w:gridCol w:w="255"/>
        <w:gridCol w:w="1001"/>
        <w:gridCol w:w="132"/>
        <w:gridCol w:w="109"/>
        <w:gridCol w:w="109"/>
        <w:gridCol w:w="109"/>
        <w:gridCol w:w="250"/>
        <w:gridCol w:w="983"/>
        <w:gridCol w:w="187"/>
      </w:tblGrid>
      <w:tr>
        <w:trPr/>
        <w:tc>
          <w:tcPr>
            <w:tcW w:w="2589"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Class A, $0.001 par value; 100,000,000 shares authorized, 14,967,702 and 13,872,671 shares issued and outstanding as of September 30, 2024 and December 31, 2023, respectively</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Class B, $0.001 par value; 15,000,000 shares authorized, 7,416,414 shares issued and outstanding as September 30, 2024 and December 31, 2023</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 equity attributable to CaliberCos Inc.</w:t>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attributable to noncontrolling interests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158,583 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299,432 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 EXCEPT PER SHARE DATA)</w:t>
      </w:r>
    </w:p>
    <w:tbl>
      <w:tblPr>
        <w:tblW w:w="10205" w:type="dxa"/>
        <w:jc w:val="center"/>
        <w:tblInd w:w="0" w:type="dxa"/>
        <w:tblLayout w:type="fixed"/>
        <w:tblCellMar>
          <w:top w:w="28" w:type="dxa"/>
          <w:left w:w="28" w:type="dxa"/>
          <w:bottom w:w="28" w:type="dxa"/>
          <w:right w:w="28" w:type="dxa"/>
        </w:tblCellMar>
      </w:tblPr>
      <w:tblGrid>
        <w:gridCol w:w="1587"/>
        <w:gridCol w:w="1331"/>
        <w:gridCol w:w="1343"/>
        <w:gridCol w:w="260"/>
        <w:gridCol w:w="760"/>
        <w:gridCol w:w="134"/>
        <w:gridCol w:w="134"/>
        <w:gridCol w:w="134"/>
        <w:gridCol w:w="134"/>
        <w:gridCol w:w="260"/>
        <w:gridCol w:w="831"/>
        <w:gridCol w:w="134"/>
        <w:gridCol w:w="109"/>
        <w:gridCol w:w="109"/>
        <w:gridCol w:w="109"/>
        <w:gridCol w:w="238"/>
        <w:gridCol w:w="813"/>
        <w:gridCol w:w="122"/>
        <w:gridCol w:w="122"/>
        <w:gridCol w:w="122"/>
        <w:gridCol w:w="122"/>
        <w:gridCol w:w="238"/>
        <w:gridCol w:w="876"/>
        <w:gridCol w:w="183"/>
      </w:tblGrid>
      <w:tr>
        <w:trPr/>
        <w:tc>
          <w:tcPr>
            <w:tcW w:w="158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revenues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4261"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before income taxes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CaliberCos Inc.</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attributable to common stockholders</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 attributable to common stockholders</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19,688</w:t>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5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24,867</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19,688</w:t>
            </w:r>
          </w:p>
        </w:tc>
      </w:tr>
    </w:tbl>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1050" w:type="dxa"/>
        <w:jc w:val="left"/>
        <w:tblInd w:w="0" w:type="dxa"/>
        <w:tblLayout w:type="fixed"/>
        <w:tblCellMar>
          <w:top w:w="28" w:type="dxa"/>
          <w:left w:w="28" w:type="dxa"/>
          <w:bottom w:w="28" w:type="dxa"/>
          <w:right w:w="28" w:type="dxa"/>
        </w:tblCellMar>
      </w:tblPr>
      <w:tblGrid>
        <w:gridCol w:w="516"/>
        <w:gridCol w:w="282"/>
        <w:gridCol w:w="283"/>
        <w:gridCol w:w="109"/>
        <w:gridCol w:w="109"/>
        <w:gridCol w:w="109"/>
        <w:gridCol w:w="109"/>
        <w:gridCol w:w="270"/>
        <w:gridCol w:w="271"/>
        <w:gridCol w:w="171"/>
        <w:gridCol w:w="109"/>
        <w:gridCol w:w="109"/>
        <w:gridCol w:w="109"/>
        <w:gridCol w:w="181"/>
        <w:gridCol w:w="286"/>
        <w:gridCol w:w="109"/>
        <w:gridCol w:w="109"/>
        <w:gridCol w:w="109"/>
        <w:gridCol w:w="109"/>
        <w:gridCol w:w="233"/>
        <w:gridCol w:w="233"/>
        <w:gridCol w:w="171"/>
        <w:gridCol w:w="109"/>
        <w:gridCol w:w="109"/>
        <w:gridCol w:w="109"/>
        <w:gridCol w:w="200"/>
        <w:gridCol w:w="234"/>
        <w:gridCol w:w="122"/>
        <w:gridCol w:w="150"/>
        <w:gridCol w:w="150"/>
        <w:gridCol w:w="151"/>
        <w:gridCol w:w="181"/>
        <w:gridCol w:w="541"/>
        <w:gridCol w:w="109"/>
        <w:gridCol w:w="109"/>
        <w:gridCol w:w="871"/>
        <w:gridCol w:w="109"/>
        <w:gridCol w:w="109"/>
        <w:gridCol w:w="109"/>
        <w:gridCol w:w="218"/>
        <w:gridCol w:w="671"/>
        <w:gridCol w:w="132"/>
        <w:gridCol w:w="109"/>
        <w:gridCol w:w="109"/>
        <w:gridCol w:w="109"/>
        <w:gridCol w:w="202"/>
        <w:gridCol w:w="606"/>
        <w:gridCol w:w="123"/>
        <w:gridCol w:w="109"/>
        <w:gridCol w:w="109"/>
        <w:gridCol w:w="109"/>
        <w:gridCol w:w="181"/>
        <w:gridCol w:w="541"/>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7"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 in Capital</w:t>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c>
          <w:tcPr>
            <w:tcW w:w="120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120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13,873 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(36,830)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63,395 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14,311 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(40,635)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87,235 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(4,730)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14,629 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(45,365)</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99,948 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95,204 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(33,254)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14,968 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(45,219)</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67,130 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63,281 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p>
      <w:pPr>
        <w:pStyle w:val="TextBody"/>
        <w:bidi w:val="0"/>
        <w:spacing w:before="0" w:after="0"/>
        <w:jc w:val="center"/>
        <w:rPr/>
      </w:pPr>
      <w:r>
        <w:rPr/>
      </w:r>
    </w:p>
    <w:tbl>
      <w:tblPr>
        <w:tblW w:w="12684" w:type="dxa"/>
        <w:jc w:val="center"/>
        <w:tblInd w:w="0" w:type="dxa"/>
        <w:tblLayout w:type="fixed"/>
        <w:tblCellMar>
          <w:top w:w="28" w:type="dxa"/>
          <w:left w:w="28" w:type="dxa"/>
          <w:bottom w:w="28" w:type="dxa"/>
          <w:right w:w="28" w:type="dxa"/>
        </w:tblCellMar>
      </w:tblPr>
      <w:tblGrid>
        <w:gridCol w:w="516"/>
        <w:gridCol w:w="282"/>
        <w:gridCol w:w="283"/>
        <w:gridCol w:w="240"/>
        <w:gridCol w:w="241"/>
        <w:gridCol w:w="171"/>
        <w:gridCol w:w="109"/>
        <w:gridCol w:w="109"/>
        <w:gridCol w:w="109"/>
        <w:gridCol w:w="181"/>
        <w:gridCol w:w="406"/>
        <w:gridCol w:w="109"/>
        <w:gridCol w:w="109"/>
        <w:gridCol w:w="109"/>
        <w:gridCol w:w="109"/>
        <w:gridCol w:w="270"/>
        <w:gridCol w:w="271"/>
        <w:gridCol w:w="171"/>
        <w:gridCol w:w="109"/>
        <w:gridCol w:w="109"/>
        <w:gridCol w:w="109"/>
        <w:gridCol w:w="181"/>
        <w:gridCol w:w="286"/>
        <w:gridCol w:w="109"/>
        <w:gridCol w:w="109"/>
        <w:gridCol w:w="109"/>
        <w:gridCol w:w="109"/>
        <w:gridCol w:w="233"/>
        <w:gridCol w:w="233"/>
        <w:gridCol w:w="171"/>
        <w:gridCol w:w="109"/>
        <w:gridCol w:w="109"/>
        <w:gridCol w:w="109"/>
        <w:gridCol w:w="195"/>
        <w:gridCol w:w="211"/>
        <w:gridCol w:w="109"/>
        <w:gridCol w:w="109"/>
        <w:gridCol w:w="109"/>
        <w:gridCol w:w="109"/>
        <w:gridCol w:w="181"/>
        <w:gridCol w:w="541"/>
        <w:gridCol w:w="109"/>
        <w:gridCol w:w="109"/>
        <w:gridCol w:w="109"/>
        <w:gridCol w:w="109"/>
        <w:gridCol w:w="181"/>
        <w:gridCol w:w="556"/>
        <w:gridCol w:w="109"/>
        <w:gridCol w:w="109"/>
        <w:gridCol w:w="109"/>
        <w:gridCol w:w="109"/>
        <w:gridCol w:w="181"/>
        <w:gridCol w:w="581"/>
        <w:gridCol w:w="109"/>
        <w:gridCol w:w="109"/>
        <w:gridCol w:w="109"/>
        <w:gridCol w:w="109"/>
        <w:gridCol w:w="222"/>
        <w:gridCol w:w="664"/>
        <w:gridCol w:w="135"/>
        <w:gridCol w:w="109"/>
        <w:gridCol w:w="109"/>
        <w:gridCol w:w="109"/>
        <w:gridCol w:w="201"/>
        <w:gridCol w:w="602"/>
        <w:gridCol w:w="173"/>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December 31, 2022</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10,791 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80,398 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77,189 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common stock</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7,629 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Consolidation of VIEs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Retirement of treasury stock</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March 31, 2023</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10,749 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72,502 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w:t>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1,200 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3,248 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Conversions of common stock</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1,922 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6,787 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6,787 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(995)</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(11,580)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June 30, 2023</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13,821 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74,672 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82,612 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w:t>
            </w:r>
          </w:p>
        </w:tc>
        <w:tc>
          <w:tcPr>
            <w:tcW w:w="4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(649)</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6,870 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(12,222)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September 30, 2023</w:t>
            </w:r>
          </w:p>
        </w:tc>
        <w:tc>
          <w:tcPr>
            <w:tcW w:w="4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13,848 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38,723 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(34,469)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70,481 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74,756 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570"/>
        <w:gridCol w:w="2182"/>
        <w:gridCol w:w="2197"/>
        <w:gridCol w:w="109"/>
        <w:gridCol w:w="109"/>
        <w:gridCol w:w="109"/>
        <w:gridCol w:w="238"/>
        <w:gridCol w:w="890"/>
        <w:gridCol w:w="123"/>
        <w:gridCol w:w="123"/>
        <w:gridCol w:w="123"/>
        <w:gridCol w:w="123"/>
        <w:gridCol w:w="238"/>
        <w:gridCol w:w="890"/>
        <w:gridCol w:w="181"/>
      </w:tblGrid>
      <w:tr>
        <w:trPr/>
        <w:tc>
          <w:tcPr>
            <w:tcW w:w="2570"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6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 and gain on lease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above-market/below market leases and straight-line rent,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right-of-use assets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from operating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disposal of 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advanced key money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above-market/below market leases and straight-line rent,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right-of use assets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received on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8843" w:type="dxa"/>
        <w:jc w:val="left"/>
        <w:tblInd w:w="0" w:type="dxa"/>
        <w:tblLayout w:type="fixed"/>
        <w:tblCellMar>
          <w:top w:w="28" w:type="dxa"/>
          <w:left w:w="28" w:type="dxa"/>
          <w:bottom w:w="28" w:type="dxa"/>
          <w:right w:w="28" w:type="dxa"/>
        </w:tblCellMar>
      </w:tblPr>
      <w:tblGrid>
        <w:gridCol w:w="1985"/>
        <w:gridCol w:w="1740"/>
        <w:gridCol w:w="1750"/>
        <w:gridCol w:w="109"/>
        <w:gridCol w:w="109"/>
        <w:gridCol w:w="109"/>
        <w:gridCol w:w="273"/>
        <w:gridCol w:w="798"/>
        <w:gridCol w:w="141"/>
        <w:gridCol w:w="141"/>
        <w:gridCol w:w="141"/>
        <w:gridCol w:w="141"/>
        <w:gridCol w:w="273"/>
        <w:gridCol w:w="934"/>
        <w:gridCol w:w="199"/>
      </w:tblGrid>
      <w:tr>
        <w:trPr/>
        <w:tc>
          <w:tcPr>
            <w:tcW w:w="198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received on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common stock,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treasury stock - buyback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the Company's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Liquidity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CaliberCos Inc., a Delaware corporation, and its wholly-owned subsidiaries (the “Company”), is an alternative asset manager of private syndication and direct</w:t>
      </w:r>
      <w:r>
        <w:rPr>
          <w:color w:val="000000"/>
          <w:shd w:fill="FFFFFF" w:val="clear"/>
        </w:rPr>
        <w:t xml:space="preserve"> </w:t>
      </w:r>
      <w:r>
        <w:rPr>
          <w:rFonts w:ascii="Times New Roman;sans-serif" w:hAnsi="Times New Roman;sans-serif"/>
          <w:b w:val="false"/>
          <w:color w:val="000000"/>
          <w:sz w:val="20"/>
          <w:shd w:fill="FFFFFF" w:val="clear"/>
        </w:rPr>
        <w:t xml:space="preserve">investment real estate funds and provider of a full suite of traditional real estate services. The Company was formed in November 2014, and originally began as Caliber Companies, LLC, an Arizona limited liability company, which commenced operations in January 2009. The Company provides various support services, under its asset management platform segment (“Platform”) to the investments it manages, including asset management services, fund set-up services, lending support, construction and development management, and real estate brokerage. As of September 30, 2024, we had operations in </w:t>
      </w:r>
      <w:r>
        <w:rPr>
          <w:rFonts w:ascii="Times New Roman;sans-serif" w:hAnsi="Times New Roman;sans-serif"/>
          <w:b w:val="false"/>
          <w:color w:val="000000"/>
          <w:sz w:val="20"/>
        </w:rPr>
        <w:t>Alaska, Arizona, Colorado, Kansas, Texas, and Virginia</w:t>
      </w:r>
      <w:r>
        <w:rPr>
          <w:rFonts w:ascii="Times New Roman;sans-serif" w:hAnsi="Times New Roman;sans-serif"/>
          <w:b w:val="false"/>
          <w:color w:val="000000"/>
          <w:sz w:val="20"/>
          <w:shd w:fill="FFFFFF" w:val="clear"/>
        </w:rPr>
        <w: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our private equity real estate funds are organized as operating partnerships, in which multiple unrelated passive investors own partnership interests. In addition, we are designated as the manager and/or general partner of the partnership. Depending on the legal structure and arrangements between us and the funds, we may or may not consolidate the partnerships for financial reporting purposes. For funds in which we are determined to be the controlling party or primary beneficiary for financial reporting purposes, the fund is consolidated, and the passive investors’ ownership is presented as noncontrolling interest in the accompanying consolidated financial statements (“Consolidated Funds”, and collectively with the Company, the “Consolidated Company”, “Caliber”, “we”, “our”, and “us”). For funds in which we are not determined to be the controlling party for financial reporting purposes, the fund is not consolidated, and any fees earned from the fund are included in fund management revenue in the accompanying consolidated financial statements. See Note 2 – Summary of Significant Accounting Policies for more detail.</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prepared in accordance with generally accepted accounting principles applicable to a going concern, which contemplates the realization of assets and the satisfaction of liabilities in the normal course of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the Company had a portfolio of corporate notes, whose composition and characteristics are similar to those reported in prior periods. At September 30, 2024, the portfolio consists of 211 unsecured notes with an aggregate principal balance of $33.0 million, of which $32.4 million mature within the 12-month period subsequent to November 13, 2024. Each note generally has a 12-month term with an option to extend for an additional 12-months.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incurred operating losses and negative cash flow from operations for the nine months ended September 30, 2024, and could experience additional future operating losses and negative cash flow in the near term, combined with the fact that the Company does not have sufficient cash on hand to satisfy the total of the notes that mature within the next 12 months, these conditions and events raise substantial doubt about the Company’s ability to continue as a going concern. In response to these conditions, management considered the impact of these near-term maturities on the Company.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the note program began, these notes have demonstrated a high rate of extension of their terms. Subsequent to the issuance of its 2023 Form 10-K, the Company has continued its discussions with various lenders in pursuit of extending or refinancing its unsecured loans. Through September 30, 2024, the rate of extension of the current notes is consistent with or greater than reported in prior periods. Management plans to continue seeking and granting extensions on an ongoing basis consistent with prior periods.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management has implemented various plans to address operating losses and near-term maturities or demands for repayment of its notes. Consistent with reported actions taken in prior fiscal periods, management plans to continue to i) negotiate extensions of such loans or refinance such debt, ii) obtain new financing, iii) reduce operating costs, iv) collect all or part of its $13.3 million in receivables, v) collect all or part of its $19.7 million in investments from its managed funds, vi) increase capital raise through continued expansion of fundraising channels, vii) sell or accept investment into its corporate headquarters, viii) place debt on unencumbered assets, and/or ix) generate planned cash from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execution of our aforementioned plans, during the nine months ended September 30, 2024, we collected $8.2 million of notes receivable and $2.7 million of accounts receivable. The Company also executed a reduction in force of approximately 10% of its employees in May 2024, with an expected annual compensation and benefits expense savings of $4.0 million. The Company has also executed on cost reduction plans with estimated annual savings of $2.5 million.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consideration of the implemented and planned actions, in particular continuing to renew maturing unsecured corporate notes, there are no assurances that management’s actions will alleviate substantial doubt about the company’s ability to continue as a going concern beyond one year from the date that the consolidated financial statements are issued.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Policies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prepared on the accrual basis of accounting in accordance with generally accepted accounting principles in the United States of America (“U.S. GAAP”). The accompanying consolidated financial statements include our accounts, our consolidated subsidiaries, and legal entities in which the Company is deemed to have a direct or indirect controlling financial interest based on either a variable interest model or voting interest model. The equity and net income or loss attributable to noncontrolling interests in subsidiaries is shown separately in the accompanying consolidated balance sheets, statements of operations, and statements of changes in stockholders’ equity. All intercompany balances and transactions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Variable Interest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entity is a variable interest entity (“VIE”) based on several factors, including whether the equity holders, as a group, lack the characteristics of a controlling financial interest. We analyze any investments in VIEs to determine if we are the primary beneficiary. A reporting entity is determined to be the primary beneficiary if it holds a controlling financial interest in a VIE.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potentially be significant to such entity. Performance of that analysis requires the exercise of judgment. We consolidate any VIEs for which we are the primary beneficiary, and we disclose our maximum exposure to loss related to the consolidated VIEs. See Note 3 – VIEs for more detail.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Voting Interest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Entities that do not qualify as VIEs are generally assessed for consolidation as voting interest entities (“VOEs”). For VOEs, we consolidate an entity if we have a controlling financial interest. We have a controlling financial interest in a VOE if (i) for legal entities other than partnerships, we own a majority voting interest in the entity or, for limited partnerships and similar entities, we own a majority of the entity’s kick-out rights through voting limited partnership interests and (ii) non-controlling shareholders or partners do not hold substantive participating rights, and no other conditions exist that would indicate that we do not control the entity.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left"/>
        <w:rPr/>
      </w:pPr>
      <w:r>
        <w:rPr>
          <w:rFonts w:ascii="Times New Roman;sans-serif" w:hAnsi="Times New Roman;sans-serif"/>
          <w:b/>
          <w:i/>
          <w:color w:val="000000"/>
          <w:sz w:val="20"/>
        </w:rPr>
        <w:t>Interim Unaudited Financial Data</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reflect all adjustments, which are, in our opinion, of a normal recurring nature and necessary for a fair presentation of our financial position, results of operations and cash flows for the interim periods. Interim results of operations are not necessarily indicative of the results to be expected for the full year. These consolidated financial statements, including notes, are unaudited, exclude some of the disclosures required for annual consolidated financial statements, and should be read in conjunction with our audited consolidated financial statements for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 management fees and transaction and advisory fees, previously presented in their own line items for prior periods presented, have been combined into one line item, asset management revenues in the accompanying consolidated statements of operations, to be consistent with the current year presentation. The reclassification does not affect prior period’s total revenues or net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 of Accounting Estimates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significantly from those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includes cash in bank accounts. The Company deposits cash with several high-quality financial institutions. These deposits are guaranteed by the Federal Deposit Insurance Company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cash held in escrow accounts by contractual agreement with lenders as part of financial loan covenant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Investments in Unconsolidated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 entity is not a VIE, our determination of the appropriate accounting method with respect to our investments in limited liability companies and other investments is based on voting control. For our managing member interests in limited liability companies, we are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We account for our non-controlling investments in these entities under the equity method. Our investments in unconsolidated subsidiaries in which we have the ability to exercise significant influence over operating and financial policies, but do not control, or entities which are VIE in which we are not the primary beneficiary are accounted for under the equity method. The equity method of accounting requires the investment to be initially recorded at cost and subsequently adjusted for the Company’s share of equity in the equity method investment’s earnings and distributions. Our share of the earnings or loss from equity method investments is included in other income (expenses), net on the accompanying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determination of the appropriate accounting treatment for an investment in a subsidiary requires judgment of several factors including the size and nature of our ownership interest and the other owners’ substantive rights to make decisions for the entity. If we were to make different judgments or conclusions as to the level of our control or influence, it could result in a different accounting treatment. Consolidating an investment generally would have no impact on our net income or stockholders’ deficit attributable to CaliberCos Inc. in any accounting period, but a different treatment would impact individual income statement and balance sheet line items, as consolidation would effectively “gross up” our statement of operations and balance sheet.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carrying amount of our investments in unconsolidated entities was $12.7 million and $3.3 million, respectively. During the nine months ended September 30, 2024, the Company deconsolidated the Caliber Hospitality Trust, Inc. (the “Caliber Hospitality Trust”) and Caliber Hospitality, LP, which included activity from six hospitality funds, Elliot &amp; 51st St LLC (“Elliot”) and DT Mesa Holdco II, LLC (“DT Mesa”). At which time, the Company’s investment in the Caliber Hospitality Trust, Caliber Hospitality, LP, Elliot, and DT Mesa, were no longer eliminated and are included in investments in unconsolidated entities in the accompanying consolidated balance sheet as of September 30, 2024. See Note 3 – VIEs.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situations, the Company has invested only a nominal amount of cash, or no cash at all, into a venture. As the manager of the venture, we are entitled to 15.0% – 35.0% of the residual cash flow produced by the venture after the payment of any priority returns. Under the equity method, impairment losses are recognized upon evidence of other-than-temporary losses of value. For the three and nine months ended September 30, 2024 and 2023, the Company had no impairment losses related to its investments in unconsolidated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 Expense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includes costs and costs associated with building and building improvements, which are depreciated over the estimated useful life of the respective asset, generally 15 to 40 years. Depreciation expense also includes costs associated with the purchase of furniture and equipment and office leasehold improvements which are recorded at cost. Furniture and equipment costs are depreciated using the straight-line method over the estimated useful life of the asset, generally three to seven years beginning in the first full month the asset is placed in service. Intangible lease assets are amortized using the straight-line method over the shorter of the respective estimated useful life or the lease term.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depreciation expense for the Company was $0.1 million and $0.4 million, respectively. For the three and nine months ended September 30, 2023, depreciation expense for the Company was $0.1 million and $0.4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we recognize an impairment loss to the extent the carrying amount exceeds the estimated fair value of the asset.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the Company had no impairment losses related to its real estate and other long-lived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Substantially all of the Company’s revenues are generated from activities completed through its Platform, including the management, ownership and/or operations of real estate assets located in Alaska, Arizona, Colorado, Kansas, Texas, and Virginia</w:t>
      </w:r>
      <w:r>
        <w:rPr>
          <w:rFonts w:ascii="Times New Roman;sans-serif" w:hAnsi="Times New Roman;sans-serif"/>
          <w:b w:val="false"/>
          <w:color w:val="000000"/>
          <w:sz w:val="20"/>
          <w:shd w:fill="FFFFFF" w:val="clear"/>
        </w:rPr>
        <w:t>. Th</w:t>
      </w:r>
      <w:r>
        <w:rPr>
          <w:rFonts w:ascii="Times New Roman;sans-serif" w:hAnsi="Times New Roman;sans-serif"/>
          <w:b w:val="false"/>
          <w:color w:val="000000"/>
          <w:sz w:val="20"/>
        </w:rPr>
        <w:t>e Company mitigates the associated risk by: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asset types, including hospitality, commercial, single-family, multi-family, and self-storage properties;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maintaining financing relationships with a diversified mix of lenders (differing size and type), including large national banks, local community banks, private equity lenders, and insurance companies.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Noncontrolling Interests in Consolidated Real Estate Partnerships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the unaffiliated partners’ interests in the net assets of our consolidated real estate partnerships as noncontrolling interests within the accompanying consolidated statements of changes in stockholders’ equity. Noncontrolling interests consist of equity interests held by limited partners in consolidated real estate partnerships. We attribute to noncontrolling interests their share of income or loss of the consolidated partnerships based on their proportionate interest in the results of operations of the partnerships, including their share of losses even if such attribution results in a deficit noncontrolling interest balance within our equity and partners’ capital accounts.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partnership agreements generally require the partnerships to be liquidated following the sale of the underlying real estate assets. As the general partner in these partnerships, we ordinarily control the execution of real estate sales and other events that could lead to the liquidation, redemption or other settlement of noncontrolling interests. The terms of certain partnership agreements outline differing classes of equity ownership, some of which are redeemable by the partnership at the partnership manager’s discretion.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accordance with the Accounting Standards Codification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describes the Company’s revenue recognition policy related to the fees the Company earns from providing services under its Platform: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Hospitality Trust’s enterprise value and is reimbursed for certain costs incurred on behalf of the Caliber Hospitality Trust. These revenues are included in asset management revenues in the accompanying consolidated statements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when the related performance obligations are satisfied and the customer obtains control of the promised service, including negotiation, due diligence, entitlements, planning, and design activities. During the construction period, development fee revenue is recognized ratably over time as the performance obligation(s) is satisfied. These revenues are included in asset management revenues in the accompanying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Brokerage fees are earned at a point in time at fixed rates for services performed related to acquisitions, dispositions, leasing, and financing transaction, and are included in asset management revenues in the accompanying consolidated statements of operations.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Lessor</w:t>
      </w:r>
    </w:p>
    <w:p>
      <w:pPr>
        <w:pStyle w:val="TextBody"/>
        <w:bidi w:val="0"/>
        <w:spacing w:before="0" w:after="0"/>
        <w:ind w:left="0" w:right="0" w:firstLine="27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Company did not have any sales-type or direct financing leases as of September 30, 2024 and December 31, 2023.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Lessee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account for leases for which the Company is the lessee, contracts must be analyzed upon inception to determine if the arrangement is, or contains, a lease. A lease conveys the right to control the use of an identified asset for a period of time in exchange for consideration. Lease classification tests and measurement procedures are performed at the lease commencement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impairment assessment for ROU assets is consistent with the impairment analysis for the Company's other long-lived assets and is reviewed quarterly.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Company’s operations were organized into three reportable segments, fund management, development, and brokerage. During the year ended December 31, 2023, the Company reevaluated its reportable segments, considering (i) the evolution of the Company after closing its initial public offering and how the Company’s chief operating decision maker (“CODM”), the Company’s Chief Executive Officer, assesses performance and allocates resources, (ii) changes to the budgeting process and in key personnel driven by the Company’s growth initiatives, and (iii) how management reports ongoing company performance to the Board of Directors. With the evolution and growth of the Company, the Company’s CODM assesses performance and resource allocation on an aggregate basis under the Company’s asset management platform, and no longer reviews operating results for development or brokerage activity separately. As such, management concluded that the Company operates through one operating segment, the Platform segment.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the Company’s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Policies of Consolidated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Accounting for Real Estate Investments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due to the fact that substantially all the fair value of the gross assets acquired is attributable to the real estate assets acquired.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Acquired real estate properties accounted for as asset acquisitions are recorded at cost, including acquisition and closing costs. Our consolidated funds allocate the cost of real estate properties to the tangible and intangible assets and liabilities acquired based on their estimated relative fair values. Our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Our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Capitalization and Depreciation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Our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for all tangible real estate assets is calculated using the straight-line method over the estimated useful lives of the assets. The estimated useful lives of our building and building improvements are generally 15 to 40 years. The estimated useful lives of our furniture, fixtures and equipment are generally three to seven years beginning in the first full month the asset is placed in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depreciation expense was $1.2 million and $4.5 million, respectively. For the three and nine months ended September 30, 2023, depreciation expense was $2.8 million and $7.9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our consolidated funds recognize an impairment loss to the extent the carrying amount exceeds the estimated fair value of the asset.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our consolidated funds did not record an impairment loss related to its real estate and other long-lived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Revenues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hospitality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other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funds – other revenue includes rental revenue of $0.4 million and $1.3 million for the three and nine months ended September 30, 2024, respectively, and $1.2 million and $3.5 million, for the three and nine months ended September 30, 2023, respectively. Rental revenue includes the revenues generated primarily by the rental operations of the residential (multi-family and single-family) and commercial properties of our consolidated funds. </w:t>
      </w:r>
    </w:p>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20"/>
        </w:rPr>
        <w:t xml:space="preserve">Upon adoption of ASC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(“ASC 842”), effective January 1, 2022, 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consolidated funds did not have any sales-type or direct financing leases as of September 30, 2024.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consolidated funds - other revenue includes interest income of $1.7 million and $4.3 million for the three and nine months ended September 30, 2024, respectively, and $0.9 million and $2.7 million for the three and nine months ended September 30, 2023, respectively, which is generated by a consolidated fund’s lending activity. Interest income is recognized on the accrual basis of accounting in accordance with the lending agreements over the term of the respective loan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primarily consists of amounts due from guests or groups for hotel rooms and services provided by the hotel properties. Accounts receivable also include due, but unpaid, rental payments. Our consolidated funds continually review receivables and determine collectability by taking into consideration the history of past write-offs, collections, current credit conditions, tenant payment history, the financial condition of the tenants, business conditions in the industry in which the tenant operates and economic conditions in the area in which the property is located. If the collectability of a receivable is uncertain, our consolidated funds will record an increase in the allowance for doubtful accounts. Amounts that are determined to be uncollectible with a high degree of certainty are written-off through bad debt expense, which is included in consolidated funds – hospitality expenses and consolidated funds – other expenses on the accompanying consolidated statements of operations. Our consolidated funds had no allowance for doubtful accounts as of September 30,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funds record all derivative instruments on the consolidated balance sheets at fair value. The accounting for changes in the fair value of the derivative and the effect on the financial statements depends on its hedge designation and whether the hedge is highly effective in achieving offsetting changes in the fair value of cash flows of the asset or liability hedged. If the consolidated fund elects not to apply hedge accounting treatment, any changes in the fair value of the derivative instruments is recognized immediately in consolidated funds - hospitality expenses in the consolidated statements of operations. If the derivative is designated and qualifies for hedge accounting treatment, the change in fair value of the derivative is recorded in other comprehensive income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fair value of financial instruments is disclosed in accordance with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and disclosures consist of a three-level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1 – Inputs are quoted prices in active markets for identical assets or liabilities that can be accessed at the measurement date.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ASU 2016-13, Financial Instruments – Credit Losses and subsequent amendments (collectively, “Topic 326”), effective January 1, 2023. Topic 326 was intended to improve financial reporting by requiring more timely recognition of credit losses on loans and other financial instruments that are not accounted for at fair value through net income and required that financial assets measured at amortized cost be presented at the net amount expected to be collected, through an allowance for credit losses that was deducted from the amortized cost basis. The amendments in Topic 326 required the Company to measure all expected credit losses based upon historical experience, current conditions, and reasonable and supportable forecasts that affect the collectability of the financial assets and eliminated the “incurred loss” methodology under current U.S. GAAP. Loans and receivables between entities under common control are not within the scope of this guidance. The adoption of this guidance did not have a material impact on the Company’s consolidated financial statements.</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The Company adopted the Financial Accounting Standards Board (“FASB”) issued ASU 2020-06, </w:t>
      </w:r>
      <w:r>
        <w:rPr>
          <w:rFonts w:ascii="Times New Roman;sans-serif" w:hAnsi="Times New Roman;sans-serif"/>
          <w:b w:val="false"/>
          <w:i/>
          <w:color w:val="000000"/>
          <w:sz w:val="20"/>
        </w:rPr>
        <w:t>Debt – Debt with Conversion and Other Options (Subtopic 470-20) and Derivatives and Hedging – Contracts in Entity’s Own Equity (Subtopic 815-40)</w:t>
      </w:r>
      <w:r>
        <w:rPr>
          <w:rFonts w:ascii="Times New Roman;sans-serif" w:hAnsi="Times New Roman;sans-serif"/>
          <w:b w:val="false"/>
          <w:color w:val="000000"/>
          <w:sz w:val="20"/>
        </w:rPr>
        <w:t>, effective January 1, 2024, which simplifies the accounting for convertible 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The adoption of this guidance did not have a material impact on the Company’s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November 2023,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serves to improve reportable segment disclosure requirements, primarily through enhanced disclosures about significant segment expenses on both an annual and interim basis. The guidance does not change the definition of a segment, the method for determining segments, or the criteria for aggregating operating segments into reportable segments and is effective for fiscal years beginning after December 15, 2023, and interim periods within fiscal years beginning after December 15, 2024, with early adoption permitted. We are currently evaluating the impact of the adoption of ASU 2023-07 on our consolidated financial statements; however, adoption will not impact our consolidated balance sheets and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Improvements to Income Tax Disclosures (Topic 740, Income Taxes)</w:t>
      </w:r>
      <w:r>
        <w:rPr>
          <w:rFonts w:ascii="Times New Roman;sans-serif" w:hAnsi="Times New Roman;sans-serif"/>
          <w:b w:val="false"/>
          <w:color w:val="000000"/>
          <w:sz w:val="20"/>
        </w:rPr>
        <w:t>. ASU 2023-09, which serves to enhance income tax disclosures by requiring a tabular rate reconciliation and additional information on income taxes paid. The guidance is effective for annual periods beginning after December 15, 2024, with early adoption permitted. We are currently evaluating the impact of the adoption of ASU 2023-09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 VIEs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the Company (i) deconsolidated five hospitality funds that were contributed to Caliber Hospitality, LP, whose sole general partner is the Caliber Hospitality Trust and (ii) consolidated Caliber Hospitality, LP and the Caliber Hospitality Trust, which included activity from the five previously consolidated hospitality funds and one previously unconsolidated fund because the Company was determined to be the primary beneficiary as it had the power to direct the activities and the obligation to absorb their losses through its guarantee of the indebtedness secured by the hospitality assets, which was significant to the Caliber Hospitality Trust and Caliber Hospitality, LP.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consolidated West Frontier Holdco, LLC (“West Frontier”) during the nine months ended September 30, 2023, as the Company was determined to be the primary beneficiary as the Company has the power to direct the activities of West Frontier and the obligation to absorb their losses through its guarantee of their indebtedness, which is significant to the fund. No additional VIEs were consolidated during the nine months ended September 30, 2024. The consolidation of the Caliber Hospitality Trust, Caliber Hospitality, LP, and West Frontier consisted of the following, excluding intercompany eliminations at the time of consolidation (in thousands):</w:t>
      </w:r>
    </w:p>
    <w:p>
      <w:pPr>
        <w:pStyle w:val="TextBody"/>
        <w:bidi w:val="0"/>
        <w:spacing w:before="0" w:after="0"/>
        <w:jc w:val="both"/>
        <w:rPr/>
      </w:pPr>
      <w:r>
        <w:rPr/>
      </w:r>
    </w:p>
    <w:tbl>
      <w:tblPr>
        <w:tblW w:w="4715" w:type="dxa"/>
        <w:jc w:val="left"/>
        <w:tblInd w:w="0" w:type="dxa"/>
        <w:tblLayout w:type="fixed"/>
        <w:tblCellMar>
          <w:top w:w="28" w:type="dxa"/>
          <w:left w:w="28" w:type="dxa"/>
          <w:bottom w:w="28" w:type="dxa"/>
          <w:right w:w="28" w:type="dxa"/>
        </w:tblCellMar>
      </w:tblPr>
      <w:tblGrid>
        <w:gridCol w:w="1273"/>
        <w:gridCol w:w="1121"/>
        <w:gridCol w:w="1130"/>
        <w:gridCol w:w="211"/>
        <w:gridCol w:w="826"/>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2024, L.T.D. Hospitality Group LLC (“L.T.D.”) contributed the first of nine committed hotels from L.T.D.’s portfolio to Caliber Hospitality, LP in exchange for $4.9 million in cash, net of closing costs, $9.6 million in operating partnership units, and a new $14.1 million loan facility. Upon this reconsideration event, the Company reconsidered its consolidation conclusion, given the change in economics, and concluded that it was no longer the primary beneficiary, as its potential obligation to absorb the losses, through its guarantee of the indebtedness secured by the hospitality assets, were no longer significant to Caliber Hospitality, LP or the Caliber Hospitality Trust. As such, during the nine months ended September 30, 2024, the Company deconsolidated Caliber Hospitality, LP, the Caliber Hospitality Trust, and their consolidated subsidiaries. In addition, the Company deconsolidated Elliot, a VIE that is developing a multi-family property, and DT Mesa, a VIE that is redeveloping commercial properties, as the Company was no longer determined to be the primary beneficiary upon refinancing the loan agreements. The Company aggregates and reports the results of operations of these VIEs in consolidated fund revenues and consolidated fund expenses within the accompanying consolidated statements of operations through the date of deconsolidation.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determined that the equity holders in our consolidated entities, as a group, lack the power to direct the activities that most significantly impact the entity’s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the assets of the individual consolidated VIEs can be used only to settle liabilities of each respective individual consolidated VIE and the liabilities of each respective individual consolidated VIE are liabilities for which creditors or beneficial interest holders do not have recourse to the general credit of the Company. When the VIE is consolidated, we eliminate any Platform revenues that are generated from that VIE or investments made by the Platform into the VIE and we reflect the assets, liabilities, revenues, expenses and cash flows of the consolidated funds on a gross basis, and the interests in the VIEs are included in non-controlling interest in the consolidated financial statements. The Company has provided financial support to certain of its consolidated VIEs in the form of short-term financing and guarantees of the debts of certain VIEs. In general, our maximum exposure to loss due to involvement with the consolidated VIEs is limited to the amount of capital investment in the VIE, if any, or the potential obligation to perform on the guarantee of debts.</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11 – Commitments and Contingencies for additional information related to the commitments and contingencies of these VIEs.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 Real Estate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Real Estate Investments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Asset Acquisitions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asset acquisitions by the Company during the nine months ended September 30, 2024. During the nine months ended September 30, 2023, the Company acquired its headquarters office building for an aggregate purchase price of $19.5 million with the acquisition being accounted for as an asset acquisition under U.S. GAAP.</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allocation of the purchase price among the assets acquired at their relative fair value as of the acquisition date, consisted of the following for the nine months ended September 30, 2023 (in thousands):</w:t>
      </w:r>
    </w:p>
    <w:p>
      <w:pPr>
        <w:pStyle w:val="TextBody"/>
        <w:bidi w:val="0"/>
        <w:spacing w:before="0" w:after="0"/>
        <w:jc w:val="both"/>
        <w:rPr/>
      </w:pPr>
      <w:r>
        <w:rPr/>
      </w:r>
    </w:p>
    <w:tbl>
      <w:tblPr>
        <w:tblW w:w="7185" w:type="dxa"/>
        <w:jc w:val="left"/>
        <w:tblInd w:w="0" w:type="dxa"/>
        <w:tblLayout w:type="fixed"/>
        <w:tblCellMar>
          <w:top w:w="28" w:type="dxa"/>
          <w:left w:w="28" w:type="dxa"/>
          <w:bottom w:w="28" w:type="dxa"/>
          <w:right w:w="28" w:type="dxa"/>
        </w:tblCellMar>
      </w:tblPr>
      <w:tblGrid>
        <w:gridCol w:w="1173"/>
        <w:gridCol w:w="1031"/>
        <w:gridCol w:w="1036"/>
        <w:gridCol w:w="109"/>
        <w:gridCol w:w="109"/>
        <w:gridCol w:w="109"/>
        <w:gridCol w:w="109"/>
        <w:gridCol w:w="682"/>
        <w:gridCol w:w="2330"/>
        <w:gridCol w:w="497"/>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9"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at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9"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 of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Real Estate Investments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Asset Acquisitions by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asset acquisitions by the consolidated funds during the nine months ended September 30, 2024. During the nine months ended September 30, 2023, the consolidated funds acquired one multi-family residential property for an aggregate purchase price of $6.6 million with the acquisition being accounted for as an asset acquisition under U.S. GAAP.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allocation of the purchase price among the assets acquired at their relative fair value as of the acquisition date, consisted of the following for the nine months ended September 30, 2023 (in thousands):</w:t>
      </w:r>
    </w:p>
    <w:p>
      <w:pPr>
        <w:pStyle w:val="TextBody"/>
        <w:bidi w:val="0"/>
        <w:spacing w:before="0" w:after="0"/>
        <w:jc w:val="both"/>
        <w:rPr/>
      </w:pPr>
      <w:r>
        <w:rPr/>
      </w:r>
    </w:p>
    <w:tbl>
      <w:tblPr>
        <w:tblW w:w="7185" w:type="dxa"/>
        <w:jc w:val="left"/>
        <w:tblInd w:w="0" w:type="dxa"/>
        <w:tblLayout w:type="fixed"/>
        <w:tblCellMar>
          <w:top w:w="28" w:type="dxa"/>
          <w:left w:w="28" w:type="dxa"/>
          <w:bottom w:w="28" w:type="dxa"/>
          <w:right w:w="28" w:type="dxa"/>
        </w:tblCellMar>
      </w:tblPr>
      <w:tblGrid>
        <w:gridCol w:w="1173"/>
        <w:gridCol w:w="1031"/>
        <w:gridCol w:w="1036"/>
        <w:gridCol w:w="109"/>
        <w:gridCol w:w="109"/>
        <w:gridCol w:w="109"/>
        <w:gridCol w:w="109"/>
        <w:gridCol w:w="754"/>
        <w:gridCol w:w="2201"/>
        <w:gridCol w:w="5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9"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at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9"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9"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 of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 Prepaid and Other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Prepaid and Other Assets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assets consisted of the following as of September 30, 2024 and December 31, 2023 (in thousands):</w:t>
      </w:r>
    </w:p>
    <w:p>
      <w:pPr>
        <w:pStyle w:val="TextBody"/>
        <w:bidi w:val="0"/>
        <w:spacing w:before="0" w:after="0"/>
        <w:jc w:val="both"/>
        <w:rPr/>
      </w:pPr>
      <w:r>
        <w:rPr/>
      </w:r>
    </w:p>
    <w:tbl>
      <w:tblPr>
        <w:tblW w:w="6399" w:type="dxa"/>
        <w:jc w:val="left"/>
        <w:tblInd w:w="0" w:type="dxa"/>
        <w:tblLayout w:type="fixed"/>
        <w:tblCellMar>
          <w:top w:w="28" w:type="dxa"/>
          <w:left w:w="28" w:type="dxa"/>
          <w:bottom w:w="28" w:type="dxa"/>
          <w:right w:w="28" w:type="dxa"/>
        </w:tblCellMar>
      </w:tblPr>
      <w:tblGrid>
        <w:gridCol w:w="917"/>
        <w:gridCol w:w="806"/>
        <w:gridCol w:w="811"/>
        <w:gridCol w:w="397"/>
        <w:gridCol w:w="1165"/>
        <w:gridCol w:w="207"/>
        <w:gridCol w:w="109"/>
        <w:gridCol w:w="109"/>
        <w:gridCol w:w="109"/>
        <w:gridCol w:w="380"/>
        <w:gridCol w:w="1110"/>
        <w:gridCol w:w="279"/>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Pursuit costs </w:t>
            </w:r>
            <w:r>
              <w:rPr>
                <w:rFonts w:ascii="Times New Roman;sans-serif" w:hAnsi="Times New Roman;sans-serif"/>
                <w:b w:val="false"/>
                <w:color w:val="000000"/>
                <w:sz w:val="13"/>
              </w:rPr>
              <w:t>(1)</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assets</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Prepaid and Other Assets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assets of the consolidated funds consisted of the following as of September 30, 2024 and December 31, 2023 (in thousands):</w:t>
      </w:r>
    </w:p>
    <w:tbl>
      <w:tblPr>
        <w:tblW w:w="6402" w:type="dxa"/>
        <w:jc w:val="left"/>
        <w:tblInd w:w="0" w:type="dxa"/>
        <w:tblLayout w:type="fixed"/>
        <w:tblCellMar>
          <w:top w:w="28" w:type="dxa"/>
          <w:left w:w="28" w:type="dxa"/>
          <w:bottom w:w="28" w:type="dxa"/>
          <w:right w:w="28" w:type="dxa"/>
        </w:tblCellMar>
      </w:tblPr>
      <w:tblGrid>
        <w:gridCol w:w="918"/>
        <w:gridCol w:w="807"/>
        <w:gridCol w:w="810"/>
        <w:gridCol w:w="475"/>
        <w:gridCol w:w="1049"/>
        <w:gridCol w:w="246"/>
        <w:gridCol w:w="109"/>
        <w:gridCol w:w="109"/>
        <w:gridCol w:w="109"/>
        <w:gridCol w:w="344"/>
        <w:gridCol w:w="1175"/>
        <w:gridCol w:w="251"/>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Pursuit costs</w:t>
            </w:r>
            <w:r>
              <w:rPr>
                <w:color w:val="000000"/>
              </w:rPr>
              <w:t xml:space="preserve"> </w:t>
            </w:r>
            <w:r>
              <w:rPr>
                <w:rFonts w:ascii="Times New Roman;sans-serif" w:hAnsi="Times New Roman;sans-serif"/>
                <w:b w:val="false"/>
                <w:color w:val="000000"/>
                <w:sz w:val="13"/>
              </w:rPr>
              <w:t>(1)</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franchise fees, net</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color w:val="000000"/>
                <w:sz w:val="13"/>
              </w:rPr>
              <w:t>(2)</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assets</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Other assets as of December 31, 2023, primarily represents incremental costs, including professional, legal, consulting, accounting and tax services, directly attributable to Caliber Hospitality Trust that are deferred and will be charged against the gross proceeds of the planned public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 Notes Payable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Payable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Notes payable consisted of the following as of September 30, 2024 and December 31, 2023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20"/>
        <w:gridCol w:w="578"/>
        <w:gridCol w:w="551"/>
        <w:gridCol w:w="109"/>
        <w:gridCol w:w="109"/>
        <w:gridCol w:w="109"/>
        <w:gridCol w:w="294"/>
        <w:gridCol w:w="1006"/>
        <w:gridCol w:w="151"/>
        <w:gridCol w:w="109"/>
        <w:gridCol w:w="109"/>
        <w:gridCol w:w="109"/>
        <w:gridCol w:w="288"/>
        <w:gridCol w:w="988"/>
        <w:gridCol w:w="149"/>
        <w:gridCol w:w="109"/>
        <w:gridCol w:w="109"/>
        <w:gridCol w:w="109"/>
        <w:gridCol w:w="558"/>
        <w:gridCol w:w="467"/>
        <w:gridCol w:w="1165"/>
        <w:gridCol w:w="109"/>
        <w:gridCol w:w="109"/>
        <w:gridCol w:w="109"/>
        <w:gridCol w:w="633"/>
        <w:gridCol w:w="555"/>
        <w:gridCol w:w="794"/>
      </w:tblGrid>
      <w:tr>
        <w:trPr/>
        <w:tc>
          <w:tcPr>
            <w:tcW w:w="72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Weighted Average Interest Rate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r>
      <w:tr>
        <w:trPr/>
        <w:tc>
          <w:tcPr>
            <w:tcW w:w="1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2024 - April 2026</w:t>
            </w:r>
          </w:p>
        </w:tc>
      </w:tr>
      <w:tr>
        <w:trPr/>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corporate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April 2024 - May 2025</w:t>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other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August 2024 - November 2029</w:t>
            </w:r>
          </w:p>
        </w:tc>
      </w:tr>
      <w:tr>
        <w:trPr/>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September 30, 2024.</w:t>
      </w:r>
    </w:p>
    <w:p>
      <w:pPr>
        <w:pStyle w:val="TextBody"/>
        <w:bidi w:val="0"/>
        <w:spacing w:before="0" w:after="0"/>
        <w:ind w:left="0" w:right="0" w:hanging="36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Real Estate Loans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the loan agreements described below include, among other things, certain financial covenants, as defined in the respective loan agreements, including key financial ratios and liquidity requirements.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Gateway II HoldCo, LLC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Caliber assumed a loan which is secured by the Company’s headquarters office building (see Note 4 – Real Estate Investments). The terms of the note require monthly principal and interest payments, with a balloon payment due at maturity. The loan has a fixed interest rate of 4.30% in effect through the maturity date in November 2029. The terms of the loan do not allow the prepayment of the outstanding balance in part or in whole at any time prior to the maturity date. The terms of the loan agreement include covenant clauses, which require certain key financial ratios and liquidity be met. As of September 30, 2024 and December 31, 2023, the outstanding principal balance of the loan was $16.0 million and $16.2 million, respectively. As of September 30, 2024, the debt service coverage ratio required by the loan agreement was not satisfied, which per the terms of the agreement required the Company to transfer funds to a cash management account.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Corporate Notes and Convertible Corporate Notes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multiple general corporate financing arrangements with third parties. The arrangements are generally evidenced in the form of an unsecured promissory note and require monthly or quarterly interest-only payments until maturity. The loans generally have a 12-month term and may be extended upon the mutual agreement of the lender and the borrower. Management believes it can come to a mutual agreement with each lender to extend the maturities of the notes for an additional 12-month term.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were 211 individual corporate notes outstanding, with an average outstanding principal balance of $0.2 million, interest rates ranging from 8.25% to 12.00%, with weighted average interest rate of 11.41%, and maturity dates ranging from January 2024 to April 2026. During the nine months ended September 30, 2024, there were no conversions of debt into common stock. As of November 13, 2024, an aggregate of $32.4 million of corporate and convertible notes mature within the 12-month period subsequent to when these financial statements were issued.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222 individual corporate notes outstanding, with an average outstanding principal balance of $0.2 million, interest rates ranging from 8.25% to 12.00%, with a weighted average interest rate of 11.42%, and maturity dates ranging from January 2024 to March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issued corporate notes with a conversion feature. The conversion price is $7.57 per share of common stock. The holders of the convertible corporate notes can elect to convert all or any portion of the balance at any time. As of September 30, 2024 and December 31, 2023, the value of the conversion feature was zero.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Future Minimum Payments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principal repayments of our indebtedness as of September 30, 2024 (in thousands):</w:t>
      </w:r>
    </w:p>
    <w:p>
      <w:pPr>
        <w:pStyle w:val="TextBody"/>
        <w:bidi w:val="0"/>
        <w:spacing w:before="0" w:after="0"/>
        <w:jc w:val="both"/>
        <w:rPr/>
      </w:pPr>
      <w:r>
        <w:rPr/>
      </w:r>
    </w:p>
    <w:tbl>
      <w:tblPr>
        <w:tblW w:w="4562" w:type="dxa"/>
        <w:jc w:val="left"/>
        <w:tblInd w:w="0" w:type="dxa"/>
        <w:tblLayout w:type="fixed"/>
        <w:tblCellMar>
          <w:top w:w="28" w:type="dxa"/>
          <w:left w:w="28" w:type="dxa"/>
          <w:bottom w:w="28" w:type="dxa"/>
          <w:right w:w="28" w:type="dxa"/>
        </w:tblCellMar>
      </w:tblPr>
      <w:tblGrid>
        <w:gridCol w:w="1140"/>
        <w:gridCol w:w="1000"/>
        <w:gridCol w:w="1009"/>
        <w:gridCol w:w="109"/>
        <w:gridCol w:w="109"/>
        <w:gridCol w:w="109"/>
        <w:gridCol w:w="211"/>
        <w:gridCol w:w="721"/>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2024 -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Financing Costs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for the Company was immaterial and there were no deferred financing cost write-offs during each of the three and nine months ended September 30, 2024 and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Payable of the Consolidated Funds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Notes payable of the consolidated funds consisted of the following as of September 30, 2024 and December 31, 2023, respectively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19"/>
        <w:gridCol w:w="982"/>
        <w:gridCol w:w="985"/>
        <w:gridCol w:w="109"/>
        <w:gridCol w:w="109"/>
        <w:gridCol w:w="109"/>
        <w:gridCol w:w="311"/>
        <w:gridCol w:w="1064"/>
        <w:gridCol w:w="160"/>
        <w:gridCol w:w="109"/>
        <w:gridCol w:w="109"/>
        <w:gridCol w:w="109"/>
        <w:gridCol w:w="283"/>
        <w:gridCol w:w="1110"/>
        <w:gridCol w:w="146"/>
        <w:gridCol w:w="109"/>
        <w:gridCol w:w="109"/>
        <w:gridCol w:w="109"/>
        <w:gridCol w:w="395"/>
        <w:gridCol w:w="395"/>
        <w:gridCol w:w="397"/>
        <w:gridCol w:w="109"/>
        <w:gridCol w:w="109"/>
        <w:gridCol w:w="109"/>
        <w:gridCol w:w="428"/>
        <w:gridCol w:w="428"/>
        <w:gridCol w:w="430"/>
        <w:gridCol w:w="164"/>
      </w:tblGrid>
      <w:tr>
        <w:trPr/>
        <w:tc>
          <w:tcPr>
            <w:tcW w:w="12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Hampton Inn &amp; Suites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Four Points by Sheraton Hotel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Holiday Inn Ocotillo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Airport Hotel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DoubleTree by Hilton Tucson Convention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2027</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Hilton Tucson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DT Mesa Holdco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Frontier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2038</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120,825 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Economic injury disaster and other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During the year ended December 31, 2023, the hotel ceased operations as the consolidated fund is converting the property into a multi-family residential asset.</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During the nine months ended September 30, 2024, the Company deconsolidated Caliber Hospitality, LP and the Caliber Hospitality Trust, which included activity from six hospitality funds, Elliot, which included activity from the Four Points by Sheraton Hotel, and DT Mesa.</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Real Estate Loans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September 30,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Hampton Inn &amp; Suites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2015, the previously consolidated fund entered into a loan agreement which is secured by a deed of trust and assignment of leases and rents of a hotel property in Scottsdale, Arizona. The terms of the note require monthly principal and interest payments, with a balloon payment due at maturity. The loan has a fixed interest rate of 6.12% in effect through the maturity date in July 2025. The loan is guaranteed by an individual who is an affiliate of the Company. During the nine months ended September 30, 2024, the Company deconsolidated Hampton Inn &amp; Suites Hotel, a consolidated subsidiary of Caliber Hospitality, LP (as discussed in Note 3 – VIEs).</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Four Points by Sheraton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2018, the previously consolidated fund entered into a loan agreement which is secured by a deed of trust and assignment of leases and rents of a hotel property in Phoenix, Arizona. The loan required monthly interest-only payments until maturity. The loan is guaranteed by the Company and matured in September 2023. Per the terms of this agreement, the interest rate on the loan was equal to US Prime Rate plus 2.25%, with a floor rate of 9.65%, until August 31, 2023, at which time, the interest rate increased to 18%. During the nine months ended September 30, 2024, the Company deconsolidated Elliot, which included activity from the Four Points by Sheraton Hotel (as discussed in Note 3 – VIEs).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Holiday Inn Ocotillo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2018, the previously consolidated fund entered into a loan agreement which is secured by a deed of trust and assignment of leases and rents of a hotel property in Chandler, Arizona. The loan requires monthly interest-only payments. The interest rate on the loan is equal to 1-month LIBOR plus 6.00%, with a floor rate of 11.00% until maturity in May 2023. In May 2023, the loan agreement was amended and restated with the lender, extending the maturity date to November 2023 and amending the interest rate to SOFR plus 600 basis points, with a floor rate of 11.00%. In November 2023, the loan agreement was amended with the lender, extending the maturity date to February 2024. In February 2024, the loan agreement was amended with the lender, extending the maturity date to May 2024. The loan is guaranteed by the Company. In April, 2024, the Company deconsolidated Holiday Inn Ocotillo Hotel, a consolidated subsidiary of Caliber Hospitality, LP (as discussed in Note 3 – VIEs).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Airport Hotel Portfolio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2018, the previously consolidated fund entered into a portfolio loan agreement which was secured by a deed of trust and assignment of leases and rents of the Airport Hotel Portfolio. The loan had a variable interest rate equal to one-month LIBOR plus 3.75% and the loan required interest-only payments until maturity. The loan was guaranteed by the Company and individuals who are affiliates of the Company. In January 2023, the consolidated fund paid the loan amount outstanding in full.</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previously consolidated fund entered into a loan agreement which is secured by a deed of trust and assignment of leases and rents of the Airport Hotel Portfolio. Per the terms of the loan agreement, the loan has a variable interest rate equal to SOFR plus 8.75% and matures in January 2025. In connection with the loan, the consolidated fund entered into an interest rate cap agreement, which sets the maximum SOFR rate for the loan at 5.00% through January 2024. The loan requires interest-only payments until maturity. The terms of the loan do not allow the prepayment of the outstanding balance in part prior to the maturity date but can be prepaid in whole subject to certain conditions, terms and fees outlined in the loan agreement. The terms of the loan agreement require an exit fee equal to 1.25% of the original principal amount of the loan and a minimum return equal to 30.0% of the original principal amount of the loan less any interest payments made at the time the loan is repaid in full. The exit fee was accrued upon entering into the loan and recorded as a deferred financing cost to be amortized over the life of the loan. The loan is guaranteed by the Company and individuals who are affiliates of the Company. During the nine months ended September 30, 2024, the Company deconsolidated the Airport Hotel Portfolio, consolidated subsidiaries of Caliber Hospitality, LP (as discussed in Note 3 – VIEs).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DoubleTree by Hilton Tucson Convention Center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2019, the consolidated fund entered into a loan agreement which is secured by a deed of trust and assignment of rents of the DoubleTree by Hilton Tucson Convention Center located in Tucson, Arizona. The loan has a variable interest rate per annum equal to LIBOR plus 2.50%. In connection with the loan, the consolidated fund entered into an interest rate swap agreement, which sets the interest at a fixed rate of 4.22% from September 2022 through August 2027. The loan required interest-only payments until September 2022 and principal and interest payments thereafter until maturity. The terms of the loan allow for the prepayment of the outstanding balance in whole or in part at any time prior to the maturity date. The loan matures in August 2027 and is guaranteed by the Company. In May 2024, the consolidated fund terminated the interest rate swap agreement and received $1.6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Hilton Tucson East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previously consolidated fund entered into a loan agreement which is secured by the deed of trust and assignment of rents of the Hilton Tucson East hotel located in Tucson, AZ. The loan has a fixed interest rate of 6.25% and matures in November 2025. The loan required interest-only payments until June 1, 2023 and principal and interest payments thereafter until maturity. The loan amount may be prepaid prior to maturity subject to certain conditions and terms and a prepayment fee as outlined in the agreement. During the nine months ended September 30, 2024, the Company deconsolidated the Hilton Tucson East, a consolidated subsidiary of Caliber Hospitality, LP (as discussed in Note 3 – VIEs).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DT Mesa Holdco II,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2019, the consolidated fund entered into a loan agreement which is secured by the deed of trust of a commercial building in Mesa, Arizona. The loan requires interest-only payments until maturity and the terms of the loan allow the prepayment of the outstanding balance in part or in whole at any time prior to the maturity date with no prepayment penalty. In December 2022, the terms of the loan agreement were renegotiated, extending the maturity date of the loan to November 2023 and amending the interest rate to the greater of (i) the federal home loan bank rate plus 2.75%% or (ii) 6.50%. In November 2023, the loan agreement was amended with the lender, extending the maturity date to February 2024. In February 2024, the loan agreement was amended with the lender, extending the maturity date to May 7, 2024 and waiving the minimum liquidity covenant default. In May 2024, the loan agreement was amended with the lender, extending the maturity date to August 4, 2024 and removed the minimum liquidity covenant. In September, 2024, the Company deconsolidated DT Mesa (as discussed in Note 3 – VIEs) when the loan was refinanced with a new lender.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consolidated fund entered into a loan agreement which is secured by a deed of trust and assignment of rents of a residential development property in Phoenix, Arizona. The loan initially had a fixed rate per annum equal to 9.99%. In May 2023, an extension agreement was executed with the lender, extending the maturity date to December 2023. In November 2023, an extension agreement was executed with the lender, extending the maturity date to March 2024 and amending the interest to a fixed rate of 11.99%. In February 2024 and August 2024, extension agreements were executed with the lender, extending the maturity date to September 2024 and then March 2025, respectively. The terms of the loan allow the prepayment of the outstanding balance in part or in whole at any time prior to the maturity date with no prepayment penalty. The loan is guaranteed by an individual who is an affiliate of the Company.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West Frontier Holdco,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 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Revolving Line of Credit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2019, a consolidated fund entered into a revolving line of credit (“LOC”) with a maximum borrowing amount of $4.5 million. The LOC is secured by the consolidated fund’s assets and is guaranteed by the Company. The LOC has a variable interest rate equal to the greater of (i) Wall Street Journal Prime Rate plus 0.25% per annum or (ii) 4.75%, resulting in a rate of 8.75% as of September 30, 2024. The consolidated fund is required to pay a fee of 0.20% of the unused revolving balance. In August 2023, the agreement was amended extending the maturity date of the LOC to October 2024 and removing certain restrictive covenants. The terms of the LOC include certain financial covenants and as of September 30, 2024, the consolidated fund was in compliance with all such covenants. In October 2024, the LOC was terminated, and the consolidated fund entered into a $4.5 million term loan, which is secured by the consolidated fund’s assets and is guaranteed by the Company, and matures in October 2029. The term loan has a variable interest rate equal to the sum of: (i) 3.30% plus (ii) the greater of: (a) 2.00% or (b) the forward-looking term rate based on SOFR for a one month period.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Member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and 2023, the consolidated fund, Southpointe Fundco, LLC (“Southpointe”), entered into 10.0% unsecured promissory notes with individual investors. The notes mature in June 2025 and may be extended up to two additional 12-month periods by the fund manager. The notes require quarterly interest-only payments. The terms of the notes allow the prepayment of the outstanding balance in part or in whole at any time prior to the maturity date with no prepayment penalty.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Economic Injury Disaster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the consolidated funds were granted Economic Injury Disaster Loans, which were secured by the assets of the respective funds and had a fixed interest rate of 3.75 % and matured in June 2050. At September 30, 2024, there was no outstanding principal balance. At December 31, 2023, the outstanding principal balance was $0.5 million. Fixed monthly installment payments began in December 2022 with payments applied first to accrued interest and then the balance, if any, will be applied to principal outstanding. The loans allow for prepayment of principal plus accrued interest prior to maturity. The loan agreements contain certain usual and customary restrictions and covenants relating to, among other things, insurance, and other indebtedness. In addition, the terms of the loans include a cross-default provision whereby the Small Business Administration may, in its discretion, without notice or demand require immediate payment of all amounts outstanding under the loans.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Future Debt Maturities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future aggregate principal repayments due on the Company’s notes payable are as follows (in thousands):</w:t>
      </w:r>
    </w:p>
    <w:p>
      <w:pPr>
        <w:pStyle w:val="TextBody"/>
        <w:bidi w:val="0"/>
        <w:spacing w:before="0" w:after="0"/>
        <w:jc w:val="both"/>
        <w:rPr/>
      </w:pPr>
      <w:r>
        <w:rPr/>
      </w:r>
    </w:p>
    <w:tbl>
      <w:tblPr>
        <w:tblW w:w="4562" w:type="dxa"/>
        <w:jc w:val="left"/>
        <w:tblInd w:w="0" w:type="dxa"/>
        <w:tblLayout w:type="fixed"/>
        <w:tblCellMar>
          <w:top w:w="28" w:type="dxa"/>
          <w:left w:w="28" w:type="dxa"/>
          <w:bottom w:w="28" w:type="dxa"/>
          <w:right w:w="28" w:type="dxa"/>
        </w:tblCellMar>
      </w:tblPr>
      <w:tblGrid>
        <w:gridCol w:w="1140"/>
        <w:gridCol w:w="1000"/>
        <w:gridCol w:w="1009"/>
        <w:gridCol w:w="109"/>
        <w:gridCol w:w="109"/>
        <w:gridCol w:w="109"/>
        <w:gridCol w:w="211"/>
        <w:gridCol w:w="721"/>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2024 -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Financing Costs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was immaterial during the three months ended September 30, 2024 and $0.3 million during the nine months ended September 30, 2024. Amortization of deferred financing costs was $0.4 million and $1.1 million during the three and nine months ended September 30, 2023, respectively. There were no deferred financing cost write-offs during each of the three and nine months ended September 30, 2024 and 2023.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Related Party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Platform Revenues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total revenues earned for providing services under Platform as described in the Revenue Recognition section of Note 2 – Summary of Significant Accounting Policies for the three and nine months ended September 30, 2024 and 2023.</w:t>
      </w:r>
    </w:p>
    <w:p>
      <w:pPr>
        <w:pStyle w:val="TextBody"/>
        <w:bidi w:val="0"/>
        <w:spacing w:before="0" w:after="0"/>
        <w:jc w:val="both"/>
        <w:rPr/>
      </w:pPr>
      <w:r>
        <w:rPr/>
      </w:r>
    </w:p>
    <w:tbl>
      <w:tblPr>
        <w:tblW w:w="9856" w:type="dxa"/>
        <w:jc w:val="left"/>
        <w:tblInd w:w="0" w:type="dxa"/>
        <w:tblLayout w:type="fixed"/>
        <w:tblCellMar>
          <w:top w:w="28" w:type="dxa"/>
          <w:left w:w="28" w:type="dxa"/>
          <w:bottom w:w="28" w:type="dxa"/>
          <w:right w:w="28" w:type="dxa"/>
        </w:tblCellMar>
      </w:tblPr>
      <w:tblGrid>
        <w:gridCol w:w="1104"/>
        <w:gridCol w:w="969"/>
        <w:gridCol w:w="972"/>
        <w:gridCol w:w="109"/>
        <w:gridCol w:w="109"/>
        <w:gridCol w:w="109"/>
        <w:gridCol w:w="299"/>
        <w:gridCol w:w="874"/>
        <w:gridCol w:w="154"/>
        <w:gridCol w:w="154"/>
        <w:gridCol w:w="154"/>
        <w:gridCol w:w="154"/>
        <w:gridCol w:w="299"/>
        <w:gridCol w:w="874"/>
        <w:gridCol w:w="154"/>
        <w:gridCol w:w="109"/>
        <w:gridCol w:w="109"/>
        <w:gridCol w:w="109"/>
        <w:gridCol w:w="273"/>
        <w:gridCol w:w="934"/>
        <w:gridCol w:w="141"/>
        <w:gridCol w:w="141"/>
        <w:gridCol w:w="141"/>
        <w:gridCol w:w="141"/>
        <w:gridCol w:w="273"/>
        <w:gridCol w:w="798"/>
        <w:gridCol w:w="199"/>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construction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Platform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13,283 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amounts due to the Company from related parties for services performed under the Platform was $10.8 million and $7.8 million, respectively, which is included in due from related parties on the accompanying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unsecured promissory notes with related parties. No payments are required prior to the maturity of the notes. The notes may be prepaid in whole, or in part, without penalty.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notes receivable – related parties as of September 30, 2024 and December 31, 2023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71"/>
        <w:gridCol w:w="938"/>
        <w:gridCol w:w="944"/>
        <w:gridCol w:w="109"/>
        <w:gridCol w:w="109"/>
        <w:gridCol w:w="109"/>
        <w:gridCol w:w="472"/>
        <w:gridCol w:w="909"/>
        <w:gridCol w:w="245"/>
        <w:gridCol w:w="109"/>
        <w:gridCol w:w="109"/>
        <w:gridCol w:w="109"/>
        <w:gridCol w:w="459"/>
        <w:gridCol w:w="884"/>
        <w:gridCol w:w="238"/>
        <w:gridCol w:w="109"/>
        <w:gridCol w:w="109"/>
        <w:gridCol w:w="109"/>
        <w:gridCol w:w="424"/>
        <w:gridCol w:w="424"/>
        <w:gridCol w:w="426"/>
        <w:gridCol w:w="109"/>
        <w:gridCol w:w="109"/>
        <w:gridCol w:w="109"/>
        <w:gridCol w:w="437"/>
        <w:gridCol w:w="421"/>
        <w:gridCol w:w="605"/>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r>
      <w:tr>
        <w:trPr/>
        <w:tc>
          <w:tcPr>
            <w:tcW w:w="2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Caliber Hospitality LP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Olathe Behavioral Health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2025</w:t>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Behavioral Health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2025</w:t>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2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September 30, 2024.</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During the nine months ended September 30, 2024, the Company deconsolidated Caliber Hospitality, LP and the Caliber Hospitality Trust, which included activity from six hospitality funds.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the Company earned $0.1 million and $0.2 million amount of interest in connection with the notes, which is included in interest income on the accompanying consolidated statements of operations. During the three and nine months ended September 30, 2023, the Company earned an immaterial amount of interest in connection with the notes, which is included in interest income on the accompanying consolidated statements of operations. Interest that accrues on certain related party notes receivable can be added to the principal outstanding balance, due at the respective loan maturity date and incurs interest at the respective interest rate. There was an immaterial amount of interest due to the Company as of September 30, 2024 and December 31,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has various amounts due from and/or due to related parties, including affiliate entities and individuals, for various expenses paid for by the Company on their behalf and other charges. These amounts are generally unsecured, interest-free, and due on demand. As of September 30, 2024 and December 31, 2023, other amounts due from related parties was $1.5 million and $1.9 million, respectively, which is included in due from related parties on the accompanying consolidated balance sheets. As of September 30, 2024 and December 31, 2023, other amounts due to related parties from the Company were $0.2 million and $0.3 million, respectively, which are included in due to related parties on the accompanying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entered into unsecured promissory notes with related parties. The notes may be repaid in whole, or in part, without penalty. The notes receivable – related parties consisted of the following as of September 30, 2024 and December 31, 2023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50"/>
        <w:gridCol w:w="976"/>
        <w:gridCol w:w="982"/>
        <w:gridCol w:w="109"/>
        <w:gridCol w:w="109"/>
        <w:gridCol w:w="109"/>
        <w:gridCol w:w="324"/>
        <w:gridCol w:w="1112"/>
        <w:gridCol w:w="167"/>
        <w:gridCol w:w="109"/>
        <w:gridCol w:w="109"/>
        <w:gridCol w:w="109"/>
        <w:gridCol w:w="317"/>
        <w:gridCol w:w="1088"/>
        <w:gridCol w:w="163"/>
        <w:gridCol w:w="109"/>
        <w:gridCol w:w="109"/>
        <w:gridCol w:w="109"/>
        <w:gridCol w:w="404"/>
        <w:gridCol w:w="404"/>
        <w:gridCol w:w="405"/>
        <w:gridCol w:w="109"/>
        <w:gridCol w:w="109"/>
        <w:gridCol w:w="109"/>
        <w:gridCol w:w="442"/>
        <w:gridCol w:w="400"/>
        <w:gridCol w:w="563"/>
      </w:tblGrid>
      <w:tr>
        <w:trPr/>
        <w:tc>
          <w:tcPr>
            <w:tcW w:w="115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Interest Rate</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20"/>
              </w:rPr>
              <w:t>Maturity Date</w:t>
            </w:r>
            <w:r>
              <w:rPr>
                <w:rFonts w:ascii="Times New Roman;sans-serif" w:hAnsi="Times New Roman;sans-serif"/>
                <w:b/>
                <w:color w:val="000000"/>
                <w:sz w:val="13"/>
              </w:rPr>
              <w:t>(1)</w:t>
            </w:r>
          </w:p>
        </w:tc>
      </w:tr>
      <w:tr>
        <w:trPr/>
        <w:tc>
          <w:tcPr>
            <w:tcW w:w="3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SF Alaska,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2025</w:t>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Ketch,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2026</w:t>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Circle Lofts,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2026</w:t>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Elliot &amp; 51st Street, LLC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Elliot &amp; 51st Street, LLC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April 2026</w:t>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J-25 Development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2026</w:t>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Diversified Opportunity Fund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Ridge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Ironwood,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47th Street Phoenix Fund,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2025</w:t>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Southridge,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2025</w:t>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Caliber Hospitality, LP</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Caliber Hospitality, LP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2026</w:t>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 Spruce,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2026</w:t>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Ridge,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2026</w:t>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September 30, 2024.</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During the nine months ended September 30, 2024, the Company deconsolidated Caliber Hospitality, LP and the Caliber Hospitality Trust, which included activity from six hospitality funds, and Elliot.</w:t>
      </w:r>
    </w:p>
    <w:p>
      <w:pPr>
        <w:pStyle w:val="TextBody"/>
        <w:bidi w:val="0"/>
        <w:spacing w:before="0" w:after="0"/>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the consolidated fund earned $1.7 million and $4.3 million, respectively, and during the three and nine months ended September 30, 2023, the consolidated fund earned $0.9 million and $2.7 million, respectively, of interest in connection with the notes, which is included in consolidated funds – other revenues on the accompanying consolidated statements of operations. Interest that accrues on certain related party notes receivable, in which the consolidated fund and respective borrower mutually agreed, is added to the principal outstanding balance, due at the respective loan maturity date and incurs interest at the respective interest rate. Interest due to the Company was $0.1 million as of September 30, 2024, which was included in prepaid and other assets on the accompanying consolidated balance sheets. No interest was due to the Company as of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Notes Payable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Caliber Hospitality, LP had aggregate notes payable outstanding of $12.1 million to Caliber Tax Advantage Opportunity Zone Fund, LP and Caliber Tax Advantaged Opportunity Zone Fund II, LLC. During the nine months ended September 30, 2024, the Company deconsolidated Caliber Hospitality, LP and the Caliber Hospitality Trust. The Company also deconsolidated Elliot during the nine months ended September 30, 2024. Southpointe borrowed and paid back $0.5 million from Elliot during the nine months ended September 30, 2024. See discussion of deconsolidations in Note 3 – VIEs.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2024, the consolidated funds did not incur interest expense in connection with the notes payable – related parties. During the nine months ended September 30, 2024, the consolidated funds incurred $0.3 million and during three and nine months ended September 30, 2023, the consolidated funds earned $0.3 million and $0.8 million, respectively, of interest expense in connection with the notes payable – related parties, which is included in consolidated funds – hospitality expenses and consolidated funds – other expenses on the accompanying consolidated statements of operations. As of December 31, 2023, there was $0.1 million of interest expense payable which is included in due to related parties on the accompanying consolidated balance sheets.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As of September 30, 2024, other amounts due from related parties was $0.1 million and as of December 31, 2023, there were an immaterial amount of other amounts due from related parties, which is included in prepaid and other assets on the accompanying consolidated balance sheets. As of September 30, 2024 and December 31, 2023, there was an immaterial amount of other amounts due to related parties, which is included in due to related parties on the accompanying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Lessor -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Rental revenue of the Company includes the revenues generated by the rental operations of one commercial office property, which was acquired in January 2023. As of September 30, 2024, the leases have non-cancelable remaining lease terms from 0.4 years to 9.8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September 30, 2024, the Company does not have any material related party leases as a lessor. The components of rental revenue for the three and nine months ended September 30, 2024 and 2023, are presented in the table below (in thousands). Variable rental revenue is primarily costs reimbursed related to common area maintenance.</w:t>
      </w:r>
    </w:p>
    <w:p>
      <w:pPr>
        <w:pStyle w:val="TextBody"/>
        <w:bidi w:val="0"/>
        <w:spacing w:before="0" w:after="0"/>
        <w:jc w:val="both"/>
        <w:rPr/>
      </w:pPr>
      <w:r>
        <w:rPr/>
      </w:r>
    </w:p>
    <w:tbl>
      <w:tblPr>
        <w:tblW w:w="7667" w:type="dxa"/>
        <w:jc w:val="left"/>
        <w:tblInd w:w="0" w:type="dxa"/>
        <w:tblLayout w:type="fixed"/>
        <w:tblCellMar>
          <w:top w:w="28" w:type="dxa"/>
          <w:left w:w="28" w:type="dxa"/>
          <w:bottom w:w="28" w:type="dxa"/>
          <w:right w:w="28" w:type="dxa"/>
        </w:tblCellMar>
      </w:tblPr>
      <w:tblGrid>
        <w:gridCol w:w="309"/>
        <w:gridCol w:w="271"/>
        <w:gridCol w:w="275"/>
        <w:gridCol w:w="109"/>
        <w:gridCol w:w="109"/>
        <w:gridCol w:w="109"/>
        <w:gridCol w:w="346"/>
        <w:gridCol w:w="765"/>
        <w:gridCol w:w="179"/>
        <w:gridCol w:w="179"/>
        <w:gridCol w:w="179"/>
        <w:gridCol w:w="179"/>
        <w:gridCol w:w="346"/>
        <w:gridCol w:w="765"/>
        <w:gridCol w:w="179"/>
        <w:gridCol w:w="109"/>
        <w:gridCol w:w="109"/>
        <w:gridCol w:w="109"/>
        <w:gridCol w:w="286"/>
        <w:gridCol w:w="836"/>
        <w:gridCol w:w="147"/>
        <w:gridCol w:w="147"/>
        <w:gridCol w:w="147"/>
        <w:gridCol w:w="147"/>
        <w:gridCol w:w="286"/>
        <w:gridCol w:w="836"/>
        <w:gridCol w:w="209"/>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due to the Company under non-cancellable operating leases over the next five years and thereafter as of September 30, 2024, are as follows (in thousands): </w:t>
      </w:r>
    </w:p>
    <w:p>
      <w:pPr>
        <w:pStyle w:val="TextBody"/>
        <w:bidi w:val="0"/>
        <w:spacing w:before="0" w:after="0"/>
        <w:jc w:val="both"/>
        <w:rPr/>
      </w:pPr>
      <w:r>
        <w:rPr/>
      </w:r>
    </w:p>
    <w:tbl>
      <w:tblPr>
        <w:tblW w:w="4784" w:type="dxa"/>
        <w:jc w:val="left"/>
        <w:tblInd w:w="0" w:type="dxa"/>
        <w:tblLayout w:type="fixed"/>
        <w:tblCellMar>
          <w:top w:w="28" w:type="dxa"/>
          <w:left w:w="28" w:type="dxa"/>
          <w:bottom w:w="28" w:type="dxa"/>
          <w:right w:w="28" w:type="dxa"/>
        </w:tblCellMar>
      </w:tblPr>
      <w:tblGrid>
        <w:gridCol w:w="1140"/>
        <w:gridCol w:w="1000"/>
        <w:gridCol w:w="1009"/>
        <w:gridCol w:w="109"/>
        <w:gridCol w:w="109"/>
        <w:gridCol w:w="109"/>
        <w:gridCol w:w="211"/>
        <w:gridCol w:w="616"/>
        <w:gridCol w:w="109"/>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2024 -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Lessor -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Rental revenue of the consolidated funds includes the revenues generated primarily by the rental operations of two multi-family residential properties, including Circle Lofts, which was deconsolidated during the year ended December 2023, and two commercial properties, including Northsight Crossing, which was sold in October 2023 and DT Mesa, which was deconsolidated in September 2024. As of September 30, 2024, the leases have non-cancelable remaining lease terms from 0.1 years to 1.0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September 30, 2024, the consolidated funds do not have any material related party leases as a lessor. The components of rental revenue for the three and nine months ended September 30, 2024 and 2023 (in thousands) are presented in the table below. Variable rental revenue are primarily costs reimbursed related to common area maintenance.</w:t>
      </w:r>
    </w:p>
    <w:p>
      <w:pPr>
        <w:pStyle w:val="TextBody"/>
        <w:bidi w:val="0"/>
        <w:spacing w:before="0" w:after="0"/>
        <w:jc w:val="both"/>
        <w:rPr/>
      </w:pPr>
      <w:r>
        <w:rPr/>
      </w:r>
    </w:p>
    <w:tbl>
      <w:tblPr>
        <w:tblW w:w="7669" w:type="dxa"/>
        <w:jc w:val="left"/>
        <w:tblInd w:w="0" w:type="dxa"/>
        <w:tblLayout w:type="fixed"/>
        <w:tblCellMar>
          <w:top w:w="28" w:type="dxa"/>
          <w:left w:w="28" w:type="dxa"/>
          <w:bottom w:w="28" w:type="dxa"/>
          <w:right w:w="28" w:type="dxa"/>
        </w:tblCellMar>
      </w:tblPr>
      <w:tblGrid>
        <w:gridCol w:w="309"/>
        <w:gridCol w:w="271"/>
        <w:gridCol w:w="275"/>
        <w:gridCol w:w="109"/>
        <w:gridCol w:w="109"/>
        <w:gridCol w:w="109"/>
        <w:gridCol w:w="321"/>
        <w:gridCol w:w="709"/>
        <w:gridCol w:w="166"/>
        <w:gridCol w:w="166"/>
        <w:gridCol w:w="166"/>
        <w:gridCol w:w="166"/>
        <w:gridCol w:w="321"/>
        <w:gridCol w:w="938"/>
        <w:gridCol w:w="166"/>
        <w:gridCol w:w="109"/>
        <w:gridCol w:w="109"/>
        <w:gridCol w:w="109"/>
        <w:gridCol w:w="286"/>
        <w:gridCol w:w="836"/>
        <w:gridCol w:w="147"/>
        <w:gridCol w:w="147"/>
        <w:gridCol w:w="147"/>
        <w:gridCol w:w="147"/>
        <w:gridCol w:w="286"/>
        <w:gridCol w:w="836"/>
        <w:gridCol w:w="209"/>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due to the consolidated funds under non-cancellable operating leases over the next five years and thereafter as of September 30, 2024, are as follows (in thousands): </w:t>
      </w:r>
    </w:p>
    <w:p>
      <w:pPr>
        <w:pStyle w:val="TextBody"/>
        <w:bidi w:val="0"/>
        <w:spacing w:before="0" w:after="0"/>
        <w:jc w:val="both"/>
        <w:rPr/>
      </w:pPr>
      <w:r>
        <w:rPr/>
      </w:r>
    </w:p>
    <w:tbl>
      <w:tblPr>
        <w:tblW w:w="4634" w:type="dxa"/>
        <w:jc w:val="left"/>
        <w:tblInd w:w="0" w:type="dxa"/>
        <w:tblLayout w:type="fixed"/>
        <w:tblCellMar>
          <w:top w:w="28" w:type="dxa"/>
          <w:left w:w="28" w:type="dxa"/>
          <w:bottom w:w="28" w:type="dxa"/>
          <w:right w:w="28" w:type="dxa"/>
        </w:tblCellMar>
      </w:tblPr>
      <w:tblGrid>
        <w:gridCol w:w="1140"/>
        <w:gridCol w:w="1000"/>
        <w:gridCol w:w="1009"/>
        <w:gridCol w:w="109"/>
        <w:gridCol w:w="109"/>
        <w:gridCol w:w="109"/>
        <w:gridCol w:w="211"/>
        <w:gridCol w:w="466"/>
        <w:gridCol w:w="109"/>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2024 -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 Other Liabilities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Liabilities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consisted of the following as of September 30, 2024 and December 31, 2023 (in thousands):</w:t>
      </w:r>
    </w:p>
    <w:p>
      <w:pPr>
        <w:pStyle w:val="TextBody"/>
        <w:bidi w:val="0"/>
        <w:spacing w:before="0" w:after="0"/>
        <w:jc w:val="both"/>
        <w:rPr/>
      </w:pPr>
      <w:r>
        <w:rPr/>
      </w:r>
    </w:p>
    <w:tbl>
      <w:tblPr>
        <w:tblW w:w="6550" w:type="dxa"/>
        <w:jc w:val="left"/>
        <w:tblInd w:w="0" w:type="dxa"/>
        <w:tblLayout w:type="fixed"/>
        <w:tblCellMar>
          <w:top w:w="28" w:type="dxa"/>
          <w:left w:w="28" w:type="dxa"/>
          <w:bottom w:w="28" w:type="dxa"/>
          <w:right w:w="28" w:type="dxa"/>
        </w:tblCellMar>
      </w:tblPr>
      <w:tblGrid>
        <w:gridCol w:w="973"/>
        <w:gridCol w:w="853"/>
        <w:gridCol w:w="858"/>
        <w:gridCol w:w="475"/>
        <w:gridCol w:w="1049"/>
        <w:gridCol w:w="246"/>
        <w:gridCol w:w="109"/>
        <w:gridCol w:w="109"/>
        <w:gridCol w:w="109"/>
        <w:gridCol w:w="448"/>
        <w:gridCol w:w="992"/>
        <w:gridCol w:w="329"/>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net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 allowance</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Deposits </w:t>
            </w:r>
            <w:r>
              <w:rPr>
                <w:rFonts w:ascii="Times New Roman;sans-serif" w:hAnsi="Times New Roman;sans-serif"/>
                <w:b w:val="false"/>
                <w:color w:val="000000"/>
                <w:sz w:val="13"/>
              </w:rPr>
              <w:t>(1)</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tenant security deposits.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Liabilities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of the consolidated funds consisted of the following as of September 30, 2024 and December 31, 2023 (in thousands):</w:t>
      </w:r>
    </w:p>
    <w:p>
      <w:pPr>
        <w:pStyle w:val="TextBody"/>
        <w:bidi w:val="0"/>
        <w:spacing w:before="0" w:after="0"/>
        <w:jc w:val="both"/>
        <w:rPr/>
      </w:pPr>
      <w:r>
        <w:rPr/>
      </w:r>
    </w:p>
    <w:tbl>
      <w:tblPr>
        <w:tblW w:w="5996" w:type="dxa"/>
        <w:jc w:val="left"/>
        <w:tblInd w:w="0" w:type="dxa"/>
        <w:tblLayout w:type="fixed"/>
        <w:tblCellMar>
          <w:top w:w="28" w:type="dxa"/>
          <w:left w:w="28" w:type="dxa"/>
          <w:bottom w:w="28" w:type="dxa"/>
          <w:right w:w="28" w:type="dxa"/>
        </w:tblCellMar>
      </w:tblPr>
      <w:tblGrid>
        <w:gridCol w:w="770"/>
        <w:gridCol w:w="679"/>
        <w:gridCol w:w="681"/>
        <w:gridCol w:w="475"/>
        <w:gridCol w:w="1049"/>
        <w:gridCol w:w="246"/>
        <w:gridCol w:w="109"/>
        <w:gridCol w:w="109"/>
        <w:gridCol w:w="109"/>
        <w:gridCol w:w="380"/>
        <w:gridCol w:w="1110"/>
        <w:gridCol w:w="279"/>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key money, net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Deposits </w:t>
            </w:r>
            <w:r>
              <w:rPr>
                <w:rFonts w:ascii="Times New Roman;sans-serif" w:hAnsi="Times New Roman;sans-serif"/>
                <w:b w:val="false"/>
                <w:color w:val="000000"/>
                <w:sz w:val="13"/>
              </w:rPr>
              <w:t>(1)</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payable</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hotel advance deposits and tenant security and pet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 Supplemental Cash Flow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consisted of the following for the nine months ended September 30, 2024 and 2023 (in thousands):</w:t>
      </w:r>
    </w:p>
    <w:tbl>
      <w:tblPr>
        <w:tblW w:w="10205" w:type="dxa"/>
        <w:jc w:val="left"/>
        <w:tblInd w:w="0" w:type="dxa"/>
        <w:tblLayout w:type="fixed"/>
        <w:tblCellMar>
          <w:top w:w="28" w:type="dxa"/>
          <w:left w:w="28" w:type="dxa"/>
          <w:bottom w:w="28" w:type="dxa"/>
          <w:right w:w="28" w:type="dxa"/>
        </w:tblCellMar>
      </w:tblPr>
      <w:tblGrid>
        <w:gridCol w:w="2630"/>
        <w:gridCol w:w="2254"/>
        <w:gridCol w:w="2265"/>
        <w:gridCol w:w="109"/>
        <w:gridCol w:w="109"/>
        <w:gridCol w:w="109"/>
        <w:gridCol w:w="256"/>
        <w:gridCol w:w="749"/>
        <w:gridCol w:w="132"/>
        <w:gridCol w:w="132"/>
        <w:gridCol w:w="132"/>
        <w:gridCol w:w="132"/>
        <w:gridCol w:w="256"/>
        <w:gridCol w:w="749"/>
        <w:gridCol w:w="191"/>
      </w:tblGrid>
      <w:tr>
        <w:trPr/>
        <w:tc>
          <w:tcPr>
            <w:tcW w:w="263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none of which was capitalized for the nine months ended September 30,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capitalized interest of $2 and $31 for the nine months ended September 30,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note receivable - related party due to 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receivable - related party due to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related party eliminated in 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investments in unconsolidated entities due to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 included in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lieu of cash payment for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 eliminated in 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note receivable - related party due to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 non-cash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7081" w:type="dxa"/>
        <w:jc w:val="left"/>
        <w:tblInd w:w="0" w:type="dxa"/>
        <w:tblLayout w:type="fixed"/>
        <w:tblCellMar>
          <w:top w:w="28" w:type="dxa"/>
          <w:left w:w="28" w:type="dxa"/>
          <w:bottom w:w="28" w:type="dxa"/>
          <w:right w:w="28" w:type="dxa"/>
        </w:tblCellMar>
      </w:tblPr>
      <w:tblGrid>
        <w:gridCol w:w="1222"/>
        <w:gridCol w:w="1074"/>
        <w:gridCol w:w="1078"/>
        <w:gridCol w:w="109"/>
        <w:gridCol w:w="109"/>
        <w:gridCol w:w="109"/>
        <w:gridCol w:w="532"/>
        <w:gridCol w:w="321"/>
        <w:gridCol w:w="321"/>
        <w:gridCol w:w="321"/>
        <w:gridCol w:w="321"/>
        <w:gridCol w:w="321"/>
        <w:gridCol w:w="451"/>
        <w:gridCol w:w="321"/>
        <w:gridCol w:w="471"/>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137,571 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ownership and operation of real estate assets, the Company may potentially be liable for costs and damages related to environmental matters. The Company believes it is in material compliance with current laws and regulations and does not know of any existing environmental condition nor has it been notified by any governmental authority of any non-compliance, liability or other claim, in each case, that could result in a material effect on our financial condition or results of operations.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Caliber Tax Advantaged Opportunity Fund LP</w:t>
      </w:r>
    </w:p>
    <w:p>
      <w:pPr>
        <w:pStyle w:val="TextBody"/>
        <w:bidi w:val="0"/>
        <w:spacing w:before="0" w:after="0"/>
        <w:jc w:val="both"/>
        <w:rPr/>
      </w:pPr>
      <w:r>
        <w:rPr/>
      </w:r>
    </w:p>
    <w:p>
      <w:pPr>
        <w:pStyle w:val="TextBody"/>
        <w:bidi w:val="0"/>
        <w:spacing w:lineRule="auto" w:line="292"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Caliber O-Zone Fund Manager, LLC (the “CTAF Fund Manager”) is a wholly-owned subsidiary of the Company and general partner and manager of Caliber Tax Advantaged Opportunity Fund LP (“CTAF”). In the event of a dissolution, winding-up, or termination, if the aggregate amount received by the CTAF limited partners does not equal or exceed an amount equal to a 6% IRR for the limited partners, the CTAF Fund Manager shall immediately contribute to CTAF funds in order to meet this minimum requirement for payment to the CTAF limited partners. As of September 30, 2024 and December 31, 2023, the Company estimated fair value of CTAF was less than the 6% IRR for the limited partners.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Caliber Tax Advantaged Opportunity Fund II LLC</w:t>
      </w:r>
    </w:p>
    <w:p>
      <w:pPr>
        <w:pStyle w:val="TextBody"/>
        <w:bidi w:val="0"/>
        <w:spacing w:before="0" w:after="0"/>
        <w:jc w:val="both"/>
        <w:rPr/>
      </w:pPr>
      <w:r>
        <w:rPr/>
      </w:r>
    </w:p>
    <w:p>
      <w:pPr>
        <w:pStyle w:val="TextBody"/>
        <w:bidi w:val="0"/>
        <w:spacing w:lineRule="auto" w:line="292"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Caliber O-Zone Fund II Manager, LLC (the “CTAF II Fund Manager”) is a wholly-owned subsidiary of the Company and general partner and manager of Caliber Tax Advantaged Opportunity Zone Fund II LLC (“CTAF II”). In the event of a dissolution, winding-up, or termination, if the aggregate amount received by the CTAF II investor members does not equal or exceed an amount equal to a 6% IRR for the investor members, the CTAF II Fund Manager shall immediately contribute to CTAF II funds in order to meet this minimum requirement for payment to the CTAF II investor members. As of September 30, 2024 and December 31, 2023, the Company estimated fair value of CTAF was less than the 6% IRR for the investor members.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Franchise Agreements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hospitality funds consolidated during the three and nine months ended September 30, 2024 and 2023, are parties to franchise agreements where the fund is required to pay monthly fees, consisting of royalty, program, and food and beverage fees. At September 30, 2024, the consolidated hospitality fund is a party to a franchise agreement that expires in November 2026. The consolidated funds recognized total franchise fees of $0.2 million and $2.7 million for the three and nine months ended September 30, 2024, respectively, and $0.8 million, and $3.5 million for the three and nine months ended September 30, 2023,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Net Income (Loss) Per Share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calculated by dividing net income (loss) attributable to common stockholders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considered the two-class method in calculating the basic and diluted earnings per share; however, it was determined there was no impact to the calculation of basic and diluted net income (loss) per share attributable to common shareholders as Class A and Class B common stock share in the same earnings and profits; thus, having no impact on the calculation.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calculated the basic and diluted earnings per share during the three and nine months ended September 30, 2024 and 2023 as follows (in thousands, except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06"/>
        <w:gridCol w:w="1354"/>
        <w:gridCol w:w="1362"/>
        <w:gridCol w:w="269"/>
        <w:gridCol w:w="654"/>
        <w:gridCol w:w="139"/>
        <w:gridCol w:w="139"/>
        <w:gridCol w:w="139"/>
        <w:gridCol w:w="139"/>
        <w:gridCol w:w="269"/>
        <w:gridCol w:w="863"/>
        <w:gridCol w:w="139"/>
        <w:gridCol w:w="109"/>
        <w:gridCol w:w="109"/>
        <w:gridCol w:w="109"/>
        <w:gridCol w:w="240"/>
        <w:gridCol w:w="765"/>
        <w:gridCol w:w="123"/>
        <w:gridCol w:w="123"/>
        <w:gridCol w:w="123"/>
        <w:gridCol w:w="123"/>
        <w:gridCol w:w="240"/>
        <w:gridCol w:w="885"/>
        <w:gridCol w:w="184"/>
      </w:tblGrid>
      <w:tr>
        <w:trPr/>
        <w:tc>
          <w:tcPr>
            <w:tcW w:w="160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2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62"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CaliberCos Inc.</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interest</w:t>
            </w:r>
          </w:p>
        </w:tc>
        <w:tc>
          <w:tcPr>
            <w:tcW w:w="92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shareholders of CaliberCos Inc.</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62"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19,688</w:t>
            </w:r>
          </w:p>
        </w:tc>
      </w:tr>
      <w:tr>
        <w:trPr/>
        <w:tc>
          <w:tcPr>
            <w:tcW w:w="432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 - options, net</w:t>
            </w:r>
          </w:p>
        </w:tc>
        <w:tc>
          <w:tcPr>
            <w:tcW w:w="106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w:t>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 - convertible debt, net</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2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062"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24,867</w:t>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21,238</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w:t>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19,688</w:t>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attributable to common shareholders</w:t>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8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 attributable to common shareholders</w:t>
            </w:r>
          </w:p>
        </w:tc>
        <w:tc>
          <w:tcPr>
            <w:tcW w:w="2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number of antidilutive shares </w:t>
      </w:r>
      <w:r>
        <w:rPr>
          <w:rFonts w:ascii="Times New Roman;sans-serif" w:hAnsi="Times New Roman;sans-serif"/>
          <w:b w:val="false"/>
          <w:color w:val="000000"/>
          <w:sz w:val="20"/>
          <w:shd w:fill="FFFFFF" w:val="clear"/>
        </w:rPr>
        <w:t xml:space="preserve">consisted of the potential exercise of stock options and potential conversion of convertible debt. The following table summarizes these potential exercises and conversions during the </w:t>
      </w:r>
      <w:r>
        <w:rPr>
          <w:rFonts w:ascii="Times New Roman;sans-serif" w:hAnsi="Times New Roman;sans-serif"/>
          <w:b w:val="false"/>
          <w:color w:val="000000"/>
          <w:sz w:val="20"/>
        </w:rPr>
        <w:t>three and nine months ended September 30, 2024 and 2023</w:t>
      </w:r>
      <w:r>
        <w:rPr>
          <w:rFonts w:ascii="Times New Roman;sans-serif" w:hAnsi="Times New Roman;sans-serif"/>
          <w:b w:val="false"/>
          <w:color w:val="000000"/>
          <w:sz w:val="20"/>
          <w:shd w:fill="FFFFFF" w:val="clear"/>
        </w:rPr>
        <w:t>, which h</w:t>
      </w:r>
      <w:r>
        <w:rPr>
          <w:rFonts w:ascii="Times New Roman;sans-serif" w:hAnsi="Times New Roman;sans-serif"/>
          <w:b w:val="false"/>
          <w:color w:val="000000"/>
          <w:sz w:val="20"/>
        </w:rPr>
        <w:t>ave been excluded from the computation of diluted earnings per share attributable to common shareholders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50"/>
        <w:gridCol w:w="1354"/>
        <w:gridCol w:w="1362"/>
        <w:gridCol w:w="324"/>
        <w:gridCol w:w="301"/>
        <w:gridCol w:w="301"/>
        <w:gridCol w:w="301"/>
        <w:gridCol w:w="301"/>
        <w:gridCol w:w="301"/>
        <w:gridCol w:w="333"/>
        <w:gridCol w:w="301"/>
        <w:gridCol w:w="303"/>
        <w:gridCol w:w="109"/>
        <w:gridCol w:w="109"/>
        <w:gridCol w:w="109"/>
        <w:gridCol w:w="323"/>
        <w:gridCol w:w="291"/>
        <w:gridCol w:w="291"/>
        <w:gridCol w:w="291"/>
        <w:gridCol w:w="291"/>
        <w:gridCol w:w="291"/>
        <w:gridCol w:w="323"/>
        <w:gridCol w:w="291"/>
        <w:gridCol w:w="292"/>
        <w:gridCol w:w="162"/>
      </w:tblGrid>
      <w:tr>
        <w:trPr/>
        <w:tc>
          <w:tcPr>
            <w:tcW w:w="15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common shares, if stock options were exercised</w:t>
            </w:r>
          </w:p>
        </w:tc>
        <w:tc>
          <w:tcPr>
            <w:tcW w:w="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common shares, if convertible debt were converted</w:t>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w:t>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Fair Value of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financial instruments held by the Company are estimated using available market information and established valuation methodologies. Accordingly, the estimates presented are not necessarily indicative of the amounts the Company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fair value of the Company’s fixed rate debt were measured with</w:t>
      </w:r>
      <w:r>
        <w:rPr>
          <w:color w:val="000000"/>
          <w:shd w:fill="FFFFFF" w:val="clear"/>
        </w:rPr>
        <w:t xml:space="preserve"> </w:t>
      </w:r>
      <w:r>
        <w:rPr>
          <w:rFonts w:ascii="Times New Roman;sans-serif" w:hAnsi="Times New Roman;sans-serif"/>
          <w:b w:val="false"/>
          <w:color w:val="000000"/>
          <w:sz w:val="20"/>
          <w:shd w:fill="FFFFFF" w:val="clear"/>
        </w:rPr>
        <w:t>Level 2 inputs. The estimated fair value of the Company’s real estate loan was determined by management based on a discounted future cash-flow model. As of September 30, 2024, the Company’s real estate loan had a carrying value</w:t>
      </w:r>
      <w:r>
        <w:rPr>
          <w:color w:val="000000"/>
        </w:rPr>
        <w:t xml:space="preserve"> </w:t>
      </w:r>
      <w:r>
        <w:rPr>
          <w:rFonts w:ascii="Times New Roman;sans-serif" w:hAnsi="Times New Roman;sans-serif"/>
          <w:b w:val="false"/>
          <w:color w:val="000000"/>
          <w:sz w:val="20"/>
        </w:rPr>
        <w:t>of $16.0 million and a fair value of $9.9 million. As of December 31, 2023, the Company’s real estate loan had a carrying value of $16.2 million and a fair value of $9.5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financial instruments held by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approximate fair value due to the short-term nature of the instruments consist of cash, restricted cash, accounts receivable, and accounts payable. The fair values of debt, advance key money, and interest rate caps have been estimated based on current rates available for similar instruments with similar terms, maturities, and collateral. The carrying values of the consolidated funds’ variable rate debt and advance key money as of September 30, 2024 and December 31, 2023, approximated fair value. The fair value of the consolidated funds’ fixed rate debt were measured with Level 2 inputs. The estimated fair values for the instruments below were determined by management based on a discounted future cash-flow model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tbl>
      <w:tblPr>
        <w:tblW w:w="7854" w:type="dxa"/>
        <w:jc w:val="left"/>
        <w:tblInd w:w="0" w:type="dxa"/>
        <w:tblLayout w:type="fixed"/>
        <w:tblCellMar>
          <w:top w:w="28" w:type="dxa"/>
          <w:left w:w="28" w:type="dxa"/>
          <w:bottom w:w="28" w:type="dxa"/>
          <w:right w:w="28" w:type="dxa"/>
        </w:tblCellMar>
      </w:tblPr>
      <w:tblGrid>
        <w:gridCol w:w="952"/>
        <w:gridCol w:w="835"/>
        <w:gridCol w:w="838"/>
        <w:gridCol w:w="109"/>
        <w:gridCol w:w="109"/>
        <w:gridCol w:w="109"/>
        <w:gridCol w:w="261"/>
        <w:gridCol w:w="503"/>
        <w:gridCol w:w="137"/>
        <w:gridCol w:w="109"/>
        <w:gridCol w:w="109"/>
        <w:gridCol w:w="109"/>
        <w:gridCol w:w="296"/>
        <w:gridCol w:w="570"/>
        <w:gridCol w:w="153"/>
        <w:gridCol w:w="109"/>
        <w:gridCol w:w="109"/>
        <w:gridCol w:w="109"/>
        <w:gridCol w:w="211"/>
        <w:gridCol w:w="616"/>
        <w:gridCol w:w="109"/>
        <w:gridCol w:w="109"/>
        <w:gridCol w:w="109"/>
        <w:gridCol w:w="109"/>
        <w:gridCol w:w="229"/>
        <w:gridCol w:w="669"/>
        <w:gridCol w:w="167"/>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Hampton Inn &amp; Suites Hotel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Tucson East, LLC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Frontier,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During the nine months ended September 30, 2024, the Company deconsolidated Caliber Hospitality, LP and the Caliber Hospitality Trust, which included activity from six hospitality funds.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 Derivative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 Management Objective of Using Derivatives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utilize derivative instruments, including interest rate caps and swaps, to reduce interest rate risk associated with its borrowings. Our consolidated funds do not intend to utilize derivatives for purposes other than interest rate risk management.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Derivatives Designated as Hedging Instruments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did not have any derivatives designated as hedging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have entered into interest rate caps and swaps. The following table summarizes the consolidated funds non-designated derivatives as of September 30, 2024 and December 31, 2023 (dollar amounts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12"/>
        <w:gridCol w:w="537"/>
        <w:gridCol w:w="539"/>
        <w:gridCol w:w="109"/>
        <w:gridCol w:w="109"/>
        <w:gridCol w:w="109"/>
        <w:gridCol w:w="668"/>
        <w:gridCol w:w="668"/>
        <w:gridCol w:w="670"/>
        <w:gridCol w:w="137"/>
        <w:gridCol w:w="137"/>
        <w:gridCol w:w="137"/>
        <w:gridCol w:w="443"/>
        <w:gridCol w:w="853"/>
        <w:gridCol w:w="226"/>
        <w:gridCol w:w="109"/>
        <w:gridCol w:w="109"/>
        <w:gridCol w:w="109"/>
        <w:gridCol w:w="668"/>
        <w:gridCol w:w="668"/>
        <w:gridCol w:w="670"/>
        <w:gridCol w:w="109"/>
        <w:gridCol w:w="109"/>
        <w:gridCol w:w="109"/>
        <w:gridCol w:w="306"/>
        <w:gridCol w:w="1049"/>
        <w:gridCol w:w="236"/>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Instruments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r>
      <w:tr>
        <w:trPr/>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rate cap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73,418 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of the consolidated funds’ non-designated derivatives, as well as their classification on the consolidated balance sheets, as of September 30, 2024 and December 31, 2023 (in thousands):</w:t>
      </w:r>
    </w:p>
    <w:p>
      <w:pPr>
        <w:pStyle w:val="TextBody"/>
        <w:bidi w:val="0"/>
        <w:spacing w:before="0" w:after="0"/>
        <w:jc w:val="both"/>
        <w:rPr/>
      </w:pPr>
      <w:r>
        <w:rPr/>
      </w:r>
    </w:p>
    <w:tbl>
      <w:tblPr>
        <w:tblW w:w="10025" w:type="dxa"/>
        <w:jc w:val="left"/>
        <w:tblInd w:w="0" w:type="dxa"/>
        <w:tblLayout w:type="fixed"/>
        <w:tblCellMar>
          <w:top w:w="28" w:type="dxa"/>
          <w:left w:w="28" w:type="dxa"/>
          <w:bottom w:w="28" w:type="dxa"/>
          <w:right w:w="28" w:type="dxa"/>
        </w:tblCellMar>
      </w:tblPr>
      <w:tblGrid>
        <w:gridCol w:w="625"/>
        <w:gridCol w:w="549"/>
        <w:gridCol w:w="551"/>
        <w:gridCol w:w="109"/>
        <w:gridCol w:w="109"/>
        <w:gridCol w:w="109"/>
        <w:gridCol w:w="1259"/>
        <w:gridCol w:w="1259"/>
        <w:gridCol w:w="1262"/>
        <w:gridCol w:w="109"/>
        <w:gridCol w:w="109"/>
        <w:gridCol w:w="109"/>
        <w:gridCol w:w="514"/>
        <w:gridCol w:w="989"/>
        <w:gridCol w:w="267"/>
        <w:gridCol w:w="109"/>
        <w:gridCol w:w="109"/>
        <w:gridCol w:w="109"/>
        <w:gridCol w:w="380"/>
        <w:gridCol w:w="1110"/>
        <w:gridCol w:w="279"/>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Prepaid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rate cap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3056dfa6fbd49328256d19d95cd5dce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gain or loss recognized in consolidated funds - hospitality expenses in the consolidated statements of operations for three and nine months ended September 30, 2024 and 2023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899"/>
        <w:gridCol w:w="839"/>
        <w:gridCol w:w="841"/>
        <w:gridCol w:w="109"/>
        <w:gridCol w:w="109"/>
        <w:gridCol w:w="109"/>
        <w:gridCol w:w="298"/>
        <w:gridCol w:w="575"/>
        <w:gridCol w:w="153"/>
        <w:gridCol w:w="153"/>
        <w:gridCol w:w="153"/>
        <w:gridCol w:w="153"/>
        <w:gridCol w:w="298"/>
        <w:gridCol w:w="659"/>
        <w:gridCol w:w="153"/>
        <w:gridCol w:w="109"/>
        <w:gridCol w:w="109"/>
        <w:gridCol w:w="109"/>
        <w:gridCol w:w="282"/>
        <w:gridCol w:w="623"/>
        <w:gridCol w:w="145"/>
        <w:gridCol w:w="145"/>
        <w:gridCol w:w="145"/>
        <w:gridCol w:w="145"/>
        <w:gridCol w:w="282"/>
        <w:gridCol w:w="623"/>
        <w:gridCol w:w="220"/>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44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144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rate cap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During the nine months ended September 30, 2024, the interest rate swap was terminated.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During the nine months ended September 30, 2024, the Company deconsolidated Caliber Hospitality, LP and the Caliber Hospitality Trust, which included activity from six hospitality funds.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15 – Subsequent Events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events and transactions that occurred after September 30, 2024 through November 13, 2024, the date these consolidated financial statement were available to be issued. There were no material events or transactions in addition to those matters discussed in Note 6 – Notes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consolidated financial statements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in the Company’s Annual Report on Form 10-K filed with the SEC on April 15, 2024. Capitalized terms used herein, but not otherwise defined, shall have the meaning ascribed to those terms in the “Part I - Financial Information,” including the related notes to the consolidated financial statements contained therein.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15 years, Caliber has grown into a leading diversified alternative asset management firm, with more than $2.9 billion in assets under management (“AUM”) and assets under development (“AUD”). Caliber’s primary goal is to enhance the wealth of accredited investors seeking to make investments in middle-market assets. We strive to build wealth for our clients by creating, managing, and servicing middle-market investment funds, private syndications, and direct investments. Through our funds, we invest primarily in real estate, private equity, and debt facilities. We market and fundraise to direct channels and to wholesale channels.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an alternative asset manager, we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earn the following fees from providing these services under our asset management platform (the “Platform”):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Fund set-up fees are a one-time fee for the initial formation, administration, and set-up of fund products we distribute and manage. These fees are recognized at the point in time when the performance under the contract is complete.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0.70% of the Caliber Hospitality Trust’s enterprise value and is reimbursed for certain costs incurred on behalf of the Caliber Hospitality Trust.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Real estate development revenues are generally based on 4.0% of the total expected costs of the development or 4.0% of the total expected costs of the construction project for services performed as the principal developer, which include managing and supervising third-party developers and general contractors with respect to the development of the properties owned by the funds.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Brokerage fees are earned at a point in time at fixed rates for services performed related to acquisitions, dispositions, leasing, and financing transactions.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Company’s operations were organized into three reportable segments: fund management, development, and brokerage. During the year ended December 31, 2023, the Company reevaluated its reportable segments, considering (i) the evolution of the Company after closing its initial public offering and how the Company’s chief operating decision maker (“CODM”), the Company’s Chief Executive Officer, assesses performance and allocates resources, (ii) changes to the budgeting process and in key personnel driven by the Company’s growth initiatives, and (iii) how management reports ongoing company performance to the Board of Directors. With the evolution and growth of the Company, the Company’s CODM assesses performance and resource allocation on an aggregate basis under the Company’s asset management Platform, and no longer reviews operating results for development or brokerage activity separately. As such, management concluded that the Company operates through one operating segment.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the Company’s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Caliber was originally founded as Caliber Companies, LLC, an Arizona limited liability company, organized under the laws of Arizona, and commenced operations in January 2009. In November 2014, the Company was reorganized as a Nevada corporation and in June 2018, we reincorporated in the state of Delaware. On our website we make available, free of charge, information about the Company and its’ investments. None of the information on our website is deemed to be part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Trends Affecting Our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Our business is driven by trends which affect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Capital formation:</w:t>
      </w:r>
      <w:r>
        <w:rPr>
          <w:color w:val="000000"/>
        </w:rPr>
        <w:t> </w:t>
      </w:r>
      <w:r>
        <w:rPr>
          <w:rFonts w:ascii="Times New Roman;sans-serif" w:hAnsi="Times New Roman;sans-serif"/>
          <w:b w:val="false"/>
          <w:color w:val="000000"/>
          <w:sz w:val="20"/>
        </w:rPr>
        <w:t>any trend which increases or decreases investors’ knowledge of alternative investments, desire to acquire them, access to acquire them, and knowledge and appreciation of Caliber as a potential provider, will affect our ability to attract and raise new capital. Capital formation also drives investment acquisitions, which contribute to Caliber’s revenues.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rPr>
        <w:t>Investment acquisition:</w:t>
      </w:r>
      <w:r>
        <w:rPr>
          <w:color w:val="000000"/>
        </w:rPr>
        <w:t> </w:t>
      </w:r>
      <w:r>
        <w:rPr>
          <w:rFonts w:ascii="Times New Roman;sans-serif" w:hAnsi="Times New Roman;sans-serif"/>
          <w:b w:val="false"/>
          <w:color w:val="000000"/>
          <w:sz w:val="20"/>
        </w:rPr>
        <w:t>any trend which increases or decreases the supply of middle-market real estate projects or loans, the accessibility of developments or development incentives, or enhances or detracts from Caliber’s ability to access those projects will affect our ability to generate revenue. Coincidentally, investment acquisitions, or the rights to acquire an investment, drive capital formation – creating a flywheel effect for Caliber.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rPr>
        <w:t>Project execution:</w:t>
      </w:r>
      <w:r>
        <w:rPr>
          <w:color w:val="000000"/>
        </w:rPr>
        <w:t> </w:t>
      </w:r>
      <w:r>
        <w:rPr>
          <w:rFonts w:ascii="Times New Roman;sans-serif" w:hAnsi="Times New Roman;sans-serif"/>
          <w:b w:val="false"/>
          <w:color w:val="000000"/>
          <w:sz w:val="20"/>
        </w:rPr>
        <w:t>any trend which increases or decreases the costs of execution on a real estate project, including materials pricing, labor pricing, access to materials, delays due to governmental action, and the general labor market, will affect Caliber’s ability to generate revenues.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business depends in large part on our ability to raise capital for our funds from investors. Since our inception, we have continued to successfully raise capital into our funds with our total capital raised through September 30, 2024 of approxi</w:t>
      </w:r>
      <w:r>
        <w:rPr>
          <w:rFonts w:ascii="Times New Roman;sans-serif" w:hAnsi="Times New Roman;sans-serif"/>
          <w:b w:val="false"/>
          <w:color w:val="000000"/>
          <w:sz w:val="20"/>
          <w:shd w:fill="FFFFFF" w:val="clear"/>
        </w:rPr>
        <w:t xml:space="preserve">mately </w:t>
      </w:r>
      <w:r>
        <w:rPr>
          <w:rFonts w:ascii="Times New Roman;sans-serif" w:hAnsi="Times New Roman;sans-serif"/>
          <w:b w:val="false"/>
          <w:color w:val="000000"/>
          <w:sz w:val="20"/>
        </w:rPr>
        <w:t>$710.5 million. Our success at raising new capital into our funds is impacted by the extent to which new investors see alternative assets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Caliber manages throughout the deal cycle will continue to offer an attractive value proposition to investors.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United States of America’s House of Representatives unanimously approved legislation that would increase the number of investors who can participate in private offerings of securities by expanding the accredited investor criteria. The Fair Investment Opportunities for Professional Experts Act would expand the definition of accredited investor to include people with certain licenses, education or professional experience. The Accredited Investor Definition Review Act would give the SEC discretion to determine the certifications, designations or credentials investors must possess to be accredited and directs the SEC to review the accredited investor definition every five years. We believe these government actions will increase the size of our potential investor base significantly, however we cannot yet assess the number of newly accredited investors that would have the ability or interest to invest in a Caliber fund.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had historical successes, there can be no assurance that fundraising for our new and existing funds will experience similar success. If we were unable to raise such capital, we would be unable to deploy such capital into investments, which would materially reduce our revenues and cash flow and adversely affect our financial condition.</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we expanded our access to institutional capital by entering into an agreement with Skyway Capital Markets to serve as a managing broker-dealer for our primary investment products. The agreement designates Skyway to assist us to raise capital primarily from third party broker-dealers and registered investment advisors, many of which have an existing business relationship with Skyway. Skyway will assist us in our efforts to hire, train and manage a national wholesaling team, secure selling agreements, and provide appropriate due diligence to advisors distributing our funds. Our current managing broker-dealer will remain engaged with us to supervise and manage our existing private client sales team and to join Skyway as a selling group member.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advancement of real estate investment-oriented technology, sometimes referred to as “proptech” offers Caliber the benefit of new and innovative technologies to better execute on capital formation strategies, investment acquisition strategies, and investment management strategies. In recent years, Caliber has added to its technology stack with systems that we believe lead the market in their specific ability to enhance execution on our projects. Several of these technologies seek to incorporate investments in artificial intelligence, which we believe will be a prevailing trend in helping Caliber to enhance its project execution going forward.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Regional conflicts and instability, such as those in Israel and Ukraine, can have significant impacts on global markets and economies and investor perception and tolerance for risk. These conflicts could lead to increased volatility in financial markets, disrupt supply chains, and change investor appetite for investments in alternative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Environment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Global markets are experiencing significant volatility driven by concerns over inflation, elevated interest rates, slowing economic growth and geopolitical uncertainty. The annual inflation rate in the United States increased to 9.1% in June 2022, the highest rate since November 1981, but decreased to 2.4% in September 2024. As a result, from January 1, 2022 through September 18, 2024, the Federal Reserve increased the federal funds rate by 525 basis points, but subsequently, on September 19, 2024, the Federal Reserve decreased the federal funds rate by 50 basis points.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Caliber’s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Caliber’s early years of operations. In both a buyer’s market and a stressed or distressed market, Caliber expects its business model to outperform, as our direct access to investor capital and our ability to invest in a variety of asset classes allows Caliber to move with the market and take advantage of potentially attractive prices. For project execution, inflation has increased the cost of nearly all building materials and labor types, increasing the cost of construction and renovation of our funds’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Key Financial Measures and Indicators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consolidated financial statements included herein.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Total 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the majority of our revenue in the form of asset management fee revenues and performance allocations. Included within our consolidated results, are the related revenues of certain consolidated VIEs.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Total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expenses include operating costs, general and administrative, marketing and advertising and depreciation and amortization. Included within our consolidated results, are the related expenses of consolidated VIEs.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 Income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(expenses) include interest expense and interest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231F20"/>
          <w:sz w:val="20"/>
        </w:rPr>
      </w:pPr>
      <w:r>
        <w:rPr>
          <w:rFonts w:ascii="Times New Roman;sans-serif" w:hAnsi="Times New Roman;sans-serif"/>
          <w:b/>
          <w:color w:val="231F2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Consolidated Results of Operations for the Three Months Ended September 30, 2024 and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results of operations are impacted by the timing of consolidation, deconsolidation, and operating performance of our consolidated and previously consolidated funds. Periods presented may not be comparable due to the consolidation or deconsolidation certain funds. In particular, the Company deconsolidated Caliber Hospitality, LP, the Caliber Hospitality Trust, and their consolidated subsidiaries, Elliot, and DT Mesa during the nine months ended September 30, 2024. The following table and discussion provide insight into our consolidated results of operations for the three months ended September 30, 2024 and 2023 (in thousands):</w:t>
      </w:r>
    </w:p>
    <w:p>
      <w:pPr>
        <w:pStyle w:val="TextBody"/>
        <w:bidi w:val="0"/>
        <w:spacing w:before="0" w:after="0"/>
        <w:jc w:val="both"/>
        <w:rPr/>
      </w:pPr>
      <w:r>
        <w:rPr/>
      </w:r>
    </w:p>
    <w:tbl>
      <w:tblPr>
        <w:tblW w:w="10106" w:type="dxa"/>
        <w:jc w:val="left"/>
        <w:tblInd w:w="0" w:type="dxa"/>
        <w:tblLayout w:type="fixed"/>
        <w:tblCellMar>
          <w:top w:w="28" w:type="dxa"/>
          <w:left w:w="28" w:type="dxa"/>
          <w:bottom w:w="28" w:type="dxa"/>
          <w:right w:w="28" w:type="dxa"/>
        </w:tblCellMar>
      </w:tblPr>
      <w:tblGrid>
        <w:gridCol w:w="1508"/>
        <w:gridCol w:w="1325"/>
        <w:gridCol w:w="1337"/>
        <w:gridCol w:w="289"/>
        <w:gridCol w:w="845"/>
        <w:gridCol w:w="149"/>
        <w:gridCol w:w="149"/>
        <w:gridCol w:w="149"/>
        <w:gridCol w:w="149"/>
        <w:gridCol w:w="289"/>
        <w:gridCol w:w="948"/>
        <w:gridCol w:w="149"/>
        <w:gridCol w:w="109"/>
        <w:gridCol w:w="109"/>
        <w:gridCol w:w="109"/>
        <w:gridCol w:w="211"/>
        <w:gridCol w:w="616"/>
        <w:gridCol w:w="109"/>
        <w:gridCol w:w="109"/>
        <w:gridCol w:w="109"/>
        <w:gridCol w:w="109"/>
        <w:gridCol w:w="308"/>
        <w:gridCol w:w="308"/>
        <w:gridCol w:w="614"/>
      </w:tblGrid>
      <w:tr>
        <w:trPr/>
        <w:tc>
          <w:tcPr>
            <w:tcW w:w="150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1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8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revenues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revenues</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3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10,428 </w:t>
            </w:r>
          </w:p>
        </w:tc>
        <w:tc>
          <w:tcPr>
            <w:tcW w:w="14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28,430 </w:t>
            </w:r>
          </w:p>
        </w:tc>
        <w:tc>
          <w:tcPr>
            <w:tcW w:w="14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(18,002)</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before income taxes</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CaliberCos Inc.</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total revenues were $11.3 million and $17.0 million, respectively, representing a period-over-period decrease of 33.6%, which was primarily due to a decrease in consolidated fund revenues. This decrease was primarily due to the deconsolidation of Caliber Hospitality, LP and the Caliber Hospitality Trust in March 2024 and was partially offset by an increase in asset management revenue due to an increase in fund management revenues. See the Segment Analysis section below in which revenues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total expenses were $10.4 million and $28.4 million, respectively, representing a period-over-period decrease of 63.3%. The increase was primarily due to a decrease in consolidated fund expenses which was primarily due to the deconsolidation of Caliber Hospitality, LP and Caliber Hospitality Trust in March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Comparison of the Platform (Unconsolidated) Results of Operations for the Three Months Ended September 30, 2024 and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and discussion provide insight into our unconsolidated results of operations of the Platform for the three months ended September 30, 2024 and 2023 (in thousands). Unconsolidated Platform revenues and expenses are presented on a basis that deconsolidates our consolidated funds (intercompany eliminations) and eliminates noncontrolling interest. As a result, unconsolidated Platform revenues are different than those presented on a consolidated basis in accordance with U.S. GAAP, because fee revenue is eliminated in consolidation when it is derived from a consolidated fund and due to the exclusion of the fund revenue recognized by the consolidated funds. Furthermore, unconsolidated Platform expenses are also different than those presented on a consolidated U.S. GAAP basis due to the exclusion of fund expenses that are paid by the consolidated funds. See the Non-GAAP Measures section below for reconciliations of the unconsolidated Platform results to the most comparable U.S. GAAP measure.</w:t>
      </w:r>
    </w:p>
    <w:p>
      <w:pPr>
        <w:pStyle w:val="TextBody"/>
        <w:bidi w:val="0"/>
        <w:spacing w:before="0" w:after="0"/>
        <w:jc w:val="both"/>
        <w:rPr/>
      </w:pPr>
      <w:r>
        <w:rPr/>
      </w:r>
    </w:p>
    <w:tbl>
      <w:tblPr>
        <w:tblW w:w="9206" w:type="dxa"/>
        <w:jc w:val="left"/>
        <w:tblInd w:w="0" w:type="dxa"/>
        <w:tblLayout w:type="fixed"/>
        <w:tblCellMar>
          <w:top w:w="28" w:type="dxa"/>
          <w:left w:w="28" w:type="dxa"/>
          <w:bottom w:w="28" w:type="dxa"/>
          <w:right w:w="28" w:type="dxa"/>
        </w:tblCellMar>
      </w:tblPr>
      <w:tblGrid>
        <w:gridCol w:w="1182"/>
        <w:gridCol w:w="1039"/>
        <w:gridCol w:w="1049"/>
        <w:gridCol w:w="289"/>
        <w:gridCol w:w="845"/>
        <w:gridCol w:w="149"/>
        <w:gridCol w:w="149"/>
        <w:gridCol w:w="149"/>
        <w:gridCol w:w="149"/>
        <w:gridCol w:w="289"/>
        <w:gridCol w:w="948"/>
        <w:gridCol w:w="149"/>
        <w:gridCol w:w="109"/>
        <w:gridCol w:w="109"/>
        <w:gridCol w:w="109"/>
        <w:gridCol w:w="211"/>
        <w:gridCol w:w="616"/>
        <w:gridCol w:w="109"/>
        <w:gridCol w:w="109"/>
        <w:gridCol w:w="109"/>
        <w:gridCol w:w="109"/>
        <w:gridCol w:w="307"/>
        <w:gridCol w:w="309"/>
        <w:gridCol w:w="614"/>
      </w:tblGrid>
      <w:tr>
        <w:trPr/>
        <w:tc>
          <w:tcPr>
            <w:tcW w:w="118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8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revenues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3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4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6,656 </w:t>
            </w:r>
          </w:p>
        </w:tc>
        <w:tc>
          <w:tcPr>
            <w:tcW w:w="14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before income taxes</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total revenues were $7.4 million and $3.7 million, respectively, representing a period-over-period increase of 98.9%. The table below (in thousands) compares the revenues earned for providing services under the Company’s asset management Platform as described in the Revenue Recognition section of Note 2 – Summary of Significant Accounting Policies for the three months ended September 30, 2024, to the revenues earned for the same period in 2023.</w:t>
      </w:r>
    </w:p>
    <w:p>
      <w:pPr>
        <w:pStyle w:val="TextBody"/>
        <w:bidi w:val="0"/>
        <w:spacing w:before="0" w:after="0"/>
        <w:jc w:val="both"/>
        <w:rPr/>
      </w:pPr>
      <w:r>
        <w:rPr/>
      </w:r>
    </w:p>
    <w:tbl>
      <w:tblPr>
        <w:tblW w:w="9548" w:type="dxa"/>
        <w:jc w:val="left"/>
        <w:tblInd w:w="0" w:type="dxa"/>
        <w:tblLayout w:type="fixed"/>
        <w:tblCellMar>
          <w:top w:w="28" w:type="dxa"/>
          <w:left w:w="28" w:type="dxa"/>
          <w:bottom w:w="28" w:type="dxa"/>
          <w:right w:w="28" w:type="dxa"/>
        </w:tblCellMar>
      </w:tblPr>
      <w:tblGrid>
        <w:gridCol w:w="1190"/>
        <w:gridCol w:w="1045"/>
        <w:gridCol w:w="1050"/>
        <w:gridCol w:w="109"/>
        <w:gridCol w:w="109"/>
        <w:gridCol w:w="109"/>
        <w:gridCol w:w="299"/>
        <w:gridCol w:w="874"/>
        <w:gridCol w:w="154"/>
        <w:gridCol w:w="154"/>
        <w:gridCol w:w="154"/>
        <w:gridCol w:w="154"/>
        <w:gridCol w:w="299"/>
        <w:gridCol w:w="874"/>
        <w:gridCol w:w="154"/>
        <w:gridCol w:w="109"/>
        <w:gridCol w:w="109"/>
        <w:gridCol w:w="109"/>
        <w:gridCol w:w="211"/>
        <w:gridCol w:w="616"/>
        <w:gridCol w:w="109"/>
        <w:gridCol w:w="109"/>
        <w:gridCol w:w="109"/>
        <w:gridCol w:w="109"/>
        <w:gridCol w:w="308"/>
        <w:gridCol w:w="308"/>
        <w:gridCol w:w="61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 set-up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 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construction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Brokerage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unconsolidated Platform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fund set-up fees is due to capital raise fees earned related to an existing fund during the three months ended September 30,2024, as well as revenue earned from two new fund offerings during the nine months ended September 30, 2024, for which revenue was not recognized in 2023.</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fund management fees is related to an increase of managed capital and fees earned from the Caliber Hospitality Trust related to the acquisition of one hotel property. Fund management fees were based on 1.0% to 1.5% of the unreturned capital contributions in each fund and a fund management fee of 0.7% of the Caliber Hospitality Trust’s enterprise value.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development and construction fees is primarily due to the commencement of two new development projects, in addition to the achievement of milestones related to existing construction activities.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total expenses were $6.5 million and $6.7 million, respectively, representing a period-over-period decrease of 2.4%. The decrease was primarily due to a decrease in general and administrative expenses related to a decrease in legal fees, partially offset by an increase in accounting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Consolidated Results of Operations for the Nine Months Ended September 30, 2024 and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results of operations are impacted by the timing of consolidation, deconsolidation, and operating performance of our consolidated and previously consolidated funds. Periods presented may not be comparable due to the consolidation or deconsolidation certain funds. In particular, the Company deconsolidated Caliber Hospitality, LP, the Caliber Hospitality Trust, and their consolidated subsidiaries, Elliot, and DT Mesa during the nine months ended September 30, 2024. The following table and discussion provide insight into our consolidated results of operations for the nine months ended September 30, 2024 and 2023 (in thousands):</w:t>
      </w:r>
    </w:p>
    <w:p>
      <w:pPr>
        <w:pStyle w:val="TextBody"/>
        <w:bidi w:val="0"/>
        <w:spacing w:before="0" w:after="0"/>
        <w:jc w:val="both"/>
        <w:rPr/>
      </w:pPr>
      <w:r>
        <w:rPr/>
      </w:r>
    </w:p>
    <w:tbl>
      <w:tblPr>
        <w:tblW w:w="9850" w:type="dxa"/>
        <w:jc w:val="left"/>
        <w:tblInd w:w="0" w:type="dxa"/>
        <w:tblLayout w:type="fixed"/>
        <w:tblCellMar>
          <w:top w:w="28" w:type="dxa"/>
          <w:left w:w="28" w:type="dxa"/>
          <w:bottom w:w="28" w:type="dxa"/>
          <w:right w:w="28" w:type="dxa"/>
        </w:tblCellMar>
      </w:tblPr>
      <w:tblGrid>
        <w:gridCol w:w="1432"/>
        <w:gridCol w:w="1258"/>
        <w:gridCol w:w="1270"/>
        <w:gridCol w:w="254"/>
        <w:gridCol w:w="871"/>
        <w:gridCol w:w="131"/>
        <w:gridCol w:w="131"/>
        <w:gridCol w:w="131"/>
        <w:gridCol w:w="131"/>
        <w:gridCol w:w="254"/>
        <w:gridCol w:w="961"/>
        <w:gridCol w:w="131"/>
        <w:gridCol w:w="109"/>
        <w:gridCol w:w="109"/>
        <w:gridCol w:w="109"/>
        <w:gridCol w:w="211"/>
        <w:gridCol w:w="691"/>
        <w:gridCol w:w="109"/>
        <w:gridCol w:w="109"/>
        <w:gridCol w:w="109"/>
        <w:gridCol w:w="109"/>
        <w:gridCol w:w="308"/>
        <w:gridCol w:w="308"/>
        <w:gridCol w:w="614"/>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5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revenues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revenues</w:t>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15,389 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16,205 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23,191 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59,676 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2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50,391 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88,849 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(38,458)</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total revenues were $42.4 million and $67.0 million, respectively, representing a period-over-period decrease of 36.7%, which was primarily due to a decrease in consolidated fund revenues as a result of the deconsolidation of Caliber Hospitality, LP and the Caliber Hospitality Trust in March 2024. See the Segment Analysis section below in which revenues are presented on a basis that deconsolidates our consolidated funds. As a result, Platform segment revenues are different than those presented on a consolidated basis in accordance with U.S. GAAP, because these fees are eliminated in consolidation when they are derived from a consolidated fund.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total expenses were $50.4 million and $88.8 million, respectively, representing a period-over-period decrease of 43.3%. The increase was primarily due to a decrease in consolidated fund expenses which was primarily due to the deconsolidation of Caliber Hospitality, LP and Caliber Hospitality Trust in March 2024.</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Comparison of the Asset Management Platform (Unconsolidated) Results of Operations for the Nine Months Ended September 30, 2024 and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and discussion provide insight into our unconsolidated results of operations of the Platform for the nine months ended September 30, 2024 and 2023 (in thousands).</w:t>
      </w:r>
    </w:p>
    <w:p>
      <w:pPr>
        <w:pStyle w:val="TextBody"/>
        <w:bidi w:val="0"/>
        <w:spacing w:before="0" w:after="0"/>
        <w:jc w:val="both"/>
        <w:rPr/>
      </w:pPr>
      <w:r>
        <w:rPr/>
      </w:r>
    </w:p>
    <w:tbl>
      <w:tblPr>
        <w:tblW w:w="8484" w:type="dxa"/>
        <w:jc w:val="left"/>
        <w:tblInd w:w="0" w:type="dxa"/>
        <w:tblLayout w:type="fixed"/>
        <w:tblCellMar>
          <w:top w:w="28" w:type="dxa"/>
          <w:left w:w="28" w:type="dxa"/>
          <w:bottom w:w="28" w:type="dxa"/>
          <w:right w:w="28" w:type="dxa"/>
        </w:tblCellMar>
      </w:tblPr>
      <w:tblGrid>
        <w:gridCol w:w="938"/>
        <w:gridCol w:w="824"/>
        <w:gridCol w:w="832"/>
        <w:gridCol w:w="262"/>
        <w:gridCol w:w="898"/>
        <w:gridCol w:w="135"/>
        <w:gridCol w:w="135"/>
        <w:gridCol w:w="135"/>
        <w:gridCol w:w="135"/>
        <w:gridCol w:w="262"/>
        <w:gridCol w:w="898"/>
        <w:gridCol w:w="135"/>
        <w:gridCol w:w="109"/>
        <w:gridCol w:w="109"/>
        <w:gridCol w:w="109"/>
        <w:gridCol w:w="211"/>
        <w:gridCol w:w="691"/>
        <w:gridCol w:w="109"/>
        <w:gridCol w:w="109"/>
        <w:gridCol w:w="109"/>
        <w:gridCol w:w="109"/>
        <w:gridCol w:w="306"/>
        <w:gridCol w:w="310"/>
        <w:gridCol w:w="61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revenues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16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16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15,971 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15,912 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16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6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22,416 </w:t>
            </w:r>
          </w:p>
        </w:tc>
        <w:tc>
          <w:tcPr>
            <w:tcW w:w="13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21,655 </w:t>
            </w:r>
          </w:p>
        </w:tc>
        <w:tc>
          <w:tcPr>
            <w:tcW w:w="13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6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6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16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total revenues were $16.4 million and $13.5 million, respectively, representing a period-over-period increase of 21.6%. The table below (in thousands) compares the revenues earned for providing services under the Company’s asset management Platform as described in the Revenue Recognition section of Note 2 – Summary of Significant Accounting Policies for the nine months ended September 30, 2024 to the revenues earned for the same period in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tbl>
      <w:tblPr>
        <w:tblW w:w="9127" w:type="dxa"/>
        <w:jc w:val="left"/>
        <w:tblInd w:w="0" w:type="dxa"/>
        <w:tblLayout w:type="fixed"/>
        <w:tblCellMar>
          <w:top w:w="28" w:type="dxa"/>
          <w:left w:w="28" w:type="dxa"/>
          <w:bottom w:w="28" w:type="dxa"/>
          <w:right w:w="28" w:type="dxa"/>
        </w:tblCellMar>
      </w:tblPr>
      <w:tblGrid>
        <w:gridCol w:w="1081"/>
        <w:gridCol w:w="950"/>
        <w:gridCol w:w="954"/>
        <w:gridCol w:w="109"/>
        <w:gridCol w:w="109"/>
        <w:gridCol w:w="109"/>
        <w:gridCol w:w="262"/>
        <w:gridCol w:w="898"/>
        <w:gridCol w:w="135"/>
        <w:gridCol w:w="135"/>
        <w:gridCol w:w="135"/>
        <w:gridCol w:w="135"/>
        <w:gridCol w:w="262"/>
        <w:gridCol w:w="898"/>
        <w:gridCol w:w="135"/>
        <w:gridCol w:w="109"/>
        <w:gridCol w:w="109"/>
        <w:gridCol w:w="109"/>
        <w:gridCol w:w="211"/>
        <w:gridCol w:w="616"/>
        <w:gridCol w:w="109"/>
        <w:gridCol w:w="109"/>
        <w:gridCol w:w="109"/>
        <w:gridCol w:w="109"/>
        <w:gridCol w:w="308"/>
        <w:gridCol w:w="308"/>
        <w:gridCol w:w="61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 set-up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 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construction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Brokerage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unconsolidated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fund set-up fees is due to capital raise fees earned related to an existing fund during the three months ended September 30,2024, as well as revenue earned from two new fund offerings during the nine months ended September 30, 2024, for which revenue was not recognized in 2023.</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fund management fees is related to an increase of managed capital and fees earned from the Caliber Hospitality Trust related to the acquisition of one hotel property. Fund management fees were based on 1.0% to 1.5% of the unreturned capital contributions in each fund and a fund management fee of 0.7% of the Caliber Hospitality Trust’s enterprise value.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performance allocations is due to the carried interest earned related to the contribution of the hospitality assets to Caliber Hospitality, LP in March 2023.</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total expenses were $22.4 million and $21.7 million, respectively, representing a period-over-period increase of 3.5%. The increase was primarily due to an increase in general and administrative expenses related to accounting and consulting fees, and software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was $1.5 million for the nine months ended September 30, 2024, as compared to $0.3 million for the nine months ended September 30, 2023. The increase is primarily due to an increase in rental and reimbursement revenue from space leased at the Company’s corporate headquarters.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interest expense was $4.0 million and $3.4 million, respectively. The increase was primarily due to the increase in the weighted average corporate notes outstanding during the nine months ended September 30, 2024, as compared to the same period in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231F20"/>
          <w:sz w:val="20"/>
        </w:rPr>
        <w:t xml:space="preserve">Quarterly Results of Operations - </w:t>
      </w:r>
      <w:r>
        <w:rPr>
          <w:rFonts w:ascii="Times New Roman;sans-serif" w:hAnsi="Times New Roman;sans-serif"/>
          <w:b/>
          <w:i/>
          <w:color w:val="000000"/>
          <w:sz w:val="20"/>
        </w:rPr>
        <w:t>Asset Management Platform (Unconsolidated)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and discussion provide insight into our unconsolidated results of operations of the asset management Platform for the last eight quarters. Unconsolidated revenues and expenses are presented on a basis that deconsolidates our consolidated funds (intercompany eliminations) and eliminates noncontrolling interest. As a result, unconsolidated revenues are different than those presented on a consolidated basis in accordance with U.S. GAAP, because fee revenue is eliminated in consolidation when it is derived from a consolidated fund and due to the exclusion of the fund revenue recognized by the consolidated funds. Furthermore, unconsolidated expenses are also different than those presented on a consolidated U.S. GAAP basis due to the exclusion of fund expenses that are paid by the consolidated funds. See the Non-GAAP Measures section below for reconciliations of the unconsolidated results to the most comparable U.S. GAAP measure.</w:t>
      </w:r>
    </w:p>
    <w:p>
      <w:pPr>
        <w:pStyle w:val="TextBody"/>
        <w:bidi w:val="0"/>
        <w:spacing w:before="0" w:after="0"/>
        <w:jc w:val="both"/>
        <w:rPr/>
      </w:pPr>
      <w:r>
        <w:rPr/>
      </w:r>
    </w:p>
    <w:tbl>
      <w:tblPr>
        <w:tblW w:w="11203" w:type="dxa"/>
        <w:jc w:val="left"/>
        <w:tblInd w:w="0" w:type="dxa"/>
        <w:tblLayout w:type="fixed"/>
        <w:tblCellMar>
          <w:top w:w="28" w:type="dxa"/>
          <w:left w:w="28" w:type="dxa"/>
          <w:bottom w:w="28" w:type="dxa"/>
          <w:right w:w="28" w:type="dxa"/>
        </w:tblCellMar>
      </w:tblPr>
      <w:tblGrid>
        <w:gridCol w:w="602"/>
        <w:gridCol w:w="382"/>
        <w:gridCol w:w="307"/>
        <w:gridCol w:w="211"/>
        <w:gridCol w:w="631"/>
        <w:gridCol w:w="109"/>
        <w:gridCol w:w="109"/>
        <w:gridCol w:w="109"/>
        <w:gridCol w:w="109"/>
        <w:gridCol w:w="211"/>
        <w:gridCol w:w="616"/>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1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 30, 2024</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84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8,197 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27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231F20"/>
          <w:sz w:val="20"/>
        </w:rPr>
        <w:t xml:space="preserve">Quarterly Balance Sheets - </w:t>
      </w:r>
      <w:r>
        <w:rPr>
          <w:rFonts w:ascii="Times New Roman;sans-serif" w:hAnsi="Times New Roman;sans-serif"/>
          <w:b/>
          <w:i/>
          <w:color w:val="000000"/>
          <w:sz w:val="20"/>
        </w:rPr>
        <w:t>Asset Management Platform (Unconsolidated)</w:t>
      </w:r>
    </w:p>
    <w:p>
      <w:pPr>
        <w:pStyle w:val="TextBody"/>
        <w:bidi w:val="0"/>
        <w:spacing w:before="0" w:after="0"/>
        <w:jc w:val="both"/>
        <w:rPr/>
      </w:pPr>
      <w:r>
        <w:rPr/>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and discussion provide insight into our unconsolidated balance sheets of the asset management Platform for the last eight quarters. Unconsolidated assets, liabilities and stockholders’ equity are presented on a basis that deconsolidates our consolidated funds (intercompany eliminations). Total assets, total liabilities, and total stockholders’ equity are different than those presented on a consolidated basis in accordance with U.S. GAAP, because certain accounts (including notes receivable, due from/to related parties, and investments in unconsolidated entities) are eliminated in consolidation when they are due from/to consolidated funds. Furthermore, we are required to add to this balance sheet, assets and liabilities and equity of the consolidated funds which are items that are not available to a shareholder of CWD. See the Non-GAAP Measures section below for reconciliations of the unconsolidated results to the most comparable U.S. GAAP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10748" w:type="dxa"/>
        <w:jc w:val="left"/>
        <w:tblInd w:w="0" w:type="dxa"/>
        <w:tblLayout w:type="fixed"/>
        <w:tblCellMar>
          <w:top w:w="28" w:type="dxa"/>
          <w:left w:w="28" w:type="dxa"/>
          <w:bottom w:w="28" w:type="dxa"/>
          <w:right w:w="28" w:type="dxa"/>
        </w:tblCellMar>
      </w:tblPr>
      <w:tblGrid>
        <w:gridCol w:w="729"/>
        <w:gridCol w:w="345"/>
        <w:gridCol w:w="30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70"/>
        <w:gridCol w:w="466"/>
        <w:gridCol w:w="109"/>
        <w:gridCol w:w="109"/>
        <w:gridCol w:w="109"/>
        <w:gridCol w:w="109"/>
        <w:gridCol w:w="270"/>
        <w:gridCol w:w="466"/>
        <w:gridCol w:w="109"/>
        <w:gridCol w:w="109"/>
        <w:gridCol w:w="109"/>
        <w:gridCol w:w="109"/>
        <w:gridCol w:w="270"/>
        <w:gridCol w:w="466"/>
        <w:gridCol w:w="109"/>
        <w:gridCol w:w="109"/>
        <w:gridCol w:w="109"/>
        <w:gridCol w:w="109"/>
        <w:gridCol w:w="270"/>
        <w:gridCol w:w="466"/>
        <w:gridCol w:w="109"/>
        <w:gridCol w:w="109"/>
        <w:gridCol w:w="109"/>
        <w:gridCol w:w="109"/>
        <w:gridCol w:w="270"/>
        <w:gridCol w:w="466"/>
        <w:gridCol w:w="154"/>
      </w:tblGrid>
      <w:tr>
        <w:trPr/>
        <w:tc>
          <w:tcPr>
            <w:tcW w:w="72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 30, 2024</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19,681 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49,673 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8,638 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73,123 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64,919 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63,153 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68,116 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65,343 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63,775 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Stockholders’ (Deficit) Equity</w:t>
            </w:r>
          </w:p>
        </w:tc>
        <w:tc>
          <w:tcPr>
            <w:tcW w:w="9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38,882 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(38,380)</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 equity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 equity</w:t>
            </w:r>
          </w:p>
        </w:tc>
        <w:tc>
          <w:tcPr>
            <w:tcW w:w="827"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35,603 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72,982 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75,914 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71,197 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74,711 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71,690 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64,970 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64,300 </w:t>
            </w:r>
          </w:p>
        </w:tc>
        <w:tc>
          <w:tcPr>
            <w:tcW w:w="15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Investment Valuations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several inputs built within forecasting models.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Most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underlying factors that led to the change in fair value in the current year, we identify assets that are undervalued and/or underperforming as part of our acquisition strategy. Such assets generally undergo some form of repositioning soon after our acquisition to help drive increased appreciation and operating performance. Once the repositioning is complete, we focus on increasing the asset’s net operating income, thereby further increasing the value of the asset. By making these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 acquisitions, adding value through development activities, and increasing free cash flow with proper management all represent a material component to our core business model.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unique feature of Caliber’s funds is the discretion given to Caliber’s management team to decide when to sell assets and when to hold them. We believe this discretion allows Caliber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Assets Under Management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AUM refers to the assets we manage or sponsor. We monitor two types of information regarding our AUM:</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i.Managed Capital – we define this as the total capital we fundraise from our customers as investments in our funds. It also includes fundraising into our corporate note program, the proceeds of which were used, in part, to invest in or loan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Caliber management to further calculate and predict future earnings.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ii.Fair Value (“FV”) AUM – we define this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September 30, 2024, we had total FV AUM of approximately $807.0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believe we are utilizing generally accepted methodologies for our calculation of Managed Capital and FV AUM, it may differ from our competitors, thereby making these metrics non-comparable to our competitors.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Managed Capital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activity of the managed capital for the nine months ended September 30, 2024 (in thousands):</w:t>
      </w:r>
    </w:p>
    <w:tbl>
      <w:tblPr>
        <w:tblW w:w="4887" w:type="dxa"/>
        <w:jc w:val="left"/>
        <w:tblInd w:w="0" w:type="dxa"/>
        <w:tblLayout w:type="fixed"/>
        <w:tblCellMar>
          <w:top w:w="28" w:type="dxa"/>
          <w:left w:w="28" w:type="dxa"/>
          <w:bottom w:w="28" w:type="dxa"/>
          <w:right w:w="28" w:type="dxa"/>
        </w:tblCellMar>
      </w:tblPr>
      <w:tblGrid>
        <w:gridCol w:w="1065"/>
        <w:gridCol w:w="934"/>
        <w:gridCol w:w="941"/>
        <w:gridCol w:w="109"/>
        <w:gridCol w:w="109"/>
        <w:gridCol w:w="109"/>
        <w:gridCol w:w="287"/>
        <w:gridCol w:w="1124"/>
        <w:gridCol w:w="209"/>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Managed Capital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437,625 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453,905 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469,800 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485,272 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managed capital for our investment fund portfolios as of September 30, 2024 and December 31, 2023 (in thousands):</w:t>
      </w:r>
    </w:p>
    <w:p>
      <w:pPr>
        <w:pStyle w:val="TextBody"/>
        <w:bidi w:val="0"/>
        <w:spacing w:before="0" w:after="0"/>
        <w:jc w:val="both"/>
        <w:rPr/>
      </w:pPr>
      <w:r>
        <w:rPr/>
      </w:r>
    </w:p>
    <w:tbl>
      <w:tblPr>
        <w:tblW w:w="6175" w:type="dxa"/>
        <w:jc w:val="left"/>
        <w:tblInd w:w="0" w:type="dxa"/>
        <w:tblLayout w:type="fixed"/>
        <w:tblCellMar>
          <w:top w:w="28" w:type="dxa"/>
          <w:left w:w="28" w:type="dxa"/>
          <w:bottom w:w="28" w:type="dxa"/>
          <w:right w:w="28" w:type="dxa"/>
        </w:tblCellMar>
      </w:tblPr>
      <w:tblGrid>
        <w:gridCol w:w="836"/>
        <w:gridCol w:w="733"/>
        <w:gridCol w:w="740"/>
        <w:gridCol w:w="326"/>
        <w:gridCol w:w="1276"/>
        <w:gridCol w:w="168"/>
        <w:gridCol w:w="109"/>
        <w:gridCol w:w="109"/>
        <w:gridCol w:w="109"/>
        <w:gridCol w:w="313"/>
        <w:gridCol w:w="1228"/>
        <w:gridCol w:w="228"/>
      </w:tblGrid>
      <w:tr>
        <w:trPr/>
        <w:tc>
          <w:tcPr>
            <w:tcW w:w="8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Hospitality</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Caliber Hospitality Trust</w:t>
            </w:r>
            <w:r>
              <w:rPr>
                <w:rFonts w:ascii="Times New Roman;sans-serif" w:hAnsi="Times New Roman;sans-serif"/>
                <w:b w:val="false"/>
                <w:color w:val="000000"/>
                <w:sz w:val="13"/>
              </w:rPr>
              <w:t>(1)</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74,224 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Real Estate</w:t>
            </w:r>
            <w:r>
              <w:rPr>
                <w:rFonts w:ascii="Times New Roman;sans-serif" w:hAnsi="Times New Roman;sans-serif"/>
                <w:b w:val="false"/>
                <w:color w:val="000000"/>
                <w:sz w:val="13"/>
              </w:rPr>
              <w:t>(2)</w:t>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405,111 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343,635 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(3)</w:t>
            </w:r>
            <w:r>
              <w:rPr>
                <w:color w:val="000000"/>
              </w:rPr>
              <w:t> </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(4)</w:t>
            </w:r>
            <w:r>
              <w:rPr>
                <w:color w:val="000000"/>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485,272 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437,625 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The Company earns a fund management fee of 0.70% of the Caliber Hospitality Trust’s enterprise value and is reimbursed for certain costs incurred on behalf of the Caliber Hospitality Trust.</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Beginning during the year ended December 31, 2023, the Company includes capital raised from investors in CaliberCos Inc. through corporate note issuances that was further invested in our funds in Managed Capital. As of September 30, 2024 and December 31, 2023, the Company had invested $19.7 million and $18.3 million, respectively, in our funds.</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Credit managed capital represents loans made to Caliber’s investment funds by the Company and our diversified funds. As of September 30, 2024 and December 31, 2023, the Company had loaned $0.3 million and $8.5 million to our funds. </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Other managed capital represents undeployed capital held in our diversified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Managed capital for our hospitality investment funds increased by $3.9 million during the nine months ended September 30, 2024, due to a $3.9 million related party note receivable bearing 12.0% interest, issued to Caliber Hospitality Trust.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Managed capital for the Caliber Hospitality Trust increased by $26.1 million during the nine months ended September 30, 2024, primarily due to the issuance of $9.6 million of Caliber Hospitality, LP operating partnership units in exchange for the contribution of a hotel from L.T.D. on March 7, 2024 (the first of nine committed hotels from L.T.D.’s portfolio) and $16.6 million of investments in Caliber Hospitality Trusts’ non-voting preferred stock.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Managed capital for our residential investment funds increased by $18.5 million during the nine months ended September 30, 2024, due to: (i) $13.0 million in capital raised into our residential assets offset by $6.8 million of redemptions, and (ii) $12.3 million contributed by our diversified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Managed capital for our commercial investment funds increased $13.0 million during the nine months ended September 30, 2024, due to: (i) $8.8 million in capital raised into our commercial assets, offset by $3.2 million of redemptions, and (ii) $9.9 million contributed by our diversified funds offset by $2.5 million return of capital. The scope of investments included tenant improvements, land development, and acquiring existing operating commercial properties.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our diversified funds deployed $13.5 million into our various real estate investments, which was offset by $20.0 million of repayments of outstanding notes receivable. The Company deployed $0.1 million directly into real estate investments in the form of notes receivable, which was offset by $7.5 million of repayments of outstanding notes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held $9.6 million of other managed capital, which included a $3.2 million private equity investment in a local start-up business and $6.4 million of undeployed cash and pursuit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FV AUM</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231F20"/>
          <w:sz w:val="20"/>
          <w:shd w:fill="FFFFFF" w:val="clear"/>
        </w:rPr>
        <w:t>Our FV AUM increased primarily due to the L.T.D. hotel contribution into the Caliber Hospitality Trust. T</w:t>
      </w:r>
      <w:r>
        <w:rPr>
          <w:rFonts w:ascii="Times New Roman;sans-serif" w:hAnsi="Times New Roman;sans-serif"/>
          <w:b w:val="false"/>
          <w:color w:val="231F20"/>
          <w:sz w:val="20"/>
        </w:rPr>
        <w:t>he table below details the activities that had an impact on our FV AUM, during the nine months ended September 30, 2024 (in thousands).</w:t>
      </w:r>
    </w:p>
    <w:p>
      <w:pPr>
        <w:pStyle w:val="TextBody"/>
        <w:bidi w:val="0"/>
        <w:spacing w:before="0" w:after="0"/>
        <w:jc w:val="both"/>
        <w:rPr/>
      </w:pPr>
      <w:r>
        <w:rPr/>
      </w:r>
    </w:p>
    <w:tbl>
      <w:tblPr>
        <w:tblW w:w="4686" w:type="dxa"/>
        <w:jc w:val="left"/>
        <w:tblInd w:w="0" w:type="dxa"/>
        <w:tblLayout w:type="fixed"/>
        <w:tblCellMar>
          <w:top w:w="28" w:type="dxa"/>
          <w:left w:w="28" w:type="dxa"/>
          <w:bottom w:w="28" w:type="dxa"/>
          <w:right w:w="28" w:type="dxa"/>
        </w:tblCellMar>
      </w:tblPr>
      <w:tblGrid>
        <w:gridCol w:w="1266"/>
        <w:gridCol w:w="1111"/>
        <w:gridCol w:w="1118"/>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CHT contribution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Assets sold</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March 31, 2024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Assets acquired</w:t>
            </w:r>
            <w:r>
              <w:rPr>
                <w:rFonts w:ascii="Times New Roman;sans-serif" w:hAnsi="Times New Roman;sans-serif"/>
                <w:b w:val="false"/>
                <w:color w:val="000000"/>
                <w:sz w:val="13"/>
              </w:rPr>
              <w:t>(4)</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Assets sold or disposed</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Assets acquired</w:t>
            </w:r>
            <w:r>
              <w:rPr>
                <w:rFonts w:ascii="Times New Roman;sans-serif" w:hAnsi="Times New Roman;sans-serif"/>
                <w:b w:val="false"/>
                <w:color w:val="000000"/>
                <w:sz w:val="13"/>
              </w:rPr>
              <w:t>(1)</w:t>
            </w:r>
            <w:r>
              <w:rPr>
                <w:color w:val="000000"/>
              </w:rPr>
              <w:t> </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September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FV AUM of our investment fund portfolios as of September 30, 2024 and December 31, 2023 (in thousands):</w:t>
      </w:r>
    </w:p>
    <w:p>
      <w:pPr>
        <w:pStyle w:val="TextBody"/>
        <w:bidi w:val="0"/>
        <w:spacing w:before="0" w:after="0"/>
        <w:jc w:val="both"/>
        <w:rPr/>
      </w:pPr>
      <w:r>
        <w:rPr/>
      </w:r>
    </w:p>
    <w:tbl>
      <w:tblPr>
        <w:tblW w:w="6010" w:type="dxa"/>
        <w:jc w:val="left"/>
        <w:tblInd w:w="0" w:type="dxa"/>
        <w:tblLayout w:type="fixed"/>
        <w:tblCellMar>
          <w:top w:w="28" w:type="dxa"/>
          <w:left w:w="28" w:type="dxa"/>
          <w:bottom w:w="28" w:type="dxa"/>
          <w:right w:w="28" w:type="dxa"/>
        </w:tblCellMar>
      </w:tblPr>
      <w:tblGrid>
        <w:gridCol w:w="776"/>
        <w:gridCol w:w="681"/>
        <w:gridCol w:w="687"/>
        <w:gridCol w:w="326"/>
        <w:gridCol w:w="1276"/>
        <w:gridCol w:w="168"/>
        <w:gridCol w:w="109"/>
        <w:gridCol w:w="109"/>
        <w:gridCol w:w="109"/>
        <w:gridCol w:w="313"/>
        <w:gridCol w:w="1228"/>
        <w:gridCol w:w="228"/>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Hospitality</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Hospitality Trust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w:t>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726,800 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(3)</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(4)</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806,961 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741,190 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Assets sold during the </w:t>
      </w:r>
      <w:r>
        <w:rPr>
          <w:rFonts w:ascii="Times New Roman;sans-serif" w:hAnsi="Times New Roman;sans-serif"/>
          <w:b w:val="false"/>
          <w:color w:val="231F20"/>
          <w:sz w:val="20"/>
        </w:rPr>
        <w:t>nine months ended September 30, 2024</w:t>
      </w:r>
      <w:r>
        <w:rPr>
          <w:color w:val="000000"/>
        </w:rPr>
        <w:t xml:space="preserve"> </w:t>
      </w:r>
      <w:r>
        <w:rPr>
          <w:rFonts w:ascii="Times New Roman;sans-serif" w:hAnsi="Times New Roman;sans-serif"/>
          <w:b w:val="false"/>
          <w:color w:val="000000"/>
          <w:sz w:val="20"/>
        </w:rPr>
        <w:t>include a commercial asset, lot sales related to two development assets in Colorado, and one home from our residential fund.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Credit FV AUM represents loans made to Caliber’s investment funds by our diversified credit fund.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Other FV AUM represents undeployed capital held in our diversified funds.</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Assets acquired during the </w:t>
      </w:r>
      <w:r>
        <w:rPr>
          <w:rFonts w:ascii="Times New Roman;sans-serif" w:hAnsi="Times New Roman;sans-serif"/>
          <w:b w:val="false"/>
          <w:color w:val="231F20"/>
          <w:sz w:val="20"/>
        </w:rPr>
        <w:t>nine months ended September 30, 2024,</w:t>
      </w:r>
      <w:r>
        <w:rPr>
          <w:color w:val="000000"/>
        </w:rPr>
        <w:t xml:space="preserve"> </w:t>
      </w:r>
      <w:r>
        <w:rPr>
          <w:rFonts w:ascii="Times New Roman;sans-serif" w:hAnsi="Times New Roman;sans-serif"/>
          <w:b w:val="false"/>
          <w:color w:val="000000"/>
          <w:sz w:val="20"/>
        </w:rPr>
        <w:t>include West Ridge, a 133 acre mixed-use land development in Colorado and Canyon, an office building conversion to multi-family residential.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Assets Under Development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number of development, redevelopment, construction, and entitlement projects that are underway or are in the planning stages, which we define as AUD. This category includes projects to be built on undeveloped land and projects to be built and constructed on undeveloped lands, which are not yet owned by our funds. Completing these development activities may ultimately result in income-producing assets, assets we may sell to third parties, or both. As of September 30, 2024, we are actively developing 1,796 multifamily units, 697 single family units, 3.7 million square feet of commercial and industrial, and 3.5 million square feet of office and retail. If all of these projects are brought to completion, the total cost capitalized to these projects, which represents total current estimated costs to complete the development and construction of such projects by us or a third party, is $2.1 billion, which we expect would be funded through a combination of undeployed fund cash, third-party equity, project sales, tax credit financing and similar incentives, and secured debt financing. We are under no obligation to complete these projects and may dispose of any such assets at any time. There can be no assurance that AUD will ultimately be developed or constructed because of the nature of the cost of the approval and development process and market demand for a particular use. In addition, the mix of residential and commercial assets under development may change prior to final development. The development of these assets will require significant additional financing or other sources of funding, which may not be available.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231F20"/>
          <w:sz w:val="20"/>
        </w:rPr>
        <w:t>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w:t>
      </w:r>
      <w:r>
        <w:rPr>
          <w:color w:val="000000"/>
        </w:rPr>
        <w:t xml:space="preserve"> </w:t>
      </w:r>
      <w:r>
        <w:rPr>
          <w:rFonts w:ascii="Times New Roman;sans-serif" w:hAnsi="Times New Roman;sans-serif"/>
          <w:b w:val="false"/>
          <w:color w:val="000000"/>
          <w:sz w:val="20"/>
        </w:rPr>
        <w:t>provide investors a view of the performance attributable to CaliberCos Inc</w:t>
      </w:r>
      <w:r>
        <w:rPr>
          <w:rFonts w:ascii="Times New Roman;sans-serif" w:hAnsi="Times New Roman;sans-serif"/>
          <w:b w:val="false"/>
          <w:color w:val="231F20"/>
          <w:sz w:val="20"/>
        </w:rPr>
        <w:t>. When analyzing our operating performance, investors should use these measures in addition to, and not as an alternative for, 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Asset Management Platform or Platform</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252525"/>
          <w:sz w:val="20"/>
        </w:rPr>
      </w:pPr>
      <w:r>
        <w:rPr>
          <w:rFonts w:ascii="Times New Roman;sans-serif" w:hAnsi="Times New Roman;sans-serif"/>
          <w:b w:val="false"/>
          <w:color w:val="252525"/>
          <w:sz w:val="20"/>
        </w:rPr>
        <w:t xml:space="preserve">Platform refers to the performance of the Caliber asset management platform segment, which generates revenues and expenses from managing our investment portfolio, which does not include any consolidated assets or funds. These activities include asset management, transaction services, and performance allocations. Management believes that this is an important view of the Company because it communicates performance of the Company that would be most useful for understanding the value of CWD.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Fee-Related Earnings and Related Components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Fee-Related Earnings is a supplemental non-GAAP performance measure used to assess our ability to generate profits from fee-based revenues, focusing on whether our core revenue streams, are sufficient to cover our core operating expenses. Fee-Related Earnings represents the Company’s net income (loss) before income taxes adjusted to exclude depreciation and amortization, stock-based compensation, interest expense and extraordinary or non-recurring revenue and expenses, including performance allocation revenue and gain (loss) on extinguishment of debt, public registration direct costs related to aborted or delayed offerings and our Reg A+ offering, the share repurchase costs related to the Company’s Buyback Program,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Distributable Earnings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GAAP results assessing the amount of earnings available for distribution.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i/>
          <w:color w:val="252525"/>
          <w:sz w:val="20"/>
        </w:rPr>
        <w:t>P</w:t>
      </w:r>
      <w:r>
        <w:rPr>
          <w:rFonts w:ascii="Times New Roman;sans-serif" w:hAnsi="Times New Roman;sans-serif"/>
          <w:b/>
          <w:i/>
          <w:color w:val="000000"/>
          <w:sz w:val="20"/>
        </w:rPr>
        <w:t>latform Earnings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Platform Earnings represents the performance of the Caliber asset management platform segment, which generates revenues and expenses from managing our investment portfolio, excluding any consolidated assets or funds.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Platform Earnings per Share</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252525"/>
          <w:sz w:val="20"/>
        </w:rPr>
      </w:pPr>
      <w:r>
        <w:rPr>
          <w:rFonts w:ascii="Times New Roman;sans-serif" w:hAnsi="Times New Roman;sans-serif"/>
          <w:b w:val="false"/>
          <w:color w:val="252525"/>
          <w:sz w:val="20"/>
        </w:rPr>
        <w:t>Platform Earnings per Share is calculated as Platform Earnings divided by weighted average CWD common shares outstanding.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Platform Adjusted EBITDA</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Platform Adjusted EBITDA represents the Company’s Distributable Earnings adjusted for interest expense, the share repurchase costs related to the Company’s Buyback Program, other income (expense), and provision for income taxes on a basis that deconsolidates our consolidated funds (intercompany eliminations) and eliminates noncontrolling interest. Eliminating the impact of consolidated funds and noncontrolling interest provides investors a view of the performance attributable to the Platform and is consistent with performance models and analysis used by management.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Consolidated Adjusted EBITDA</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Adjusted EBITDA represents the Company’s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the share repurchase costs related to the Company’s Buyback Program, litigation settlements, expenses recorded to earnings relating to investment deals which were abandoned or closed, any other non-cash expenses or losses, as further adjusted for extraordinary or non-recurring items.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Platform Basic and Diluted Earnings Per Share (“EPS”)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Platform Basic and Diluted EPS represents earnings per share generated by the Platform, without reflecting the impact of consolidation. Eliminating the impact of consolidated funds and noncontrolling interest provides investors a view of the performance attributable to the Platform and is consistent with performance models and analysis used by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following table presents a reconciliation of net (loss) income attributable to CaliberCos Inc. to Fee-Related Earnings, Distributable Earnings, </w:t>
      </w:r>
      <w:r>
        <w:rPr>
          <w:rFonts w:ascii="Times New Roman;sans-serif" w:hAnsi="Times New Roman;sans-serif"/>
          <w:b w:val="false"/>
          <w:color w:val="231F20"/>
          <w:sz w:val="20"/>
        </w:rPr>
        <w:t>Caliber Adjusted EBITDA, and Consolidated Adjusted EBITDA</w:t>
      </w:r>
      <w:r>
        <w:rPr>
          <w:color w:val="000000"/>
        </w:rPr>
        <w:t xml:space="preserve"> </w:t>
      </w:r>
      <w:r>
        <w:rPr>
          <w:rFonts w:ascii="Times New Roman;sans-serif" w:hAnsi="Times New Roman;sans-serif"/>
          <w:b w:val="false"/>
          <w:color w:val="000000"/>
          <w:sz w:val="20"/>
        </w:rPr>
        <w:t>for the three and nine months ended September 30, 2024 and 2023 (in thousands):</w:t>
      </w:r>
    </w:p>
    <w:tbl>
      <w:tblPr>
        <w:tblW w:w="10205" w:type="dxa"/>
        <w:jc w:val="left"/>
        <w:tblInd w:w="0" w:type="dxa"/>
        <w:tblLayout w:type="fixed"/>
        <w:tblCellMar>
          <w:top w:w="28" w:type="dxa"/>
          <w:left w:w="28" w:type="dxa"/>
          <w:bottom w:w="28" w:type="dxa"/>
          <w:right w:w="28" w:type="dxa"/>
        </w:tblCellMar>
      </w:tblPr>
      <w:tblGrid>
        <w:gridCol w:w="1500"/>
        <w:gridCol w:w="1275"/>
        <w:gridCol w:w="1281"/>
        <w:gridCol w:w="272"/>
        <w:gridCol w:w="795"/>
        <w:gridCol w:w="140"/>
        <w:gridCol w:w="140"/>
        <w:gridCol w:w="140"/>
        <w:gridCol w:w="140"/>
        <w:gridCol w:w="272"/>
        <w:gridCol w:w="879"/>
        <w:gridCol w:w="140"/>
        <w:gridCol w:w="109"/>
        <w:gridCol w:w="109"/>
        <w:gridCol w:w="109"/>
        <w:gridCol w:w="247"/>
        <w:gridCol w:w="796"/>
        <w:gridCol w:w="127"/>
        <w:gridCol w:w="127"/>
        <w:gridCol w:w="127"/>
        <w:gridCol w:w="127"/>
        <w:gridCol w:w="247"/>
        <w:gridCol w:w="919"/>
        <w:gridCol w:w="187"/>
      </w:tblGrid>
      <w:tr>
        <w:trPr/>
        <w:tc>
          <w:tcPr>
            <w:tcW w:w="15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05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056" w:type="dxa"/>
            <w:gridSpan w:val="3"/>
            <w:vMerge w:val="continue"/>
            <w:tcBorders/>
            <w:tcMar>
              <w:top w:w="0" w:type="dxa"/>
              <w:left w:w="0" w:type="dxa"/>
              <w:bottom w:w="0" w:type="dxa"/>
              <w:right w:w="0" w:type="dxa"/>
            </w:tcMar>
            <w:vAlign w:val="center"/>
          </w:tcPr>
          <w:p>
            <w:pPr>
              <w:pStyle w:val="Normal"/>
              <w:bidi w:val="0"/>
              <w:jc w:val="left"/>
              <w:rPr/>
            </w:pPr>
            <w:r>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impact on fee-related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05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Fee-Related Earnings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Distributable Earnings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buy-back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05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05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impact on Caliber Adjusted EBITDA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Adjusted EBITDA</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EBITDA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Adjusted EBITDA</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reconciliation of Platform revenues, expenses and net income to the most comparable GAAP measure for the three and nine months ended September 30, 2024 and 2023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14"/>
        <w:gridCol w:w="1403"/>
        <w:gridCol w:w="1421"/>
        <w:gridCol w:w="221"/>
        <w:gridCol w:w="648"/>
        <w:gridCol w:w="114"/>
        <w:gridCol w:w="114"/>
        <w:gridCol w:w="114"/>
        <w:gridCol w:w="114"/>
        <w:gridCol w:w="659"/>
        <w:gridCol w:w="1504"/>
        <w:gridCol w:w="341"/>
        <w:gridCol w:w="114"/>
        <w:gridCol w:w="114"/>
        <w:gridCol w:w="114"/>
        <w:gridCol w:w="274"/>
        <w:gridCol w:w="800"/>
        <w:gridCol w:w="142"/>
        <w:gridCol w:w="109"/>
        <w:gridCol w:w="109"/>
        <w:gridCol w:w="162"/>
      </w:tblGrid>
      <w:tr>
        <w:trPr/>
        <w:tc>
          <w:tcPr>
            <w:tcW w:w="161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8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86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86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3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22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4,727 </w:t>
            </w:r>
          </w:p>
        </w:tc>
        <w:tc>
          <w:tcPr>
            <w:tcW w:w="1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86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86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3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86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1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3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10,428 </w:t>
            </w:r>
          </w:p>
        </w:tc>
        <w:tc>
          <w:tcPr>
            <w:tcW w:w="14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443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22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6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w:t>
            </w:r>
          </w:p>
        </w:tc>
        <w:tc>
          <w:tcPr>
            <w:tcW w:w="1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before income taxes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6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86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3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CaliberCos Inc.</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Platform income per share</w:t>
            </w:r>
          </w:p>
        </w:tc>
        <w:tc>
          <w:tcPr>
            <w:tcW w:w="22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14"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2"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Platform income per share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983"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869" w:type="dxa"/>
            <w:gridSpan w:val="2"/>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24,867 </w:t>
            </w:r>
          </w:p>
        </w:tc>
        <w:tc>
          <w:tcPr>
            <w:tcW w:w="114"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24,867</w:t>
            </w:r>
          </w:p>
        </w:tc>
        <w:tc>
          <w:tcPr>
            <w:tcW w:w="38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tbl>
      <w:tblPr>
        <w:tblW w:w="9867" w:type="dxa"/>
        <w:jc w:val="left"/>
        <w:tblInd w:w="0" w:type="dxa"/>
        <w:tblLayout w:type="fixed"/>
        <w:tblCellMar>
          <w:top w:w="28" w:type="dxa"/>
          <w:left w:w="28" w:type="dxa"/>
          <w:bottom w:w="28" w:type="dxa"/>
          <w:right w:w="28" w:type="dxa"/>
        </w:tblCellMar>
      </w:tblPr>
      <w:tblGrid>
        <w:gridCol w:w="1431"/>
        <w:gridCol w:w="1257"/>
        <w:gridCol w:w="1272"/>
        <w:gridCol w:w="211"/>
        <w:gridCol w:w="721"/>
        <w:gridCol w:w="109"/>
        <w:gridCol w:w="109"/>
        <w:gridCol w:w="109"/>
        <w:gridCol w:w="109"/>
        <w:gridCol w:w="580"/>
        <w:gridCol w:w="1740"/>
        <w:gridCol w:w="304"/>
        <w:gridCol w:w="109"/>
        <w:gridCol w:w="109"/>
        <w:gridCol w:w="109"/>
        <w:gridCol w:w="246"/>
        <w:gridCol w:w="842"/>
        <w:gridCol w:w="128"/>
        <w:gridCol w:w="109"/>
        <w:gridCol w:w="109"/>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26,078 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15,389 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23,191 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23,191 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22,416 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27,975 </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50,391 </w:t>
            </w:r>
          </w:p>
        </w:tc>
        <w:tc>
          <w:tcPr>
            <w:tcW w:w="12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(10,577)</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(10,577)</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Platform loss per share</w:t>
            </w:r>
          </w:p>
        </w:tc>
        <w:tc>
          <w:tcPr>
            <w:tcW w:w="21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0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28"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4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w:t>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tbl>
      <w:tblPr>
        <w:tblW w:w="9837" w:type="dxa"/>
        <w:jc w:val="left"/>
        <w:tblInd w:w="0" w:type="dxa"/>
        <w:tblLayout w:type="fixed"/>
        <w:tblCellMar>
          <w:top w:w="28" w:type="dxa"/>
          <w:left w:w="28" w:type="dxa"/>
          <w:bottom w:w="28" w:type="dxa"/>
          <w:right w:w="28" w:type="dxa"/>
        </w:tblCellMar>
      </w:tblPr>
      <w:tblGrid>
        <w:gridCol w:w="1431"/>
        <w:gridCol w:w="1257"/>
        <w:gridCol w:w="1272"/>
        <w:gridCol w:w="211"/>
        <w:gridCol w:w="691"/>
        <w:gridCol w:w="109"/>
        <w:gridCol w:w="109"/>
        <w:gridCol w:w="109"/>
        <w:gridCol w:w="109"/>
        <w:gridCol w:w="580"/>
        <w:gridCol w:w="1740"/>
        <w:gridCol w:w="304"/>
        <w:gridCol w:w="109"/>
        <w:gridCol w:w="109"/>
        <w:gridCol w:w="109"/>
        <w:gridCol w:w="269"/>
        <w:gridCol w:w="806"/>
        <w:gridCol w:w="141"/>
        <w:gridCol w:w="109"/>
        <w:gridCol w:w="109"/>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13,297 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21,774 </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28,430 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(8,856)</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(8,856)</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tbl>
      <w:tblPr>
        <w:tblW w:w="9867" w:type="dxa"/>
        <w:jc w:val="left"/>
        <w:tblInd w:w="0" w:type="dxa"/>
        <w:tblLayout w:type="fixed"/>
        <w:tblCellMar>
          <w:top w:w="28" w:type="dxa"/>
          <w:left w:w="28" w:type="dxa"/>
          <w:bottom w:w="28" w:type="dxa"/>
          <w:right w:w="28" w:type="dxa"/>
        </w:tblCellMar>
      </w:tblPr>
      <w:tblGrid>
        <w:gridCol w:w="1431"/>
        <w:gridCol w:w="1257"/>
        <w:gridCol w:w="1272"/>
        <w:gridCol w:w="211"/>
        <w:gridCol w:w="721"/>
        <w:gridCol w:w="109"/>
        <w:gridCol w:w="109"/>
        <w:gridCol w:w="109"/>
        <w:gridCol w:w="109"/>
        <w:gridCol w:w="580"/>
        <w:gridCol w:w="1740"/>
        <w:gridCol w:w="304"/>
        <w:gridCol w:w="109"/>
        <w:gridCol w:w="109"/>
        <w:gridCol w:w="109"/>
        <w:gridCol w:w="242"/>
        <w:gridCol w:w="847"/>
        <w:gridCol w:w="127"/>
        <w:gridCol w:w="109"/>
        <w:gridCol w:w="109"/>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2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6,264 </w:t>
            </w:r>
          </w:p>
        </w:tc>
        <w:tc>
          <w:tcPr>
            <w:tcW w:w="12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53,541 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16,205 </w:t>
            </w:r>
          </w:p>
        </w:tc>
        <w:tc>
          <w:tcPr>
            <w:tcW w:w="12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2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59,676 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59,676 </w:t>
            </w:r>
          </w:p>
        </w:tc>
        <w:tc>
          <w:tcPr>
            <w:tcW w:w="12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67,194 </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88,849 </w:t>
            </w:r>
          </w:p>
        </w:tc>
        <w:tc>
          <w:tcPr>
            <w:tcW w:w="12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2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w:t>
            </w:r>
          </w:p>
        </w:tc>
        <w:tc>
          <w:tcPr>
            <w:tcW w:w="12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w:t>
            </w:r>
          </w:p>
        </w:tc>
        <w:tc>
          <w:tcPr>
            <w:tcW w:w="12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reconciliation of Platform revenues, expenses and net income to the most comparable GAAP measure for the three ended June 30, 2024 and 2023, March 31, 2024 and 2023 and December 31, 2023 and 2022 (in thousands):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9838" w:type="dxa"/>
        <w:jc w:val="left"/>
        <w:tblInd w:w="0" w:type="dxa"/>
        <w:tblLayout w:type="fixed"/>
        <w:tblCellMar>
          <w:top w:w="28" w:type="dxa"/>
          <w:left w:w="28" w:type="dxa"/>
          <w:bottom w:w="28" w:type="dxa"/>
          <w:right w:w="28" w:type="dxa"/>
        </w:tblCellMar>
      </w:tblPr>
      <w:tblGrid>
        <w:gridCol w:w="1431"/>
        <w:gridCol w:w="1257"/>
        <w:gridCol w:w="1272"/>
        <w:gridCol w:w="211"/>
        <w:gridCol w:w="691"/>
        <w:gridCol w:w="109"/>
        <w:gridCol w:w="109"/>
        <w:gridCol w:w="109"/>
        <w:gridCol w:w="109"/>
        <w:gridCol w:w="691"/>
        <w:gridCol w:w="1576"/>
        <w:gridCol w:w="358"/>
        <w:gridCol w:w="109"/>
        <w:gridCol w:w="109"/>
        <w:gridCol w:w="109"/>
        <w:gridCol w:w="269"/>
        <w:gridCol w:w="806"/>
        <w:gridCol w:w="141"/>
        <w:gridCol w:w="109"/>
        <w:gridCol w:w="109"/>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8,197 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tbl>
      <w:tblPr>
        <w:tblW w:w="10046" w:type="dxa"/>
        <w:jc w:val="left"/>
        <w:tblInd w:w="0" w:type="dxa"/>
        <w:tblLayout w:type="fixed"/>
        <w:tblCellMar>
          <w:top w:w="28" w:type="dxa"/>
          <w:left w:w="28" w:type="dxa"/>
          <w:bottom w:w="28" w:type="dxa"/>
          <w:right w:w="28" w:type="dxa"/>
        </w:tblCellMar>
      </w:tblPr>
      <w:tblGrid>
        <w:gridCol w:w="1507"/>
        <w:gridCol w:w="1323"/>
        <w:gridCol w:w="1339"/>
        <w:gridCol w:w="211"/>
        <w:gridCol w:w="691"/>
        <w:gridCol w:w="109"/>
        <w:gridCol w:w="109"/>
        <w:gridCol w:w="109"/>
        <w:gridCol w:w="109"/>
        <w:gridCol w:w="580"/>
        <w:gridCol w:w="1740"/>
        <w:gridCol w:w="304"/>
        <w:gridCol w:w="109"/>
        <w:gridCol w:w="109"/>
        <w:gridCol w:w="109"/>
        <w:gridCol w:w="269"/>
        <w:gridCol w:w="806"/>
        <w:gridCol w:w="141"/>
        <w:gridCol w:w="109"/>
        <w:gridCol w:w="109"/>
        <w:gridCol w:w="154"/>
      </w:tblGrid>
      <w:tr>
        <w:trPr/>
        <w:tc>
          <w:tcPr>
            <w:tcW w:w="150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18,225 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16,782 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16,782 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19,586 </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27,308 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attributable to CaliberCos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45"/>
        <w:gridCol w:w="1424"/>
        <w:gridCol w:w="1441"/>
        <w:gridCol w:w="211"/>
        <w:gridCol w:w="683"/>
        <w:gridCol w:w="109"/>
        <w:gridCol w:w="109"/>
        <w:gridCol w:w="109"/>
        <w:gridCol w:w="109"/>
        <w:gridCol w:w="541"/>
        <w:gridCol w:w="1622"/>
        <w:gridCol w:w="283"/>
        <w:gridCol w:w="109"/>
        <w:gridCol w:w="109"/>
        <w:gridCol w:w="109"/>
        <w:gridCol w:w="269"/>
        <w:gridCol w:w="806"/>
        <w:gridCol w:w="141"/>
        <w:gridCol w:w="109"/>
        <w:gridCol w:w="109"/>
        <w:gridCol w:w="158"/>
      </w:tblGrid>
      <w:tr>
        <w:trPr/>
        <w:tc>
          <w:tcPr>
            <w:tcW w:w="164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 2023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0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8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8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2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16,758 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2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8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8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20,993 </w:t>
            </w:r>
          </w:p>
        </w:tc>
        <w:tc>
          <w:tcPr>
            <w:tcW w:w="2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20,993 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89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22,101 </w:t>
            </w:r>
          </w:p>
        </w:tc>
        <w:tc>
          <w:tcPr>
            <w:tcW w:w="28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30,665 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gain on sale of real estate investments</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4,976 </w:t>
            </w:r>
          </w:p>
        </w:tc>
        <w:tc>
          <w:tcPr>
            <w:tcW w:w="2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w:t>
            </w:r>
          </w:p>
        </w:tc>
        <w:tc>
          <w:tcPr>
            <w:tcW w:w="2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8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w:t>
            </w:r>
          </w:p>
        </w:tc>
        <w:tc>
          <w:tcPr>
            <w:tcW w:w="2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tbl>
      <w:tblPr>
        <w:tblW w:w="9837" w:type="dxa"/>
        <w:jc w:val="left"/>
        <w:tblInd w:w="0" w:type="dxa"/>
        <w:tblLayout w:type="fixed"/>
        <w:tblCellMar>
          <w:top w:w="28" w:type="dxa"/>
          <w:left w:w="28" w:type="dxa"/>
          <w:bottom w:w="28" w:type="dxa"/>
          <w:right w:w="28" w:type="dxa"/>
        </w:tblCellMar>
      </w:tblPr>
      <w:tblGrid>
        <w:gridCol w:w="1431"/>
        <w:gridCol w:w="1257"/>
        <w:gridCol w:w="1272"/>
        <w:gridCol w:w="211"/>
        <w:gridCol w:w="691"/>
        <w:gridCol w:w="109"/>
        <w:gridCol w:w="109"/>
        <w:gridCol w:w="109"/>
        <w:gridCol w:w="109"/>
        <w:gridCol w:w="580"/>
        <w:gridCol w:w="1740"/>
        <w:gridCol w:w="304"/>
        <w:gridCol w:w="109"/>
        <w:gridCol w:w="109"/>
        <w:gridCol w:w="109"/>
        <w:gridCol w:w="269"/>
        <w:gridCol w:w="806"/>
        <w:gridCol w:w="141"/>
        <w:gridCol w:w="109"/>
        <w:gridCol w:w="109"/>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22,859 </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31,406 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tbl>
      <w:tblPr>
        <w:tblW w:w="10047" w:type="dxa"/>
        <w:jc w:val="left"/>
        <w:tblInd w:w="0" w:type="dxa"/>
        <w:tblLayout w:type="fixed"/>
        <w:tblCellMar>
          <w:top w:w="28" w:type="dxa"/>
          <w:left w:w="28" w:type="dxa"/>
          <w:bottom w:w="28" w:type="dxa"/>
          <w:right w:w="28" w:type="dxa"/>
        </w:tblCellMar>
      </w:tblPr>
      <w:tblGrid>
        <w:gridCol w:w="1534"/>
        <w:gridCol w:w="1347"/>
        <w:gridCol w:w="1364"/>
        <w:gridCol w:w="211"/>
        <w:gridCol w:w="616"/>
        <w:gridCol w:w="109"/>
        <w:gridCol w:w="109"/>
        <w:gridCol w:w="109"/>
        <w:gridCol w:w="109"/>
        <w:gridCol w:w="580"/>
        <w:gridCol w:w="1740"/>
        <w:gridCol w:w="304"/>
        <w:gridCol w:w="109"/>
        <w:gridCol w:w="109"/>
        <w:gridCol w:w="109"/>
        <w:gridCol w:w="269"/>
        <w:gridCol w:w="806"/>
        <w:gridCol w:w="141"/>
        <w:gridCol w:w="109"/>
        <w:gridCol w:w="109"/>
        <w:gridCol w:w="154"/>
      </w:tblGrid>
      <w:tr>
        <w:trPr/>
        <w:tc>
          <w:tcPr>
            <w:tcW w:w="153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23,172 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20,283 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20,283 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22,561 </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29,013 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CaliberCos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tbl>
      <w:tblPr>
        <w:tblW w:w="9837" w:type="dxa"/>
        <w:jc w:val="left"/>
        <w:tblInd w:w="0" w:type="dxa"/>
        <w:tblLayout w:type="fixed"/>
        <w:tblCellMar>
          <w:top w:w="28" w:type="dxa"/>
          <w:left w:w="28" w:type="dxa"/>
          <w:bottom w:w="28" w:type="dxa"/>
          <w:right w:w="28" w:type="dxa"/>
        </w:tblCellMar>
      </w:tblPr>
      <w:tblGrid>
        <w:gridCol w:w="1431"/>
        <w:gridCol w:w="1257"/>
        <w:gridCol w:w="1272"/>
        <w:gridCol w:w="211"/>
        <w:gridCol w:w="691"/>
        <w:gridCol w:w="109"/>
        <w:gridCol w:w="109"/>
        <w:gridCol w:w="109"/>
        <w:gridCol w:w="109"/>
        <w:gridCol w:w="580"/>
        <w:gridCol w:w="1740"/>
        <w:gridCol w:w="304"/>
        <w:gridCol w:w="109"/>
        <w:gridCol w:w="109"/>
        <w:gridCol w:w="109"/>
        <w:gridCol w:w="269"/>
        <w:gridCol w:w="806"/>
        <w:gridCol w:w="141"/>
        <w:gridCol w:w="109"/>
        <w:gridCol w:w="109"/>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 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16,045 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15,881 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15,881 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18,898 </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26,347 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reconciliation of Platform assets, liabilities and stockholders’ equity to the most comparable GAAP measure for the last eight quarters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40"/>
        <w:gridCol w:w="1494"/>
        <w:gridCol w:w="1503"/>
        <w:gridCol w:w="211"/>
        <w:gridCol w:w="721"/>
        <w:gridCol w:w="109"/>
        <w:gridCol w:w="109"/>
        <w:gridCol w:w="109"/>
        <w:gridCol w:w="109"/>
        <w:gridCol w:w="507"/>
        <w:gridCol w:w="1738"/>
        <w:gridCol w:w="264"/>
        <w:gridCol w:w="109"/>
        <w:gridCol w:w="109"/>
        <w:gridCol w:w="109"/>
        <w:gridCol w:w="223"/>
        <w:gridCol w:w="874"/>
        <w:gridCol w:w="167"/>
      </w:tblGrid>
      <w:tr>
        <w:trPr/>
        <w:tc>
          <w:tcPr>
            <w:tcW w:w="174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46,084 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94,283 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158,583 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33,752 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 attributable to CaliberCos Inc.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68,695 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and stockholders’ equity</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94,283 </w:t>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158,583 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0"/>
        <w:gridCol w:w="1494"/>
        <w:gridCol w:w="1503"/>
        <w:gridCol w:w="211"/>
        <w:gridCol w:w="721"/>
        <w:gridCol w:w="109"/>
        <w:gridCol w:w="109"/>
        <w:gridCol w:w="109"/>
        <w:gridCol w:w="109"/>
        <w:gridCol w:w="460"/>
        <w:gridCol w:w="1808"/>
        <w:gridCol w:w="241"/>
        <w:gridCol w:w="109"/>
        <w:gridCol w:w="109"/>
        <w:gridCol w:w="109"/>
        <w:gridCol w:w="223"/>
        <w:gridCol w:w="874"/>
        <w:gridCol w:w="167"/>
      </w:tblGrid>
      <w:tr>
        <w:trPr/>
        <w:tc>
          <w:tcPr>
            <w:tcW w:w="174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130,269 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195,239 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 attributable to CaliberCos Inc.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and stockholders’ equity</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130,269 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195,239 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0"/>
        <w:gridCol w:w="1494"/>
        <w:gridCol w:w="1503"/>
        <w:gridCol w:w="211"/>
        <w:gridCol w:w="721"/>
        <w:gridCol w:w="109"/>
        <w:gridCol w:w="109"/>
        <w:gridCol w:w="109"/>
        <w:gridCol w:w="109"/>
        <w:gridCol w:w="460"/>
        <w:gridCol w:w="1808"/>
        <w:gridCol w:w="241"/>
        <w:gridCol w:w="109"/>
        <w:gridCol w:w="109"/>
        <w:gridCol w:w="109"/>
        <w:gridCol w:w="223"/>
        <w:gridCol w:w="874"/>
        <w:gridCol w:w="167"/>
      </w:tblGrid>
      <w:tr>
        <w:trPr/>
        <w:tc>
          <w:tcPr>
            <w:tcW w:w="174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129,772 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201,462 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114,972 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 attributable to CaliberCos Inc.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and stockholders’ equity</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129,772 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201,462 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0"/>
        <w:gridCol w:w="1494"/>
        <w:gridCol w:w="1503"/>
        <w:gridCol w:w="211"/>
        <w:gridCol w:w="721"/>
        <w:gridCol w:w="109"/>
        <w:gridCol w:w="109"/>
        <w:gridCol w:w="109"/>
        <w:gridCol w:w="109"/>
        <w:gridCol w:w="460"/>
        <w:gridCol w:w="1808"/>
        <w:gridCol w:w="241"/>
        <w:gridCol w:w="109"/>
        <w:gridCol w:w="109"/>
        <w:gridCol w:w="109"/>
        <w:gridCol w:w="223"/>
        <w:gridCol w:w="874"/>
        <w:gridCol w:w="167"/>
      </w:tblGrid>
      <w:tr>
        <w:trPr/>
        <w:tc>
          <w:tcPr>
            <w:tcW w:w="174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 attributable to CaliberCos Inc.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and stockholders’ equity</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224,720 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299,432 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0"/>
        <w:gridCol w:w="1494"/>
        <w:gridCol w:w="1503"/>
        <w:gridCol w:w="211"/>
        <w:gridCol w:w="721"/>
        <w:gridCol w:w="109"/>
        <w:gridCol w:w="109"/>
        <w:gridCol w:w="109"/>
        <w:gridCol w:w="109"/>
        <w:gridCol w:w="460"/>
        <w:gridCol w:w="1808"/>
        <w:gridCol w:w="241"/>
        <w:gridCol w:w="109"/>
        <w:gridCol w:w="109"/>
        <w:gridCol w:w="109"/>
        <w:gridCol w:w="223"/>
        <w:gridCol w:w="874"/>
        <w:gridCol w:w="167"/>
      </w:tblGrid>
      <w:tr>
        <w:trPr/>
        <w:tc>
          <w:tcPr>
            <w:tcW w:w="174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186,821 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249,974 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 attributable to CaliberCos Inc.</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and stockholders’ equity</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253,533 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324,730 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0"/>
        <w:gridCol w:w="1494"/>
        <w:gridCol w:w="1503"/>
        <w:gridCol w:w="211"/>
        <w:gridCol w:w="721"/>
        <w:gridCol w:w="109"/>
        <w:gridCol w:w="109"/>
        <w:gridCol w:w="109"/>
        <w:gridCol w:w="109"/>
        <w:gridCol w:w="460"/>
        <w:gridCol w:w="1808"/>
        <w:gridCol w:w="241"/>
        <w:gridCol w:w="109"/>
        <w:gridCol w:w="109"/>
        <w:gridCol w:w="109"/>
        <w:gridCol w:w="223"/>
        <w:gridCol w:w="874"/>
        <w:gridCol w:w="167"/>
      </w:tblGrid>
      <w:tr>
        <w:trPr/>
        <w:tc>
          <w:tcPr>
            <w:tcW w:w="174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329,012 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181,481 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246,400 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 attributable to CaliberCos Inc.</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and stockholders’ equity</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75,914 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253,098 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329,012 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0"/>
        <w:gridCol w:w="1494"/>
        <w:gridCol w:w="1503"/>
        <w:gridCol w:w="211"/>
        <w:gridCol w:w="721"/>
        <w:gridCol w:w="109"/>
        <w:gridCol w:w="109"/>
        <w:gridCol w:w="109"/>
        <w:gridCol w:w="109"/>
        <w:gridCol w:w="460"/>
        <w:gridCol w:w="1808"/>
        <w:gridCol w:w="241"/>
        <w:gridCol w:w="109"/>
        <w:gridCol w:w="109"/>
        <w:gridCol w:w="109"/>
        <w:gridCol w:w="223"/>
        <w:gridCol w:w="874"/>
        <w:gridCol w:w="167"/>
      </w:tblGrid>
      <w:tr>
        <w:trPr/>
        <w:tc>
          <w:tcPr>
            <w:tcW w:w="174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331,105 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Buyback obligation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258,603 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 attributable to CaliberCos Inc.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and stockholders’ equity</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258,123 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331,105 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0"/>
        <w:gridCol w:w="1494"/>
        <w:gridCol w:w="1503"/>
        <w:gridCol w:w="211"/>
        <w:gridCol w:w="721"/>
        <w:gridCol w:w="109"/>
        <w:gridCol w:w="109"/>
        <w:gridCol w:w="109"/>
        <w:gridCol w:w="109"/>
        <w:gridCol w:w="460"/>
        <w:gridCol w:w="1808"/>
        <w:gridCol w:w="241"/>
        <w:gridCol w:w="109"/>
        <w:gridCol w:w="109"/>
        <w:gridCol w:w="109"/>
        <w:gridCol w:w="223"/>
        <w:gridCol w:w="874"/>
        <w:gridCol w:w="167"/>
      </w:tblGrid>
      <w:tr>
        <w:trPr/>
        <w:tc>
          <w:tcPr>
            <w:tcW w:w="174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243,231 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278,834 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Buyback obligation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166,003 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201,645 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 attributable to CaliberCos Inc.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and stockholders’ equity</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243,231 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278,834 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the Company had a portfolio of corporate notes, whose composition and characteristics are similar to those reported in prior fiscal periods. At September 30, 2024, the portfolio consists of 211 unsecured notes with an aggregate principal balance of $33.0 million, of which $32.4 million mature within the 12-month period subsequent to November 13, 2024. Each note generally has a 12-month term with an option to extend for an additional 12-month term.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incurred operating losses and negative cash flow from operations for the nine months ended September 30, 2024, and could experience additional future operating losses and negative cash flow in the near term, combined with the fact that the Company does not have sufficient cash on hand to satisfy the total of the notes that mature within the next 12 months, these conditions and events raise substantial doubt about the Company’s ability to continue as a going concern. In response to these conditions, management considered the impact of these near-term maturities on the Company.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the note program began, these notes have demonstrated a high rate of extension of their terms. Subsequent to the issuance of its 2023 10-K, the Company has continued its discussions with various lenders in pursuit of extending or refinancing its unsecured loans. Through September 30, 2024, the rate of extension of the current notes is consistent with or greater than prior reported fiscal periods. Management plans to continue seeking and granting extensions on an ongoing basis consistent with prior reported fiscal periods.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management has implemented various plans to address operating losses and near-term maturities or demands for repayment of its notes. Consistent with reported actions taken in prior fiscal periods, management plans to continue to i) negotiate extensions of such loans or refinance such debt, ii) obtain new financing, iii) reduce operating costs, iv) collect all or part of its $13.3 million in receivables, v) collect all or part of its $19.7 million investments from its managed funds, vi) increase capital raise through continued expansion of fundraising channels, vii) sell or accept investment into its corporate headquarters, viii) place debt on unencumbered assets, and/or ix) generate planned cash from operations.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execution of our aforementioned plans, during the nine months ended September 30, 2024, we collected $8.2 million of notes receivable and $2.7 million of accounts receivable. The Company also executed a reduction in force of approximately 10% of its employees in May 2024, with an expected annual saving of compensation and benefits expenses of $4.0 million. The Company has also executed on cost reduction plans with estimated annual savings of $2.5 million.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consideration of the implemented and planned actions, in particular continuing to renew maturing unsecured corporate notes, there are no assurances that management’s actions will alleviate substantial doubt about the company’s ability to continue as a going concern beyond one year from the date that the consolidated financial statements are issued.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funds and the related assets that are acquired or own equity interest in those funds are established as separate legal entities with limited liability. Therefore, the cash flows generated by these entities, whether through operations or financing, are unavailable for general corporate purposes, except as payment to the Company for services performed by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financed our operations primarily through a combination of operating cash flows, private offerings of our equity securities, and secured and unsecured debt. In addition, due to the consolidation of CFIF III, we recognize a revolving line of credit with a maximum borrowing amount of $4.5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hold our excess unrestricted cash in bank accounts with several high-quality financial institutions.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Corporate Debt</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have issued and outstanding unsecured promissory notes of $33.0 million with an average outstanding principal balance of $0.2 million, a weighted average interest rate of 11.41%, and maturity dates ranging from January 2024 to April 2026. The purpose of this financing program is to provide the Company with flexible, short-term capital to be used to grow its assets under management and assist funds in a fast-moving acquisition or investment, as well as general corporate purposes. Additionally, the program provides customers of Caliber’s funds access to a short-term lending opportunity. Management actively manages each relationship to determine if the respective customer would like to redeem upon maturity or extend for an additional period of time. Management has historically been successful at extending these note programs and, as a result, continues to expect similar outcomes. This outstanding debt resulted in $1.0 million and $3.0 million of interest expense for the three and nine months ended September 30, 2024, respectively, and $1.2 million and $2.9 million of interest expense for the three and nine months ended September 30, 2023, respectively.</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Analysis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below discusses in more detail the Company’s primary sources and uses of cash and primary drivers of cash flows within the Company’s consolidated statements of cash flows (in thousands).</w:t>
      </w:r>
    </w:p>
    <w:tbl>
      <w:tblPr>
        <w:tblW w:w="8275" w:type="dxa"/>
        <w:jc w:val="left"/>
        <w:tblInd w:w="0" w:type="dxa"/>
        <w:tblLayout w:type="fixed"/>
        <w:tblCellMar>
          <w:top w:w="28" w:type="dxa"/>
          <w:left w:w="28" w:type="dxa"/>
          <w:bottom w:w="28" w:type="dxa"/>
          <w:right w:w="28" w:type="dxa"/>
        </w:tblCellMar>
      </w:tblPr>
      <w:tblGrid>
        <w:gridCol w:w="1255"/>
        <w:gridCol w:w="1100"/>
        <w:gridCol w:w="1110"/>
        <w:gridCol w:w="109"/>
        <w:gridCol w:w="109"/>
        <w:gridCol w:w="109"/>
        <w:gridCol w:w="247"/>
        <w:gridCol w:w="933"/>
        <w:gridCol w:w="127"/>
        <w:gridCol w:w="127"/>
        <w:gridCol w:w="127"/>
        <w:gridCol w:w="127"/>
        <w:gridCol w:w="247"/>
        <w:gridCol w:w="933"/>
        <w:gridCol w:w="127"/>
        <w:gridCol w:w="109"/>
        <w:gridCol w:w="109"/>
        <w:gridCol w:w="109"/>
        <w:gridCol w:w="211"/>
        <w:gridCol w:w="79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(13,537)</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2,483</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(16,020)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of our consolidated funds, on a gross basis, can be substantially larger than the assets of our core business and, accordingly could have a substantial effect on the accompanying statements of cash flows. The table below summarizes our consolidated statements of cash flow by activity attributable to the Company and to our consolidated funds (in thousands).</w:t>
      </w:r>
    </w:p>
    <w:tbl>
      <w:tblPr>
        <w:tblW w:w="10205" w:type="dxa"/>
        <w:jc w:val="left"/>
        <w:tblInd w:w="0" w:type="dxa"/>
        <w:tblLayout w:type="fixed"/>
        <w:tblCellMar>
          <w:top w:w="28" w:type="dxa"/>
          <w:left w:w="28" w:type="dxa"/>
          <w:bottom w:w="28" w:type="dxa"/>
          <w:right w:w="28" w:type="dxa"/>
        </w:tblCellMar>
      </w:tblPr>
      <w:tblGrid>
        <w:gridCol w:w="2001"/>
        <w:gridCol w:w="1740"/>
        <w:gridCol w:w="1744"/>
        <w:gridCol w:w="109"/>
        <w:gridCol w:w="109"/>
        <w:gridCol w:w="109"/>
        <w:gridCol w:w="251"/>
        <w:gridCol w:w="942"/>
        <w:gridCol w:w="129"/>
        <w:gridCol w:w="129"/>
        <w:gridCol w:w="129"/>
        <w:gridCol w:w="129"/>
        <w:gridCol w:w="251"/>
        <w:gridCol w:w="817"/>
        <w:gridCol w:w="129"/>
        <w:gridCol w:w="109"/>
        <w:gridCol w:w="109"/>
        <w:gridCol w:w="109"/>
        <w:gridCol w:w="211"/>
        <w:gridCol w:w="788"/>
        <w:gridCol w:w="161"/>
      </w:tblGrid>
      <w:tr>
        <w:trPr/>
        <w:tc>
          <w:tcPr>
            <w:tcW w:w="2001"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8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5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the consolidated funds'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(199)</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(11,142)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10,943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consolidated funds'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(14,364)</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(43,955)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29,591</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the consolidated funds'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1,026</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57,580</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(56,554)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(13,537)</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2,483</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(16,020)</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flows from operating activities are generally comprised of asset management revenues and performance allocations, less cash used for operating expenses, including interest paid on our debt obligations. Net cash flows used in operating activities of the Company increased during the nine months ended September 30, 2024 as compared to the same period in 2023. The increase primarily related to increased interest payments related to the Company’s corporate notes during the nine months ended September 30, 2024, as compared to the same period in 2023. Net cash flows provided by operating activities of the consolidated funds increased from the nine months ended September 30, 2024, as compared to net cash flows used in operating activities of the consolidated funds during the same period in 2023. The increase was primarily due to increased interest payments related to the consolidated funds notes payable and the deconsolidation of VIEs.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investing activities of the Company increased during the nine months ended September 30, 2024 as compared to the net cash flows used in investing activities of the Company for the same period in 2023. The increase primarily relates to an decrease in the acquisition of real estate assets. The decrease in net cash flows used in investing activities of the consolidated funds during the nine months ended September 30, 2024 as compared to the same period in 2023 is primarily due to the deconsolidation of VIEs, offset by a decrease in the acquisition of and investment in real estate assets and an increase in the net proceeds from notes receivable - related parties.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financing activities of the Company increased during the nine months ended September 30, 2024 as compared to the net cash flows provided by financing activities of the Company for the same period in 2023. The increase was primarily due to an decrease of $41.6 million of proceeds on notes payable. The decrease in net cash flows provided by financing activities of the consolidated funds during the nine months ended September 30, 2024 as compared to the same period in 2023 is primarily due to a decrease in contributions from noncontrolling interest holders of $6.4 million during the nine months ended September 30, 2024 as compared to the same period in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Estimates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critical accounting policies affect the Company’s more significant estimates and judgements used in the preparation of our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accordance with the Accounting Standards Codification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 xml:space="preserve">(“ASC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describes revenue recognition for the fees the Company earns from providing services under its asset management Platform: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Hospitality Trust’s enterprise value and is reimbursed for certain costs incurred on behalf of the Caliber Hospitality Trust. These revenues are included in asset management revenues in the accompanying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Brokerage fees are earned at a point in time at fixed rates for services performed related to acquisitions, dispositions, leasing, and financing transaction, and are included in asset management revenues in the accompanying consolidated statements of operations.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Company accounts for income taxes under the asset and liability method in accordance with ASC 740, </w:t>
      </w:r>
      <w:r>
        <w:rPr>
          <w:rFonts w:ascii="Times New Roman;sans-serif" w:hAnsi="Times New Roman;sans-serif"/>
          <w:b w:val="false"/>
          <w:i/>
          <w:color w:val="000000"/>
          <w:sz w:val="20"/>
        </w:rPr>
        <w:t>Accounting for Income Taxes</w:t>
      </w:r>
      <w:r>
        <w:rPr>
          <w:rFonts w:ascii="Times New Roman;sans-serif" w:hAnsi="Times New Roman;sans-serif"/>
          <w:b w:val="false"/>
          <w:color w:val="000000"/>
          <w:sz w:val="20"/>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required to reduce the balance of a deferred tax asset if it is determined that it is more-likely-than-not that all or some portion of the deferred tax asset will not be realized due to the lack of sufficient taxable income or other limitation on the Company’s ability to utilize the loss carryforward.</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impact of an income tax position, if that position is more-likely-than-not of being sustained on audit, based on the technical merits of the position. Related interest and penalties are classified as income taxes in the financial statements.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Accounting Estimates of Consolidated Funds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critical accounting policies affect the consolidated funds’ more significant estimates and judgements used in the preparation of our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Consolidated Fund Revenues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hospitality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other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funds – other revenue primarily consists of rental revenue of $0.4 million and $1.3 million for the three and nine months ended September 30, 2024, respectively, and $1.2 million and $3.5 million for the three and nine months ended September 30, 2023, respectively. Rental revenue includes the revenues generated primarily by the rental operations of the residential (multi-family and single-family) and commercial properties of our consolidated funds.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fair value of financial instruments is disclosed in accordance with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Market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risk associated with financial instruments and derivative financial instruments is the risk of loss from adverse changes in market prices or interest rates. Our market risk arises primarily from interest rate risk relating to variable-rate borrowings.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 to time, we may enter into interest rate hedge contracts such as swaps, caps, collars, treasury locks, options and forwards in order to mitigate our interest rate risk with respect to various debt instruments. We would not hold or issue these derivative contracts for trading or speculative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our debt included fixed-rate debt with a fair value and carrying value of $53.6 million and $61.0 million,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our debt included variable-rate debt with a fair value and carrying value of $22.6 million. The sensitivity analysis related to our variable-rate debt assumes an immediate 100 basis point move in interest rates from their September 30, 2024 levels, with all other variables held constant. A 100 basis point increase or decrease in variable interest rates on our variable-rate debt would increase or decrease our interest expense by $0.2 million annually.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revenues are generated from the management, ownership and/or operations of real estate assets located in Alaska, Arizona, Colorado, Kansas, Texas, and Virginia. The Company mitigates the associated risk by: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asset types, including hospitality, commercial, single-family, multi-family, and self-storage properties;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maintaining financing relationships with a diversified mix of lenders (differing size and type), including large national banks, local community banks, private equity lenders, and insurance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4.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September 30, 2024 and determined that the disclosure controls and procedures were effective at a reasonable assurance level as of that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change occurred in our internal control over financial reporting (as defined in Rules 13a-15(f) and 15d -15(f) of the Exchange Act) during the three months ended September 30,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1. Legal Proceedings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1D1C1D"/>
          <w:sz w:val="20"/>
        </w:rPr>
      </w:pPr>
      <w:r>
        <w:rPr>
          <w:rFonts w:ascii="Times New Roman;sans-serif" w:hAnsi="Times New Roman;sans-serif"/>
          <w:b/>
          <w:color w:val="1D1C1D"/>
          <w:sz w:val="20"/>
        </w:rPr>
        <w:t>Item 1A. Risk Factors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the Risk Factors section in the Company’s annual report on Form 10-K filed with the SEC on April 15,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Sales of Unregistered Securities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the Company issued 17,000 shares of Class A common stock with an aggregate fair value of approximately $12,000 issued under a consulting agreement. The issuance of shares of Class A common stock were deemed to be exempt from registration under the Securities Act of 1933, as amended (the "Securities Act") in reliance upon Section 4(a)(2) of the Securities Act. A legend restricting the sale, transfer, or other disposition of the shares of restricted Class A common stock other than in compliance with the Securities Act was placed on the shares of restricted Class A common stock issued in the foregoing transaction.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1D1C1D"/>
          <w:sz w:val="20"/>
        </w:rPr>
      </w:pPr>
      <w:r>
        <w:rPr>
          <w:rFonts w:ascii="Times New Roman;sans-serif" w:hAnsi="Times New Roman;sans-serif"/>
          <w:b/>
          <w:color w:val="1D1C1D"/>
          <w:sz w:val="20"/>
        </w:rPr>
        <w:t>Item 5. Other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6. Exhibit Index</w:t>
      </w:r>
    </w:p>
    <w:tbl>
      <w:tblPr>
        <w:tblW w:w="10205" w:type="dxa"/>
        <w:jc w:val="left"/>
        <w:tblInd w:w="0" w:type="dxa"/>
        <w:tblLayout w:type="fixed"/>
        <w:tblCellMar>
          <w:top w:w="28" w:type="dxa"/>
          <w:left w:w="28" w:type="dxa"/>
          <w:bottom w:w="28" w:type="dxa"/>
          <w:right w:w="28" w:type="dxa"/>
        </w:tblCellMar>
      </w:tblPr>
      <w:tblGrid>
        <w:gridCol w:w="368"/>
        <w:gridCol w:w="323"/>
        <w:gridCol w:w="324"/>
        <w:gridCol w:w="109"/>
        <w:gridCol w:w="109"/>
        <w:gridCol w:w="109"/>
        <w:gridCol w:w="2593"/>
        <w:gridCol w:w="2582"/>
        <w:gridCol w:w="3688"/>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Third Amended and Restated Certificate of Incorporation of CaliberCos Inc. (incorporated by reference to Exhibit 3.1 of CaliberCos Inc.’s Form 8-K filed with the SEC on May 19, 2023</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CaliberCos Inc. (incorporated by reference to Exhibit 3.2 of CaliberCos Inc.’s Form 8-K filed with the SEC on May 19, 2023)</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Description of Securities (incorporated by reference to Exhibit 4.1 of CaliberCos Inc.’s Form 10-K filed with the SEC on April 15, 2024)</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Form of Class A common stock Certificate (incorporated by reference to Exhibit 4.1 to the Registrant’s Registration Statement on Form S-1/A, filed with the SEC on October 28, 2022 (File No. 333-267657))</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Amended and Restated Stockholders’ Agreement dated March 22, 2023, by and among the Company, John C. Loeffler, Jennifer Schrader and Donnie Schrader (incorporated by reference to Exhibit 4.2 to the Registrant’s Registration Statement on Form S-1/A, filed with the SEC on March 22, 2023 (File No. 333-267657))</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Stock Purchase Agreement dated September 21, 2018, by and among the Company and Donnie Schrader (incorporated by reference to Exhibit 3.2 of CaliberCos Inc.’s offering statement on Form 1-A (File No.024-11016), filed with the SEC on June 13, 2019)</w:t>
              </w:r>
            </w:hyperlink>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32024.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32024.htm">
              <w:r>
                <w:rPr>
                  <w:rStyle w:val="InternetLink"/>
                  <w:rFonts w:ascii="Times New Roman;sans-serif" w:hAnsi="Times New Roman;sans-serif"/>
                  <w:b w:val="false"/>
                  <w:color w:val="0000FF"/>
                  <w:sz w:val="20"/>
                  <w:u w:val="single"/>
                </w:rPr>
                <w:t>Certification of Principal Executive Officer Pursuant to Rules 13a-14(a) and 15d-14(a)</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32024.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32024.htm">
              <w:r>
                <w:rPr>
                  <w:rStyle w:val="InternetLink"/>
                  <w:rFonts w:ascii="Times New Roman;sans-serif" w:hAnsi="Times New Roman;sans-serif"/>
                  <w:b w:val="false"/>
                  <w:color w:val="0000FF"/>
                  <w:sz w:val="20"/>
                  <w:u w:val="single"/>
                </w:rPr>
                <w:t>Certification of Principal Financial Officer Pursuant to Rules 13a-14(a) and 15d-14(a)</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32024.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32024.htm">
              <w:r>
                <w:rPr>
                  <w:rStyle w:val="InternetLink"/>
                  <w:rFonts w:ascii="Times New Roman;sans-serif" w:hAnsi="Times New Roman;sans-serif"/>
                  <w:b w:val="false"/>
                  <w:color w:val="0000FF"/>
                  <w:sz w:val="20"/>
                  <w:u w:val="single"/>
                </w:rPr>
                <w:t>Certification of Principal Executive Officer Pursuant to 18 U.S.C. Section 1350</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32024.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32024.htm">
              <w:r>
                <w:rPr>
                  <w:rStyle w:val="InternetLink"/>
                  <w:rFonts w:ascii="Times New Roman;sans-serif" w:hAnsi="Times New Roman;sans-serif"/>
                  <w:b w:val="false"/>
                  <w:color w:val="0000FF"/>
                  <w:sz w:val="20"/>
                  <w:u w:val="single"/>
                </w:rPr>
                <w:t>Certification of Principal Financial Officer Pursuant to 18 U.S.C. Section 1350</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and contained in Exhibit 101)</w:t>
            </w:r>
          </w:p>
        </w:tc>
      </w:tr>
    </w:tbl>
    <w:p>
      <w:pPr>
        <w:pStyle w:val="TextBody"/>
        <w:bidi w:val="0"/>
        <w:spacing w:before="0" w:after="0"/>
        <w:jc w:val="center"/>
        <w:rPr/>
      </w:pPr>
      <w:r>
        <w:rPr/>
      </w:r>
    </w:p>
    <w:tbl>
      <w:tblPr>
        <w:tblW w:w="4857" w:type="dxa"/>
        <w:jc w:val="center"/>
        <w:tblInd w:w="0" w:type="dxa"/>
        <w:tblLayout w:type="fixed"/>
        <w:tblCellMar>
          <w:top w:w="28" w:type="dxa"/>
          <w:left w:w="28" w:type="dxa"/>
          <w:bottom w:w="28" w:type="dxa"/>
          <w:right w:w="28" w:type="dxa"/>
        </w:tblCellMar>
      </w:tblPr>
      <w:tblGrid>
        <w:gridCol w:w="124"/>
        <w:gridCol w:w="109"/>
        <w:gridCol w:w="109"/>
        <w:gridCol w:w="1323"/>
        <w:gridCol w:w="1323"/>
        <w:gridCol w:w="1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shd w:fill="FFFFFF" w:val="clear"/>
        </w:rPr>
        <w:t xml:space="preserve">Pursuant to the requirements of the Securities Act of 1933, the registrant has duly caused this Quarterly Report on Form 10-Q to be signed on its behalf by the undersigned, thereunto duly authorized, in Scottsdale, Arizona, </w:t>
      </w:r>
      <w:r>
        <w:rPr>
          <w:rFonts w:ascii="Times New Roman;sans-serif" w:hAnsi="Times New Roman;sans-serif"/>
          <w:b w:val="false"/>
          <w:color w:val="000000"/>
          <w:sz w:val="20"/>
        </w:rPr>
        <w:t>on November 13, 2024.</w:t>
      </w:r>
    </w:p>
    <w:tbl>
      <w:tblPr>
        <w:tblW w:w="4463" w:type="dxa"/>
        <w:jc w:val="left"/>
        <w:tblInd w:w="0" w:type="dxa"/>
        <w:tblLayout w:type="fixed"/>
        <w:tblCellMar>
          <w:top w:w="28" w:type="dxa"/>
          <w:left w:w="28" w:type="dxa"/>
          <w:bottom w:w="28" w:type="dxa"/>
          <w:right w:w="28" w:type="dxa"/>
        </w:tblCellMar>
      </w:tblPr>
      <w:tblGrid>
        <w:gridCol w:w="124"/>
        <w:gridCol w:w="109"/>
        <w:gridCol w:w="109"/>
        <w:gridCol w:w="289"/>
        <w:gridCol w:w="289"/>
        <w:gridCol w:w="289"/>
        <w:gridCol w:w="948"/>
        <w:gridCol w:w="948"/>
        <w:gridCol w:w="13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CALIBERCOS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required under the Securities Act of 1933, this Quarterly Report on Form 10-Q has been signed below by the following persons in the capacities and on the dates indicated:</w:t>
      </w:r>
    </w:p>
    <w:tbl>
      <w:tblPr>
        <w:tblW w:w="8797" w:type="dxa"/>
        <w:jc w:val="left"/>
        <w:tblInd w:w="0" w:type="dxa"/>
        <w:tblLayout w:type="fixed"/>
        <w:tblCellMar>
          <w:top w:w="28" w:type="dxa"/>
          <w:left w:w="28" w:type="dxa"/>
          <w:bottom w:w="28" w:type="dxa"/>
          <w:right w:w="28" w:type="dxa"/>
        </w:tblCellMar>
      </w:tblPr>
      <w:tblGrid>
        <w:gridCol w:w="676"/>
        <w:gridCol w:w="595"/>
        <w:gridCol w:w="603"/>
        <w:gridCol w:w="109"/>
        <w:gridCol w:w="109"/>
        <w:gridCol w:w="109"/>
        <w:gridCol w:w="1498"/>
        <w:gridCol w:w="1498"/>
        <w:gridCol w:w="1518"/>
        <w:gridCol w:w="109"/>
        <w:gridCol w:w="109"/>
        <w:gridCol w:w="109"/>
        <w:gridCol w:w="512"/>
        <w:gridCol w:w="512"/>
        <w:gridCol w:w="731"/>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Chief Financial Officer (</w:t>
            </w:r>
            <w:r>
              <w:rPr>
                <w:rFonts w:ascii="Times New Roman;sans-serif" w:hAnsi="Times New Roman;sans-serif"/>
                <w:b w:val="false"/>
                <w:i/>
                <w:color w:val="000000"/>
                <w:sz w:val="20"/>
              </w:rPr>
              <w:t>Principal Accounting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Vice-Chairperson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John C. Loeffler, II,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6250"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Jade Leung,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409"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CaliberCos Inc. (the “Company”) on Form 10-Q, for the fiscal quarter ended September 30, 2024,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6250"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CaliberCos Inc. (the “Company”) on Form 10-Q, for the fiscal quarter ended September 30, 2024, as filed with the Securities and Exchange Commission on the date hereof (the “Report”), I, Jade Leung, Chief Financial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409"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7282/000110465923062737/tm2316200d1_ex3-1.htm" TargetMode="External"/><Relationship Id="rId3" Type="http://schemas.openxmlformats.org/officeDocument/2006/relationships/hyperlink" Target="https://www.sec.gov/Archives/edgar/data/1627282/000110465923062737/tm2316200d1_ex3-1.htm" TargetMode="External"/><Relationship Id="rId4" Type="http://schemas.openxmlformats.org/officeDocument/2006/relationships/hyperlink" Target="https://www.sec.gov/Archives/edgar/data/1627282/000110465923062737/tm2316200d1_ex3-2.htm" TargetMode="External"/><Relationship Id="rId5" Type="http://schemas.openxmlformats.org/officeDocument/2006/relationships/hyperlink" Target="https://www.sec.gov/Archives/edgar/data/1627282/000110465923062737/tm2316200d1_ex3-2.htm" TargetMode="External"/><Relationship Id="rId6" Type="http://schemas.openxmlformats.org/officeDocument/2006/relationships/hyperlink" Target="https://www.sec.gov/Archives/edgar/data/1627282/000162728224000039/exhibit41-descriptionofsec.htm" TargetMode="External"/><Relationship Id="rId7" Type="http://schemas.openxmlformats.org/officeDocument/2006/relationships/hyperlink" Target="https://www.sec.gov/Archives/edgar/data/1627282/000162728224000039/exhibit41-descriptionofsec.htm" TargetMode="External"/><Relationship Id="rId8" Type="http://schemas.openxmlformats.org/officeDocument/2006/relationships/hyperlink" Target="https://www.sec.gov/Archives/edgar/data/1627282/000110465922112555/tm2228946d1_ex4-1.htm" TargetMode="External"/><Relationship Id="rId9" Type="http://schemas.openxmlformats.org/officeDocument/2006/relationships/hyperlink" Target="https://www.sec.gov/Archives/edgar/data/1627282/000110465922112555/tm2228946d1_ex4-1.htm" TargetMode="External"/><Relationship Id="rId10" Type="http://schemas.openxmlformats.org/officeDocument/2006/relationships/hyperlink" Target="https://www.sec.gov/Archives/edgar/data/1627282/000110465923035668/tm2230806d13_ex4-2.htm" TargetMode="External"/><Relationship Id="rId11" Type="http://schemas.openxmlformats.org/officeDocument/2006/relationships/hyperlink" Target="https://www.sec.gov/Archives/edgar/data/1627282/000110465923035668/tm2230806d13_ex4-2.htm" TargetMode="External"/><Relationship Id="rId12" Type="http://schemas.openxmlformats.org/officeDocument/2006/relationships/hyperlink" Target="https://www.sec.gov/Archives/edgar/data/1627282/000114420419030743/tv515450_ex3-2.htm" TargetMode="External"/><Relationship Id="rId13" Type="http://schemas.openxmlformats.org/officeDocument/2006/relationships/hyperlink" Target="https://www.sec.gov/Archives/edgar/data/1627282/000114420419030743/tv515450_ex3-2.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37786</Words>
  <Characters>212696</Characters>
  <CharactersWithSpaces>247680</CharactersWithSpaces>
  <Paragraphs>6603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