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1"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47-2426901</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Scottsdale AZ 85258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 2024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30"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Copy to:</w:t>
            </w:r>
          </w:p>
        </w:tc>
      </w:tr>
      <w:tr>
        <w:trPr>
          <w:trHeight w:val="216"/>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John C. Loeffler, II</w:t>
            </w: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Thomas J. Poletti. Esq.</w:t>
            </w:r>
          </w:p>
        </w:tc>
      </w:tr>
      <w:tr>
        <w:trPr>
          <w:trHeight w:val="216"/>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Chairman and Chief Executive Officer</w:t>
            </w: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Veronica Lah, Esq.</w:t>
            </w:r>
          </w:p>
        </w:tc>
      </w:tr>
      <w:tr>
        <w:trPr>
          <w:trHeight w:val="216"/>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w:t>
            </w: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Manatt, Phelps &amp; Phillips LLP</w:t>
            </w:r>
          </w:p>
        </w:tc>
      </w:tr>
      <w:tr>
        <w:trPr>
          <w:trHeight w:val="216"/>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Scottsdale AZ 85258</w:t>
            </w:r>
          </w:p>
        </w:tc>
        <w:tc>
          <w:tcPr>
            <w:tcW w:w="37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695 Town Center Drive, 14th Floor</w:t>
            </w:r>
          </w:p>
        </w:tc>
      </w:t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(480) 295-7600</w:t>
            </w: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Costa Mesa, CA 92626</w:t>
            </w:r>
          </w:p>
        </w:tc>
      </w:tr>
      <w:tr>
        <w:trPr>
          <w:trHeight w:val="216"/>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(Name, address, and telephone number of agent for service)</w:t>
            </w: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Email: tpoletti@manatt.com</w:t>
            </w:r>
          </w:p>
        </w:tc>
      </w:tr>
      <w:tr>
        <w:trPr>
          <w:trHeight w:val="234"/>
        </w:trPr>
        <w:tc>
          <w:tcPr>
            <w:tcW w:w="5380" w:type="dxa"/>
            <w:vAlign w:val="bottom"/>
          </w:tcPr>
          <w:p>
            <w:pPr>
              <w:spacing w:after="0"/>
              <w:rPr>
                <w:sz w:val="20"/>
                <w:szCs w:val="20"/>
                <w:color w:val="auto"/>
              </w:rPr>
            </w:pPr>
          </w:p>
        </w:tc>
        <w:tc>
          <w:tcPr>
            <w:tcW w:w="37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Telephone: (714) 371-2500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30, 2026, stockholders of CaliberCos Inc. (the “Company” or the “Registrant”) approved an amendment (the “Plan Amendment”) to the Company’s 2024 Equity Incentive Plan (as amended, the “Plan”) to (a) increase the number of shares of the Company’s Class A Common Stock, $0.001 par value per share (the “Common Stock”) reserved for issuance pursuant to the Plan by an additional one million (1,000,000) shares; (b) incorporate provisions for annual increases under the Plan on the first day of each calendar year, beginning on January 1, 2027, and ending on January 1, 2034, equal to 15% of the total shares of the Company’s Common Stock outstanding on the last day of the immediately preceding calendar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this Registration Statement on Form S-8 (this “Registration Statement”) is being filed for the purpose of registering an additional 1,000,000 shares of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additional shares of Common Stock are additional securities of the same class as other securities for which a prior registration statement on Form S-8 (File Nos. 333-280638) filed on July 1, 2024 (the “Prior Registration Statement”)) has been filed with the Securities and Exchange Commission (the “Commission”). Pursuant to General Instruction E to Form S-8, the contents of the Prior Registration Statement are incorporated by reference into this Registration Statement, except that the provisions contained in Part II of the Prior Registration Statement are modified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by it with the SEC:</w:t>
      </w:r>
    </w:p>
    <w:p>
      <w:pPr>
        <w:spacing w:after="0" w:line="225" w:lineRule="exact"/>
        <w:rPr>
          <w:sz w:val="20"/>
          <w:szCs w:val="20"/>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26, 2026.</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quarters ended March 31, 2026, filed with the Commission on May 14, 2026.</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0">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xml:space="preserve">, and </w:t>
      </w:r>
      <w:hyperlink r:id="rId21">
        <w:r>
          <w:rPr>
            <w:rFonts w:ascii="Times New Roman" w:cs="Times New Roman" w:eastAsia="Times New Roman" w:hAnsi="Times New Roman"/>
            <w:sz w:val="18"/>
            <w:szCs w:val="18"/>
            <w:u w:val="single" w:color="auto"/>
            <w:color w:val="0000EE"/>
          </w:rPr>
          <w:t>April 14,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securities, which is contained in the Registrant’s Annual Report on Form 10-K for the fiscal year ended December 31, 2025 filed on March 26, 2026, including any amendments or supplements thereto.</w:t>
      </w:r>
    </w:p>
    <w:p>
      <w:pPr>
        <w:spacing w:after="0" w:line="162"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SEC pursuant to Sections 13(a), 13(c), 14, or 15(d) of the Exchange Act after the date hereof, and prior to the filing of a post-effective amendment which indicates that all securities offered hereby have been sold or which deregisters all securities then remaining unsold, shall be deemed incorporated by reference into this Registration Statement and to be a part thereof from the date of the filing of such documents. Any statement contained in the documents incorporated, or deemed to be incorporated, by reference herein or therein shall be deemed to be modified or superseded for purposes of this Registration Statement and the prospectus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Registration Statement and the prospectus.</w:t>
      </w:r>
    </w:p>
    <w:p>
      <w:pPr>
        <w:spacing w:after="0" w:line="192"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0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9"/>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Class A Common Stock Certificate (incorporated by reference to Exhibit 4.1 of the Registrant’s registration statement on Form S-</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0000EE"/>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1 filed October 28, 2022)</w:t>
              </w:r>
            </w:hyperlink>
          </w:p>
        </w:tc>
        <w:tc>
          <w:tcPr>
            <w:tcW w:w="814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5"/>
                <w:szCs w:val="15"/>
                <w:color w:val="auto"/>
              </w:rPr>
            </w:pPr>
          </w:p>
        </w:tc>
        <w:tc>
          <w:tcPr>
            <w:tcW w:w="100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Opinion of Manatt, Phelps &amp; Phillips, LLP</w:t>
            </w:r>
          </w:p>
        </w:tc>
      </w:tr>
      <w:tr>
        <w:trPr>
          <w:trHeight w:val="21"/>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Manatt, Phelps &amp; Phillips, LLP (included in Exhibit 5.1)</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top w:val="single" w:sz="8" w:color="CCEEFF"/>
            </w:tcBorders>
          </w:tcPr>
          <w:p>
            <w:pPr>
              <w:spacing w:after="0"/>
              <w:rPr>
                <w:sz w:val="15"/>
                <w:szCs w:val="15"/>
                <w:color w:val="auto"/>
              </w:rPr>
            </w:pPr>
          </w:p>
        </w:tc>
        <w:tc>
          <w:tcPr>
            <w:tcW w:w="4920" w:type="dxa"/>
            <w:vAlign w:val="bottom"/>
            <w:tcBorders>
              <w:top w:val="single" w:sz="8" w:color="0000EE"/>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Urish Popeck &amp; Co., LLC</w:t>
            </w:r>
          </w:p>
        </w:tc>
        <w:tc>
          <w:tcPr>
            <w:tcW w:w="508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CEEFF"/>
            </w:tcBorders>
            <w:shd w:val="clear" w:color="auto" w:fill="CCEEFF"/>
          </w:tcPr>
          <w:p>
            <w:pPr>
              <w:spacing w:after="0"/>
              <w:rPr>
                <w:sz w:val="17"/>
                <w:szCs w:val="17"/>
                <w:color w:val="auto"/>
              </w:rPr>
            </w:pPr>
          </w:p>
        </w:tc>
        <w:tc>
          <w:tcPr>
            <w:tcW w:w="5700" w:type="dxa"/>
            <w:vAlign w:val="bottom"/>
            <w:tcBorders>
              <w:bottom w:val="single" w:sz="8" w:color="0000EE"/>
            </w:tcBorders>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Powers of Attorney (included on signature page to this Registration Statement)</w:t>
            </w:r>
          </w:p>
        </w:tc>
        <w:tc>
          <w:tcPr>
            <w:tcW w:w="430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5"/>
                <w:szCs w:val="15"/>
                <w:color w:val="auto"/>
              </w:rPr>
            </w:pPr>
          </w:p>
        </w:tc>
        <w:tc>
          <w:tcPr>
            <w:tcW w:w="10000" w:type="dxa"/>
            <w:vAlign w:val="bottom"/>
            <w:gridSpan w:val="9"/>
          </w:tcPr>
          <w:p>
            <w:pPr>
              <w:ind w:left="20"/>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CaliberCos Inc. 2024 Equity Incentive Plan (incorporated by reference to Appendix A to the Company’s Definitive Proxy Statement</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(Schedule 14A) filed with the Commission on May 16, 2024)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22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Amendment to the CaliberCos 2024 Equity Incentive Plan</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Scottsdale, State of Arizona, on May 20,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CaliberCos Inc., do hereby constitute and appoint John C. Loeffler, II and Jade Leung, and each of them, as his true and lawful attorneys-in-fact and agents, with full power of substitution for him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333"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885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Jade Leung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Schrader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Schrader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Gerber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Trzupek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Trzupek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Hansen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Taylor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6"/>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600" w:type="dxa"/>
            <w:vAlign w:val="bottom"/>
          </w:tcPr>
          <w:p>
            <w:pPr>
              <w:spacing w:after="0"/>
              <w:rPr>
                <w:sz w:val="20"/>
                <w:szCs w:val="20"/>
                <w:color w:val="auto"/>
              </w:rPr>
            </w:pPr>
          </w:p>
        </w:tc>
      </w:tr>
      <w:tr>
        <w:trPr>
          <w:trHeight w:val="439"/>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6"/>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3600" w:type="dxa"/>
            <w:vAlign w:val="bottom"/>
          </w:tcPr>
          <w:p>
            <w:pPr>
              <w:spacing w:after="0"/>
              <w:rPr>
                <w:sz w:val="20"/>
                <w:szCs w:val="20"/>
                <w:color w:val="auto"/>
              </w:rPr>
            </w:pPr>
          </w:p>
        </w:tc>
      </w:tr>
      <w:tr>
        <w:trPr>
          <w:trHeight w:val="445"/>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and Vice-Chairperson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675"/>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675"/>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675"/>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675"/>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bl>
    <w:p>
      <w:pPr>
        <w:spacing w:after="0" w:line="402" w:lineRule="exact"/>
        <w:rPr>
          <w:sz w:val="20"/>
          <w:szCs w:val="20"/>
          <w:color w:val="auto"/>
        </w:rPr>
      </w:pPr>
    </w:p>
    <w:p>
      <w:pPr>
        <w:sectPr>
          <w:pgSz w:w="11900" w:h="16838" w:orient="portrait"/>
          <w:cols w:equalWidth="0" w:num="2">
            <w:col w:w="3120" w:space="720"/>
            <w:col w:w="7400"/>
          </w:cols>
          <w:pgMar w:left="320" w:top="33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62990"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629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CaliberCos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8901 E. Mountain View Rd. Ste.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85258</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1,000,000 Shares of Class A Common Stock, par value $0.001 per share</w:t>
      </w:r>
    </w:p>
    <w:p>
      <w:pPr>
        <w:spacing w:after="0" w:line="200" w:lineRule="exact"/>
        <w:rPr>
          <w:sz w:val="20"/>
          <w:szCs w:val="20"/>
          <w:color w:val="auto"/>
        </w:rPr>
      </w:pPr>
    </w:p>
    <w:p>
      <w:pPr>
        <w:sectPr>
          <w:pgSz w:w="11900" w:h="16838" w:orient="portrait"/>
          <w:cols w:equalWidth="0" w:num="2">
            <w:col w:w="280" w:space="380"/>
            <w:col w:w="10580"/>
          </w:cols>
          <w:pgMar w:left="320" w:top="11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CaliberCos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by the Company of a total of 1,000,000 shares of Class A Common Stock, par value $0.001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issuable under the CaliberCos, Inc. 2024 Equity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opinion is being furnished in connection with the requirements of Item 601(b)(5) of Regulation S-K under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such counsel and for purposes of our opinions set forth below, we have examined originals or copies, certified or otherwise identified to our satisfaction, of such documents, resolutions, certificates and instruments of the Company and corporate records furnished to us by the Company, certificates of public officials, statutes, records and such other instruments and documents as we have deemed necessary or appropriate as a basis for the opinion set forth below.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legal capacity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agreements, instruments, certificates and other documents by all parties thereto (other than the Company), (vi) that the statements contained in the certificates and comparable documents of public officials, officers and representatives of the Company and other persons on which we have relied for the purposes of this opinion set forth below are true and correct, and (vii) that the officers and directors of the Company have properly exercised their fiduciary duties. We also have obtained from the officers of the Company certificates as to certain factual matters necessary for the purpose of this opinion and, insofar as this opinion is based on such matters of fact, we have relied solely on such certificates without independent investigation. We have also assumed that the Shares will be issued and sold as described in the Registration Statement and the applicable provisions of the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we are of the opinion that the Shares have been duly authorized and, when issued and delivered against payment therefor in conformity with the terms of the Plan, assuming in each case that the individual issuance, grants or awards under the Plan are duly authorized by all necessary corporate action and duly issued, granted or awarded and exercised in accordance with the requirements of the law and the Plan, will be validly issued, fully paid and non-assessable.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2049 Century Park East, Suite 1700, Los Angeles, California 90067 Telephone: 310.312.4000 Fax: 310.312.4224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Albany | Boston | Chicago | Los Angeles | New York | Orange County | Palo Alto | Sacramento | San Francisco |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62990"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62915"/>
                    </a:xfrm>
                    <a:prstGeom prst="rect">
                      <a:avLst/>
                    </a:prstGeom>
                    <a:noFill/>
                  </pic:spPr>
                </pic:pic>
              </a:graphicData>
            </a:graphic>
          </wp:anchor>
        </w:drawing>
        <w:t>CaliberCos,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express no opinion as to the applicability or effect of any laws, orders or judgments of any state or other jurisdiction other than the General Corporation Law of the State of Delaware (including the statutory provisions and all applicable provisions of the Delaware Constitution and reported judicial decisions interpreting those laws). This opinion is expressly limited to the matters set forth above and we render no opinion, whether by implication or otherwise, as to any other matters relating to the Company or the Shares.</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giving this consent, we do not admit that we come within the category of persons whose consent is required under Section 7 of the Securities Act or the rules and regulations of the Commission adopted under the Securities Act.</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opinions included herein are expressed as of the date hereof unless otherwise expressly stated, and we disclaim any undertaking to advise you of any subsequent changes in the facts stated or assumed herein or of any subsequent changes in applicable laws.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Manatt, Phelps &amp; Phillips,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Manatt, Phelps &amp; Phillips,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March 26, 2026, relating to the consolidated financial statements of CaliberCos Inc. and Subsidiaries, appearing in the Company’s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Urish Popeck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5031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CALIBERCOS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2024 EQUITY INCENTIVE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(the “Amendment”) to the CaliberCos Inc. 2024 Equity Incentive Plan (as amended from time to time, the “Plan”), is made and adopted by CaliberCos Inc., a Delaware corporation (the “Company”). Capitalized terms used but not defined herein shall have the meanings assigned to them in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previously adopted the Plan, under which the Company is authorized to grant equity-based awards;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Sections 10.1 and 10.2 of the Plan provide that the Company’s board of directors (the “Board”) may amend the Plan from time to time, except that any amendment relating to adjustments upon changes in Common Stock must be approved by the stockholders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Board now desires to amend the Plan to change the number of shares of Common Stock available for the grant of awards under the Plan and to provide for evergreen increases under the Plan in future years until the ten (10) year anniversary of the Plan, subject to the approval of the Company’s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BE IT RESOLVED, that, subject to the approval of the Company’s stockholders, the Plan shall be amended as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4.1 of the Plan is hereby deleted and replaced in its entirety with the following:</w:t>
      </w:r>
    </w:p>
    <w:p>
      <w:pPr>
        <w:spacing w:after="0" w:line="225" w:lineRule="exact"/>
        <w:rPr>
          <w:sz w:val="20"/>
          <w:szCs w:val="20"/>
          <w:color w:val="auto"/>
        </w:rPr>
      </w:pPr>
    </w:p>
    <w:p>
      <w:pPr>
        <w:jc w:val="both"/>
        <w:ind w:left="980" w:right="740"/>
        <w:spacing w:after="0" w:line="256" w:lineRule="auto"/>
        <w:rPr>
          <w:sz w:val="20"/>
          <w:szCs w:val="20"/>
          <w:color w:val="auto"/>
        </w:rPr>
      </w:pPr>
      <w:r>
        <w:rPr>
          <w:rFonts w:ascii="Times New Roman" w:cs="Times New Roman" w:eastAsia="Times New Roman" w:hAnsi="Times New Roman"/>
          <w:sz w:val="18"/>
          <w:szCs w:val="18"/>
          <w:color w:val="auto"/>
        </w:rPr>
        <w:t>4.1 Number of Shares. Subject to adjustment, as provided in Section 4.3, the total number of Shares available for grant under the Plan shall be one million two hundred (1,200,000). Shares granted under the Plan may be authorized but unissued Shares or reacquired Shares bought on the market or otherwise. Notwithstanding the foregoing, on the first day of each month commencing January 1, 2027, or the first business day of the calendar year if the first day of the calendar year falls on a Saturday or Sunday, the number of Shares eligible for Awards under the Plan will automatically increase in an amount equal to 15% of the total number of Shares outstanding as of December 31st of the preceding fiscal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RESOLVED, that except as amended hereby, the Plan shall continue to read in the current state and is specifically ratified and reaffirmed.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evidence of its adoption by the Board of Directors of the 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CALIBERCOS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CaliberCos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0.96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132.58</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$0.001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960,000.00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in addition to the number of shares of the Registrant’s Class A common stock (“Common Stock”) stated above, such indeterminate number of any additional shares of Common Stock that may become issuable under the CaliberCos Inc. 2024 Equity Incentive Plan, by reason of any stock split, stock dividend or similar transaction pursuant to Rule 416(a) of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the CaliberCos Inc. 2024 Equity Incentive Plan.</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paragraphs (c) and (h) of Rule 457, the proposed maximum offering price per share and the proposed maximum aggregate offering price have been computed based on the average of the high and low sale prices of the Common Stock reported on the NASDAQ Stock Market on May 18, 2026, a date within five business days prior to the date of filing the Registration Statement.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18" Type="http://schemas.openxmlformats.org/officeDocument/2006/relationships/hyperlink" Target="https://www.sec.gov/ix?doc=/Archives/edgar/data/1627282/000162728226000015/cwd-20251231.htm" TargetMode="External"/><Relationship Id="rId19" Type="http://schemas.openxmlformats.org/officeDocument/2006/relationships/hyperlink" Target="https://www.sec.gov/ix?doc=/Archives/edgar/data/1627282/000162728226000034/cwd-20260331.htm" TargetMode="External"/><Relationship Id="rId20" Type="http://schemas.openxmlformats.org/officeDocument/2006/relationships/hyperlink" Target="https://www.sec.gov/ix?doc=/Archives/edgar/data/1627282/000121390026037625/ea0284193-8k_calibercos.htm" TargetMode="External"/><Relationship Id="rId21" Type="http://schemas.openxmlformats.org/officeDocument/2006/relationships/hyperlink" Target="https://www.sec.gov/ix?doc=/Archives/edgar/data/1627282/000121390026043618/ea0286242-8k_calibercos.htm" TargetMode="External"/><Relationship Id="rId23" Type="http://schemas.openxmlformats.org/officeDocument/2006/relationships/hyperlink" Target="https://www.sec.gov/Archives/edgar/data/1627282/000110465922112555/tm2228946d1_ex4-1.htm" TargetMode="External"/><Relationship Id="rId24" Type="http://schemas.openxmlformats.org/officeDocument/2006/relationships/hyperlink" Target="https://www.sec.gov/Archives/edgar/data/1627282/000162728224000069/caliberproxy2024votewithp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2026-05-20T16:36:15Z</dcterms:created>
  <dcterms:modified xsi:type="dcterms:W3CDTF">2026-05-20T16:36:15Z</dcterms:modified>
</cp:coreProperties>
</file>