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225425</wp:posOffset>
            </wp:positionH>
            <wp:positionV relativeFrom="page">
              <wp:posOffset>603250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629285</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20" w:right="1720" w:hanging="3794"/>
        <w:spacing w:after="0" w:line="367" w:lineRule="auto"/>
        <w:tabs>
          <w:tab w:leader="none" w:pos="399"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001-41703</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CALIBERCOS INC.</w:t>
      </w:r>
    </w:p>
    <w:p>
      <w:pPr>
        <w:spacing w:after="0" w:line="1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8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47-2426901</w:t>
            </w:r>
          </w:p>
        </w:tc>
      </w:tr>
      <w:tr>
        <w:trPr>
          <w:trHeight w:val="27"/>
        </w:trPr>
        <w:tc>
          <w:tcPr>
            <w:tcW w:w="5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05"/>
        </w:trPr>
        <w:tc>
          <w:tcPr>
            <w:tcW w:w="5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8901 E. Mountain View Rd. Ste. 150, Scottsdale, AZ</w:t>
            </w:r>
          </w:p>
        </w:tc>
        <w:tc>
          <w:tcPr>
            <w:tcW w:w="200" w:type="dxa"/>
            <w:vAlign w:val="bottom"/>
          </w:tcPr>
          <w:p>
            <w:pPr>
              <w:spacing w:after="0"/>
              <w:rPr>
                <w:sz w:val="24"/>
                <w:szCs w:val="24"/>
                <w:color w:val="auto"/>
              </w:rPr>
            </w:pPr>
          </w:p>
        </w:tc>
        <w:tc>
          <w:tcPr>
            <w:tcW w:w="5380" w:type="dxa"/>
            <w:vAlign w:val="bottom"/>
            <w:tcBorders>
              <w:bottom w:val="single" w:sz="8" w:color="auto"/>
            </w:tcBorders>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85258</w:t>
            </w:r>
          </w:p>
        </w:tc>
      </w:tr>
      <w:tr>
        <w:trPr>
          <w:trHeight w:val="237"/>
        </w:trPr>
        <w:tc>
          <w:tcPr>
            <w:tcW w:w="5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(480) 295-7600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19685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CWD</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84"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60" w:type="dxa"/>
            <w:vAlign w:val="bottom"/>
          </w:tcPr>
          <w:p>
            <w:pPr>
              <w:ind w:left="1540"/>
              <w:spacing w:after="0"/>
              <w:rPr>
                <w:sz w:val="20"/>
                <w:szCs w:val="20"/>
                <w:color w:val="auto"/>
              </w:rPr>
            </w:pPr>
            <w:r>
              <w:rPr>
                <w:rFonts w:ascii="Wingdings" w:cs="Wingdings" w:eastAsia="Wingdings" w:hAnsi="Wingdings"/>
                <w:sz w:val="18"/>
                <w:szCs w:val="18"/>
                <w:b w:val="1"/>
                <w:bCs w:val="1"/>
                <w:color w:val="auto"/>
              </w:rPr>
              <w:t>o</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540" w:type="dxa"/>
            <w:vAlign w:val="bottom"/>
          </w:tcPr>
          <w:p>
            <w:pPr>
              <w:ind w:left="1340"/>
              <w:spacing w:after="0"/>
              <w:rPr>
                <w:sz w:val="20"/>
                <w:szCs w:val="20"/>
                <w:color w:val="auto"/>
              </w:rPr>
            </w:pPr>
            <w:r>
              <w:rPr>
                <w:rFonts w:ascii="Wingdings" w:cs="Wingdings" w:eastAsia="Wingdings" w:hAnsi="Wingdings"/>
                <w:sz w:val="18"/>
                <w:szCs w:val="18"/>
                <w:b w:val="1"/>
                <w:bCs w:val="1"/>
                <w:color w:val="auto"/>
              </w:rPr>
              <w:t>o</w:t>
            </w: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60" w:type="dxa"/>
            <w:vAlign w:val="bottom"/>
          </w:tcPr>
          <w:p>
            <w:pPr>
              <w:ind w:left="1540"/>
              <w:spacing w:after="0"/>
              <w:rPr>
                <w:sz w:val="20"/>
                <w:szCs w:val="20"/>
                <w:color w:val="auto"/>
              </w:rPr>
            </w:pPr>
            <w:r>
              <w:rPr>
                <w:rFonts w:ascii="Wingdings" w:cs="Wingdings" w:eastAsia="Wingdings" w:hAnsi="Wingdings"/>
                <w:sz w:val="18"/>
                <w:szCs w:val="18"/>
                <w:b w:val="1"/>
                <w:bCs w:val="1"/>
                <w:color w:val="auto"/>
              </w:rPr>
              <w:t>x</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540" w:type="dxa"/>
            <w:vAlign w:val="bottom"/>
          </w:tcPr>
          <w:p>
            <w:pPr>
              <w:ind w:left="1340"/>
              <w:spacing w:after="0"/>
              <w:rPr>
                <w:sz w:val="20"/>
                <w:szCs w:val="20"/>
                <w:color w:val="auto"/>
              </w:rPr>
            </w:pPr>
            <w:r>
              <w:rPr>
                <w:rFonts w:ascii="Wingdings" w:cs="Wingdings" w:eastAsia="Wingdings" w:hAnsi="Wingdings"/>
                <w:sz w:val="18"/>
                <w:szCs w:val="18"/>
                <w:b w:val="1"/>
                <w:bCs w:val="1"/>
                <w:color w:val="auto"/>
                <w:w w:val="94"/>
              </w:rPr>
              <w:t>x</w:t>
            </w:r>
          </w:p>
        </w:tc>
      </w:tr>
      <w:tr>
        <w:trPr>
          <w:trHeight w:val="234"/>
        </w:trPr>
        <w:tc>
          <w:tcPr>
            <w:tcW w:w="3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540" w:type="dxa"/>
            <w:vAlign w:val="bottom"/>
          </w:tcPr>
          <w:p>
            <w:pPr>
              <w:ind w:left="134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71"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tabs>
          <w:tab w:leader="none" w:pos="7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5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1,302,053 shares of common stock, comprised of 931,231 shares of Class A Common Stock and 370,822 shares of Class B Common Stock of CaliberCos Inc. as of May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80010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105410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1" w:name="page2"/>
    <w:bookmarkEnd w:id="1"/>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 this report, the term “Company” refers to CaliberCos Inc. and its wholly-owned subsidiaries. The “Consolidated Funds” refers to the Companies’ consolidated variable interest entities. The “Consolidated Company”, “Caliber”, “we”, “us”, and “our” refers to the Company and the Consolidated Funds collectively.</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spacing w:after="0" w:line="14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size of our market opportunities;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markets, manage our growth expansion and comply with any applicable laws and regulations;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our market competitors;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or breach in security of, our information technology systems and resultant interruptions in service and any related impact on our reputation;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government regulation affecting our business;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meet our liquidity needs and service our indebtedness;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legal or administrative proceedings.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540" w:type="dxa"/>
            <w:vAlign w:val="bottom"/>
            <w:tcBorders>
              <w:bottom w:val="single" w:sz="8" w:color="CFF0FC"/>
            </w:tcBorders>
          </w:tcPr>
          <w:p>
            <w:pPr>
              <w:spacing w:after="0"/>
              <w:rPr>
                <w:sz w:val="2"/>
                <w:szCs w:val="2"/>
                <w:color w:val="auto"/>
              </w:rPr>
            </w:pPr>
          </w:p>
        </w:tc>
        <w:tc>
          <w:tcPr>
            <w:tcW w:w="520" w:type="dxa"/>
            <w:vAlign w:val="bottom"/>
            <w:tcBorders>
              <w:bottom w:val="single" w:sz="8" w:color="CFF0FC"/>
            </w:tcBorders>
          </w:tcPr>
          <w:p>
            <w:pPr>
              <w:spacing w:after="0"/>
              <w:rPr>
                <w:sz w:val="2"/>
                <w:szCs w:val="2"/>
                <w:color w:val="auto"/>
              </w:rPr>
            </w:pPr>
          </w:p>
        </w:tc>
        <w:tc>
          <w:tcPr>
            <w:tcW w:w="720" w:type="dxa"/>
            <w:vAlign w:val="bottom"/>
            <w:tcBorders>
              <w:bottom w:val="single" w:sz="8" w:color="CFF0FC"/>
            </w:tcBorders>
          </w:tcPr>
          <w:p>
            <w:pPr>
              <w:spacing w:after="0"/>
              <w:rPr>
                <w:sz w:val="2"/>
                <w:szCs w:val="2"/>
                <w:color w:val="auto"/>
              </w:rPr>
            </w:pPr>
          </w:p>
        </w:tc>
        <w:tc>
          <w:tcPr>
            <w:tcW w:w="800" w:type="dxa"/>
            <w:vAlign w:val="bottom"/>
            <w:tcBorders>
              <w:bottom w:val="single" w:sz="8" w:color="CFF0FC"/>
            </w:tcBorders>
          </w:tcPr>
          <w:p>
            <w:pPr>
              <w:spacing w:after="0"/>
              <w:rPr>
                <w:sz w:val="2"/>
                <w:szCs w:val="2"/>
                <w:color w:val="auto"/>
              </w:rPr>
            </w:pPr>
          </w:p>
        </w:tc>
        <w:tc>
          <w:tcPr>
            <w:tcW w:w="1480" w:type="dxa"/>
            <w:vAlign w:val="bottom"/>
            <w:tcBorders>
              <w:bottom w:val="single" w:sz="8" w:color="CFF0FC"/>
            </w:tcBorders>
          </w:tcPr>
          <w:p>
            <w:pPr>
              <w:spacing w:after="0"/>
              <w:rPr>
                <w:sz w:val="2"/>
                <w:szCs w:val="2"/>
                <w:color w:val="auto"/>
              </w:rPr>
            </w:pPr>
          </w:p>
        </w:tc>
        <w:tc>
          <w:tcPr>
            <w:tcW w:w="600" w:type="dxa"/>
            <w:vAlign w:val="bottom"/>
            <w:tcBorders>
              <w:bottom w:val="single" w:sz="8" w:color="CFF0FC"/>
            </w:tcBorders>
          </w:tcPr>
          <w:p>
            <w:pPr>
              <w:spacing w:after="0"/>
              <w:rPr>
                <w:sz w:val="2"/>
                <w:szCs w:val="2"/>
                <w:color w:val="auto"/>
              </w:rPr>
            </w:pPr>
          </w:p>
        </w:tc>
        <w:tc>
          <w:tcPr>
            <w:tcW w:w="76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1520" w:type="dxa"/>
            <w:vAlign w:val="bottom"/>
            <w:tcBorders>
              <w:bottom w:val="single" w:sz="8" w:color="CFF0FC"/>
            </w:tcBorders>
          </w:tcPr>
          <w:p>
            <w:pPr>
              <w:spacing w:after="0"/>
              <w:rPr>
                <w:sz w:val="2"/>
                <w:szCs w:val="2"/>
                <w:color w:val="auto"/>
              </w:rPr>
            </w:pPr>
          </w:p>
        </w:tc>
        <w:tc>
          <w:tcPr>
            <w:tcW w:w="10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FF0FC"/>
          </w:tcPr>
          <w:p>
            <w:pPr>
              <w:spacing w:after="0"/>
              <w:rPr>
                <w:sz w:val="15"/>
                <w:szCs w:val="15"/>
                <w:color w:val="auto"/>
              </w:rPr>
            </w:pPr>
          </w:p>
        </w:tc>
        <w:tc>
          <w:tcPr>
            <w:tcW w:w="2320" w:type="dxa"/>
            <w:vAlign w:val="bottom"/>
            <w:gridSpan w:val="9"/>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340" w:type="dxa"/>
            <w:vAlign w:val="bottom"/>
            <w:gridSpan w:val="12"/>
            <w:shd w:val="clear" w:color="auto" w:fill="CFF0FC"/>
          </w:tcPr>
          <w:p>
            <w:pPr>
              <w:spacing w:after="0"/>
              <w:rPr>
                <w:sz w:val="15"/>
                <w:szCs w:val="15"/>
                <w:color w:val="auto"/>
              </w:rPr>
            </w:pPr>
          </w:p>
        </w:tc>
        <w:tc>
          <w:tcPr>
            <w:tcW w:w="560" w:type="dxa"/>
            <w:vAlign w:val="bottom"/>
            <w:gridSpan w:val="4"/>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4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5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80" w:type="dxa"/>
            <w:vAlign w:val="bottom"/>
            <w:gridSpan w:val="14"/>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as of March 31, 2025 and December 31, 2024</w:t>
            </w:r>
          </w:p>
        </w:tc>
        <w:tc>
          <w:tcPr>
            <w:tcW w:w="3940" w:type="dxa"/>
            <w:vAlign w:val="bottom"/>
            <w:gridSpan w:val="5"/>
            <w:shd w:val="clear" w:color="auto" w:fill="CFF0FC"/>
          </w:tcPr>
          <w:p>
            <w:pPr>
              <w:spacing w:after="0"/>
              <w:rPr>
                <w:sz w:val="16"/>
                <w:szCs w:val="16"/>
                <w:color w:val="auto"/>
              </w:rPr>
            </w:pPr>
          </w:p>
        </w:tc>
        <w:tc>
          <w:tcPr>
            <w:tcW w:w="560" w:type="dxa"/>
            <w:vAlign w:val="bottom"/>
            <w:gridSpan w:val="4"/>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720" w:type="dxa"/>
            <w:vAlign w:val="bottom"/>
            <w:tcBorders>
              <w:top w:val="single" w:sz="8" w:color="0000FF"/>
            </w:tcBorders>
            <w:shd w:val="clear" w:color="auto" w:fill="CFF0FC"/>
          </w:tcPr>
          <w:p>
            <w:pPr>
              <w:spacing w:after="0" w:line="20" w:lineRule="exact"/>
              <w:rPr>
                <w:sz w:val="1"/>
                <w:szCs w:val="1"/>
                <w:color w:val="auto"/>
              </w:rPr>
            </w:pPr>
          </w:p>
        </w:tc>
        <w:tc>
          <w:tcPr>
            <w:tcW w:w="800" w:type="dxa"/>
            <w:vAlign w:val="bottom"/>
            <w:tcBorders>
              <w:top w:val="single" w:sz="8" w:color="0000FF"/>
            </w:tcBorders>
            <w:shd w:val="clear" w:color="auto" w:fill="CFF0FC"/>
          </w:tcPr>
          <w:p>
            <w:pPr>
              <w:spacing w:after="0" w:line="20" w:lineRule="exact"/>
              <w:rPr>
                <w:sz w:val="1"/>
                <w:szCs w:val="1"/>
                <w:color w:val="auto"/>
              </w:rPr>
            </w:pPr>
          </w:p>
        </w:tc>
        <w:tc>
          <w:tcPr>
            <w:tcW w:w="1480" w:type="dxa"/>
            <w:vAlign w:val="bottom"/>
            <w:tcBorders>
              <w:top w:val="single" w:sz="8" w:color="0000FF"/>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2025 and 2024</w:t>
            </w:r>
          </w:p>
        </w:tc>
        <w:tc>
          <w:tcPr>
            <w:tcW w:w="5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20" w:type="dxa"/>
            <w:vAlign w:val="bottom"/>
            <w:gridSpan w:val="19"/>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2025 and 2024</w:t>
            </w:r>
          </w:p>
        </w:tc>
        <w:tc>
          <w:tcPr>
            <w:tcW w:w="560" w:type="dxa"/>
            <w:vAlign w:val="bottom"/>
            <w:gridSpan w:val="4"/>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720" w:type="dxa"/>
            <w:vAlign w:val="bottom"/>
            <w:tcBorders>
              <w:top w:val="single" w:sz="8" w:color="0000FF"/>
            </w:tcBorders>
            <w:shd w:val="clear" w:color="auto" w:fill="CFF0FC"/>
          </w:tcPr>
          <w:p>
            <w:pPr>
              <w:spacing w:after="0" w:line="20" w:lineRule="exact"/>
              <w:rPr>
                <w:sz w:val="1"/>
                <w:szCs w:val="1"/>
                <w:color w:val="auto"/>
              </w:rPr>
            </w:pPr>
          </w:p>
        </w:tc>
        <w:tc>
          <w:tcPr>
            <w:tcW w:w="800" w:type="dxa"/>
            <w:vAlign w:val="bottom"/>
            <w:tcBorders>
              <w:top w:val="single" w:sz="8" w:color="0000FF"/>
            </w:tcBorders>
            <w:shd w:val="clear" w:color="auto" w:fill="CFF0FC"/>
          </w:tcPr>
          <w:p>
            <w:pPr>
              <w:spacing w:after="0" w:line="20" w:lineRule="exact"/>
              <w:rPr>
                <w:sz w:val="1"/>
                <w:szCs w:val="1"/>
                <w:color w:val="auto"/>
              </w:rPr>
            </w:pPr>
          </w:p>
        </w:tc>
        <w:tc>
          <w:tcPr>
            <w:tcW w:w="1480" w:type="dxa"/>
            <w:vAlign w:val="bottom"/>
            <w:tcBorders>
              <w:top w:val="single" w:sz="8" w:color="0000FF"/>
            </w:tcBorders>
            <w:shd w:val="clear" w:color="auto" w:fill="CFF0FC"/>
          </w:tcPr>
          <w:p>
            <w:pPr>
              <w:spacing w:after="0" w:line="20" w:lineRule="exact"/>
              <w:rPr>
                <w:sz w:val="1"/>
                <w:szCs w:val="1"/>
                <w:color w:val="auto"/>
              </w:rPr>
            </w:pPr>
          </w:p>
        </w:tc>
        <w:tc>
          <w:tcPr>
            <w:tcW w:w="600" w:type="dxa"/>
            <w:vAlign w:val="bottom"/>
            <w:tcBorders>
              <w:top w:val="single" w:sz="8" w:color="0000FF"/>
            </w:tcBorders>
            <w:shd w:val="clear" w:color="auto" w:fill="CFF0FC"/>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520" w:type="dxa"/>
            <w:vAlign w:val="bottom"/>
            <w:tcBorders>
              <w:top w:val="single" w:sz="8" w:color="0000FF"/>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w:t>
            </w:r>
          </w:p>
        </w:tc>
        <w:tc>
          <w:tcPr>
            <w:tcW w:w="1000" w:type="dxa"/>
            <w:vAlign w:val="bottom"/>
          </w:tcPr>
          <w:p>
            <w:pPr>
              <w:spacing w:after="0"/>
              <w:rPr>
                <w:sz w:val="16"/>
                <w:szCs w:val="16"/>
                <w:color w:val="auto"/>
              </w:rPr>
            </w:pPr>
          </w:p>
        </w:tc>
        <w:tc>
          <w:tcPr>
            <w:tcW w:w="5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00" w:type="dxa"/>
            <w:vAlign w:val="bottom"/>
            <w:tcBorders>
              <w:bottom w:val="single" w:sz="8" w:color="0000FF"/>
            </w:tcBorders>
            <w:gridSpan w:val="1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6220" w:type="dxa"/>
            <w:vAlign w:val="bottom"/>
            <w:tcBorders>
              <w:bottom w:val="single" w:sz="8" w:color="CFF0FC"/>
            </w:tcBorders>
            <w:gridSpan w:val="7"/>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0000FF"/>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Borders>
              <w:bottom w:val="single" w:sz="8" w:color="CFF0FC"/>
            </w:tcBorders>
            <w:shd w:val="clear" w:color="auto" w:fill="CFF0FC"/>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4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340" w:type="dxa"/>
            <w:vAlign w:val="bottom"/>
            <w:gridSpan w:val="20"/>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4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rPr>
              <w:t>57</w:t>
            </w:r>
          </w:p>
        </w:tc>
        <w:tc>
          <w:tcPr>
            <w:tcW w:w="20" w:type="dxa"/>
            <w:vAlign w:val="bottom"/>
            <w:shd w:val="clear" w:color="auto" w:fill="CFF0FC"/>
          </w:tcPr>
          <w:p>
            <w:pPr>
              <w:spacing w:after="0"/>
              <w:rPr>
                <w:sz w:val="18"/>
                <w:szCs w:val="18"/>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4920" w:type="dxa"/>
            <w:vAlign w:val="bottom"/>
            <w:tcBorders>
              <w:top w:val="single" w:sz="8" w:color="0000FF"/>
            </w:tcBorders>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5420" w:type="dxa"/>
            <w:vAlign w:val="bottom"/>
            <w:tcBorders>
              <w:top w:val="single" w:sz="8" w:color="CFF0FC"/>
            </w:tcBorders>
            <w:gridSpan w:val="6"/>
          </w:tcPr>
          <w:p>
            <w:pPr>
              <w:spacing w:after="0"/>
              <w:rPr>
                <w:sz w:val="16"/>
                <w:szCs w:val="16"/>
                <w:color w:val="auto"/>
              </w:rPr>
            </w:pPr>
          </w:p>
        </w:tc>
        <w:tc>
          <w:tcPr>
            <w:tcW w:w="360" w:type="dxa"/>
            <w:vAlign w:val="bottom"/>
            <w:tcBorders>
              <w:top w:val="single" w:sz="8" w:color="CFF0FC"/>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Borders>
              <w:top w:val="single" w:sz="8" w:color="CFF0FC"/>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660" w:type="dxa"/>
            <w:vAlign w:val="bottom"/>
            <w:gridSpan w:val="21"/>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54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shd w:val="clear" w:color="auto" w:fill="CFF0FC"/>
          </w:tcPr>
          <w:p>
            <w:pPr>
              <w:spacing w:after="0"/>
              <w:rPr>
                <w:sz w:val="16"/>
                <w:szCs w:val="16"/>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4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5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0000FF"/>
            </w:tcBorders>
            <w:gridSpan w:val="4"/>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Item 1A. Risk Factors</w:t>
            </w:r>
          </w:p>
        </w:tc>
        <w:tc>
          <w:tcPr>
            <w:tcW w:w="8740" w:type="dxa"/>
            <w:vAlign w:val="bottom"/>
            <w:tcBorders>
              <w:bottom w:val="single" w:sz="8" w:color="CFF0FC"/>
            </w:tcBorders>
            <w:gridSpan w:val="16"/>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0000FF"/>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Borders>
              <w:bottom w:val="single" w:sz="8" w:color="CFF0FC"/>
            </w:tcBorders>
            <w:shd w:val="clear" w:color="auto" w:fill="CFF0FC"/>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4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w:t>
            </w:r>
          </w:p>
        </w:tc>
        <w:tc>
          <w:tcPr>
            <w:tcW w:w="5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340" w:type="dxa"/>
            <w:vAlign w:val="bottom"/>
            <w:gridSpan w:val="20"/>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4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shd w:val="clear" w:color="auto" w:fill="CFF0FC"/>
          </w:tcPr>
          <w:p>
            <w:pPr>
              <w:spacing w:after="0"/>
              <w:rPr>
                <w:sz w:val="18"/>
                <w:szCs w:val="18"/>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2880" w:type="dxa"/>
            <w:vAlign w:val="bottom"/>
            <w:tcBorders>
              <w:top w:val="single" w:sz="8" w:color="0000FF"/>
            </w:tcBorders>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7460" w:type="dxa"/>
            <w:vAlign w:val="bottom"/>
            <w:tcBorders>
              <w:top w:val="single" w:sz="8" w:color="CFF0FC"/>
            </w:tcBorders>
            <w:gridSpan w:val="9"/>
          </w:tcPr>
          <w:p>
            <w:pPr>
              <w:spacing w:after="0"/>
              <w:rPr>
                <w:sz w:val="16"/>
                <w:szCs w:val="16"/>
                <w:color w:val="auto"/>
              </w:rPr>
            </w:pPr>
          </w:p>
        </w:tc>
        <w:tc>
          <w:tcPr>
            <w:tcW w:w="360" w:type="dxa"/>
            <w:vAlign w:val="bottom"/>
            <w:tcBorders>
              <w:top w:val="single" w:sz="8" w:color="CFF0FC"/>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Borders>
              <w:top w:val="single" w:sz="8" w:color="CFF0FC"/>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0000FF"/>
            </w:tcBorders>
            <w:gridSpan w:val="6"/>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Item 5. Other Information</w:t>
            </w:r>
          </w:p>
        </w:tc>
        <w:tc>
          <w:tcPr>
            <w:tcW w:w="8460" w:type="dxa"/>
            <w:vAlign w:val="bottom"/>
            <w:tcBorders>
              <w:bottom w:val="single" w:sz="8" w:color="CFF0FC"/>
            </w:tcBorders>
            <w:gridSpan w:val="14"/>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0000FF"/>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Borders>
              <w:bottom w:val="single" w:sz="8" w:color="CFF0FC"/>
            </w:tcBorders>
            <w:shd w:val="clear" w:color="auto" w:fill="CFF0FC"/>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4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6. Exhibit Index</w:t>
            </w:r>
          </w:p>
        </w:tc>
        <w:tc>
          <w:tcPr>
            <w:tcW w:w="5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10660" w:type="dxa"/>
            <w:vAlign w:val="bottom"/>
            <w:gridSpan w:val="21"/>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54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rPr>
              <w:t>62</w:t>
            </w:r>
          </w:p>
        </w:tc>
        <w:tc>
          <w:tcPr>
            <w:tcW w:w="20" w:type="dxa"/>
            <w:vAlign w:val="bottom"/>
            <w:shd w:val="clear" w:color="auto" w:fill="CFF0FC"/>
          </w:tcPr>
          <w:p>
            <w:pPr>
              <w:spacing w:after="0"/>
              <w:rPr>
                <w:sz w:val="18"/>
                <w:szCs w:val="18"/>
                <w:color w:val="auto"/>
              </w:rPr>
            </w:pPr>
          </w:p>
        </w:tc>
      </w:tr>
      <w:tr>
        <w:trPr>
          <w:trHeight w:val="858"/>
        </w:trPr>
        <w:tc>
          <w:tcPr>
            <w:tcW w:w="20" w:type="dxa"/>
            <w:vAlign w:val="bottom"/>
            <w:tcBorders>
              <w:top w:val="single" w:sz="8" w:color="CFF0FC"/>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10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540" w:type="dxa"/>
            <w:vAlign w:val="bottom"/>
            <w:tcBorders>
              <w:top w:val="single" w:sz="8" w:color="CFF0FC"/>
              <w:bottom w:val="single" w:sz="8" w:color="9A9A9A"/>
            </w:tcBorders>
          </w:tcPr>
          <w:p>
            <w:pPr>
              <w:spacing w:after="0"/>
              <w:rPr>
                <w:sz w:val="24"/>
                <w:szCs w:val="24"/>
                <w:color w:val="auto"/>
              </w:rPr>
            </w:pPr>
          </w:p>
        </w:tc>
        <w:tc>
          <w:tcPr>
            <w:tcW w:w="520" w:type="dxa"/>
            <w:vAlign w:val="bottom"/>
            <w:tcBorders>
              <w:top w:val="single" w:sz="8" w:color="CFF0FC"/>
              <w:bottom w:val="single" w:sz="8" w:color="9A9A9A"/>
            </w:tcBorders>
          </w:tcPr>
          <w:p>
            <w:pPr>
              <w:spacing w:after="0"/>
              <w:rPr>
                <w:sz w:val="24"/>
                <w:szCs w:val="24"/>
                <w:color w:val="auto"/>
              </w:rPr>
            </w:pPr>
          </w:p>
        </w:tc>
        <w:tc>
          <w:tcPr>
            <w:tcW w:w="720" w:type="dxa"/>
            <w:vAlign w:val="bottom"/>
            <w:tcBorders>
              <w:top w:val="single" w:sz="8" w:color="CFF0FC"/>
              <w:bottom w:val="single" w:sz="8" w:color="9A9A9A"/>
            </w:tcBorders>
          </w:tcPr>
          <w:p>
            <w:pPr>
              <w:spacing w:after="0"/>
              <w:rPr>
                <w:sz w:val="24"/>
                <w:szCs w:val="24"/>
                <w:color w:val="auto"/>
              </w:rPr>
            </w:pPr>
          </w:p>
        </w:tc>
        <w:tc>
          <w:tcPr>
            <w:tcW w:w="800" w:type="dxa"/>
            <w:vAlign w:val="bottom"/>
            <w:tcBorders>
              <w:top w:val="single" w:sz="8" w:color="CFF0FC"/>
              <w:bottom w:val="single" w:sz="8" w:color="9A9A9A"/>
            </w:tcBorders>
          </w:tcPr>
          <w:p>
            <w:pPr>
              <w:spacing w:after="0"/>
              <w:rPr>
                <w:sz w:val="24"/>
                <w:szCs w:val="24"/>
                <w:color w:val="auto"/>
              </w:rPr>
            </w:pPr>
          </w:p>
        </w:tc>
        <w:tc>
          <w:tcPr>
            <w:tcW w:w="1480" w:type="dxa"/>
            <w:vAlign w:val="bottom"/>
            <w:tcBorders>
              <w:top w:val="single" w:sz="8" w:color="CFF0FC"/>
              <w:bottom w:val="single" w:sz="8" w:color="9A9A9A"/>
            </w:tcBorders>
          </w:tcPr>
          <w:p>
            <w:pPr>
              <w:spacing w:after="0"/>
              <w:rPr>
                <w:sz w:val="24"/>
                <w:szCs w:val="24"/>
                <w:color w:val="auto"/>
              </w:rPr>
            </w:pPr>
          </w:p>
        </w:tc>
        <w:tc>
          <w:tcPr>
            <w:tcW w:w="600" w:type="dxa"/>
            <w:vAlign w:val="bottom"/>
            <w:tcBorders>
              <w:top w:val="single" w:sz="8" w:color="CFF0FC"/>
              <w:bottom w:val="single" w:sz="8" w:color="9A9A9A"/>
            </w:tcBorders>
          </w:tcPr>
          <w:p>
            <w:pPr>
              <w:spacing w:after="0"/>
              <w:rPr>
                <w:sz w:val="24"/>
                <w:szCs w:val="24"/>
                <w:color w:val="auto"/>
              </w:rPr>
            </w:pPr>
          </w:p>
        </w:tc>
        <w:tc>
          <w:tcPr>
            <w:tcW w:w="76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1520" w:type="dxa"/>
            <w:vAlign w:val="bottom"/>
            <w:tcBorders>
              <w:top w:val="single" w:sz="8" w:color="CFF0FC"/>
              <w:bottom w:val="single" w:sz="8" w:color="9A9A9A"/>
            </w:tcBorders>
          </w:tcPr>
          <w:p>
            <w:pPr>
              <w:spacing w:after="0"/>
              <w:rPr>
                <w:sz w:val="24"/>
                <w:szCs w:val="24"/>
                <w:color w:val="auto"/>
              </w:rPr>
            </w:pPr>
          </w:p>
        </w:tc>
        <w:tc>
          <w:tcPr>
            <w:tcW w:w="1000" w:type="dxa"/>
            <w:vAlign w:val="bottom"/>
            <w:tcBorders>
              <w:top w:val="single" w:sz="8" w:color="CFF0FC"/>
              <w:bottom w:val="single" w:sz="8" w:color="9A9A9A"/>
            </w:tcBorders>
          </w:tcPr>
          <w:p>
            <w:pPr>
              <w:spacing w:after="0"/>
              <w:rPr>
                <w:sz w:val="24"/>
                <w:szCs w:val="24"/>
                <w:color w:val="auto"/>
              </w:rPr>
            </w:pPr>
          </w:p>
        </w:tc>
        <w:tc>
          <w:tcPr>
            <w:tcW w:w="36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1D1C1D"/>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 Unaudited Financial Statements</w:t>
      </w:r>
    </w:p>
    <w:p>
      <w:pPr>
        <w:spacing w:after="0" w:line="36" w:lineRule="exact"/>
        <w:rPr>
          <w:sz w:val="20"/>
          <w:szCs w:val="20"/>
          <w:color w:val="auto"/>
        </w:rPr>
      </w:pPr>
    </w:p>
    <w:p>
      <w:pPr>
        <w:jc w:val="center"/>
        <w:spacing w:after="0" w:line="315" w:lineRule="auto"/>
        <w:rPr>
          <w:sz w:val="20"/>
          <w:szCs w:val="20"/>
          <w:color w:val="auto"/>
        </w:rPr>
      </w:pPr>
      <w:r>
        <w:rPr>
          <w:rFonts w:ascii="Times New Roman" w:cs="Times New Roman" w:eastAsia="Times New Roman" w:hAnsi="Times New Roman"/>
          <w:sz w:val="18"/>
          <w:szCs w:val="18"/>
          <w:b w:val="1"/>
          <w:bCs w:val="1"/>
          <w:color w:val="auto"/>
        </w:rPr>
        <w:t>CALIBERCOS INC. AND SUBSIDIARIES CONDENSED CONSOLIDATED BALANCE SHEETS (UNAUDITED) (AMOUNTS IN THOUSANDS, EXCEPT FOR SHARE AND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820" w:type="dxa"/>
            <w:vAlign w:val="bottom"/>
            <w:tcBorders>
              <w:top w:val="single" w:sz="8" w:color="CCEEFF"/>
            </w:tcBorders>
            <w:shd w:val="clear" w:color="auto" w:fill="CCEEFF"/>
          </w:tcPr>
          <w:p>
            <w:pPr>
              <w:ind w:left="3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21,572</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 related parties, allowance of $236 and zero, respectively</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related parties, allowance of $3,985</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15,643</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r>
      <w:tr>
        <w:trPr>
          <w:trHeight w:val="229"/>
        </w:trPr>
        <w:tc>
          <w:tcPr>
            <w:tcW w:w="682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Assets of consolidated funds</w:t>
            </w:r>
          </w:p>
        </w:tc>
        <w:tc>
          <w:tcPr>
            <w:tcW w:w="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45,090</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related parties, allowance of $28</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3"/>
        </w:trPr>
        <w:tc>
          <w:tcPr>
            <w:tcW w:w="6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103,643</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105,535</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4"/>
        </w:trPr>
        <w:tc>
          <w:tcPr>
            <w:tcW w:w="6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682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50,450</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682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Liabilities of consolidated funds</w:t>
            </w:r>
          </w:p>
        </w:tc>
        <w:tc>
          <w:tcPr>
            <w:tcW w:w="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net</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29,172</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3"/>
        </w:trPr>
        <w:tc>
          <w:tcPr>
            <w:tcW w:w="6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96,285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94,282</w:t>
            </w:r>
          </w:p>
        </w:tc>
      </w:tr>
      <w:tr>
        <w:trPr>
          <w:trHeight w:val="236"/>
        </w:trPr>
        <w:tc>
          <w:tcPr>
            <w:tcW w:w="6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280" w:type="dxa"/>
            <w:vAlign w:val="bottom"/>
            <w:tcBorders>
              <w:top w:val="single" w:sz="8" w:color="0000FF"/>
            </w:tcBorders>
          </w:tcPr>
          <w:p>
            <w:pPr>
              <w:spacing w:after="0"/>
              <w:rPr>
                <w:sz w:val="24"/>
                <w:szCs w:val="24"/>
                <w:color w:val="auto"/>
              </w:rPr>
            </w:pPr>
          </w:p>
        </w:tc>
        <w:tc>
          <w:tcPr>
            <w:tcW w:w="78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CALIBERCOS INC. AND SUBSIDIARIES</w:t>
            </w: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7820" w:type="dxa"/>
            <w:vAlign w:val="bottom"/>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78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FOR SHARE AND PER SHARE DATA)</w:t>
            </w: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4"/>
                <w:szCs w:val="24"/>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4"/>
        </w:trPr>
        <w:tc>
          <w:tcPr>
            <w:tcW w:w="6820" w:type="dxa"/>
            <w:vAlign w:val="bottom"/>
            <w:tcBorders>
              <w:top w:val="single" w:sz="8" w:color="CCEEFF"/>
            </w:tcBorders>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Series A non-cumulative convertible preferred stock, $0.001 par value; 22,500,000 shares</w:t>
            </w:r>
          </w:p>
        </w:tc>
        <w:tc>
          <w:tcPr>
            <w:tcW w:w="280" w:type="dxa"/>
            <w:vAlign w:val="bottom"/>
            <w:tcBorders>
              <w:top w:val="single" w:sz="8" w:color="auto"/>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2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authorized, and 5,875 and 5,000 shares issued and outstanding as of March 31, 2025 and</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80" w:type="dxa"/>
            <w:vAlign w:val="bottom"/>
            <w:vMerge w:val="continue"/>
            <w:shd w:val="clear" w:color="auto" w:fill="CCEEFF"/>
          </w:tcPr>
          <w:p>
            <w:pPr>
              <w:spacing w:after="0"/>
              <w:rPr>
                <w:sz w:val="19"/>
                <w:szCs w:val="19"/>
                <w:color w:val="auto"/>
              </w:rPr>
            </w:pPr>
          </w:p>
        </w:tc>
        <w:tc>
          <w:tcPr>
            <w:tcW w:w="200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Class A, $0.001 par value; 100,000,000 shares authorized, 795,285 and</w:t>
            </w: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759,370 shares issued and outstanding as of March 31, 2025 and December 31, 2024,</w:t>
            </w:r>
          </w:p>
        </w:tc>
        <w:tc>
          <w:tcPr>
            <w:tcW w:w="28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Class B, $0.001 par value; 15,000,000 shares authorized, 370,822 shares</w:t>
            </w:r>
          </w:p>
        </w:tc>
        <w:tc>
          <w:tcPr>
            <w:tcW w:w="2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as March 31, 2025 and December 31, 2024</w:t>
            </w:r>
          </w:p>
        </w:tc>
        <w:tc>
          <w:tcPr>
            <w:tcW w:w="2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44,017</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(56,607)</w:t>
            </w:r>
          </w:p>
        </w:tc>
        <w:tc>
          <w:tcPr>
            <w:tcW w:w="0" w:type="dxa"/>
            <w:vAlign w:val="bottom"/>
          </w:tcPr>
          <w:p>
            <w:pPr>
              <w:spacing w:after="0"/>
              <w:rPr>
                <w:sz w:val="1"/>
                <w:szCs w:val="1"/>
                <w:color w:val="auto"/>
              </w:rPr>
            </w:pPr>
          </w:p>
        </w:tc>
      </w:tr>
      <w:tr>
        <w:trPr>
          <w:trHeight w:val="22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deficit attributable to CaliberCos Inc.</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(12,589)</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23,842</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22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6120" w:type="dxa"/>
            <w:vAlign w:val="bottom"/>
            <w:gridSpan w:val="2"/>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CALIBERCOS INC. AND SUBSIDIARIES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100" w:type="dxa"/>
            <w:vAlign w:val="bottom"/>
            <w:gridSpan w:val="5"/>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(UNAUDITED)</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0" w:type="dxa"/>
            <w:vAlign w:val="bottom"/>
            <w:gridSpan w:val="4"/>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PER SHARE DATA)</w:t>
            </w:r>
          </w:p>
        </w:tc>
        <w:tc>
          <w:tcPr>
            <w:tcW w:w="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allocations</w:t>
            </w: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Consolidated funds – hospitality revenues</w:t>
            </w: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funds – other revenues</w:t>
            </w:r>
          </w:p>
        </w:tc>
        <w:tc>
          <w:tcPr>
            <w:tcW w:w="8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22,951</w:t>
            </w: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costs</w:t>
            </w: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63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8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8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8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8"/>
                <w:szCs w:val="18"/>
                <w:color w:val="auto"/>
              </w:rPr>
            </w:pPr>
          </w:p>
        </w:tc>
        <w:tc>
          <w:tcPr>
            <w:tcW w:w="636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820" w:type="dxa"/>
            <w:vAlign w:val="bottom"/>
            <w:tcBorders>
              <w:bottom w:val="single" w:sz="8" w:color="auto"/>
            </w:tcBorders>
            <w:shd w:val="clear" w:color="auto" w:fill="CCEEFF"/>
          </w:tcPr>
          <w:p>
            <w:pPr>
              <w:jc w:val="right"/>
              <w:ind w:right="6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(3.85)</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3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20" w:type="dxa"/>
            <w:vAlign w:val="bottom"/>
          </w:tcPr>
          <w:p>
            <w:pPr>
              <w:spacing w:after="0"/>
              <w:rPr>
                <w:sz w:val="15"/>
                <w:szCs w:val="15"/>
                <w:color w:val="auto"/>
              </w:rPr>
            </w:pPr>
          </w:p>
        </w:tc>
        <w:tc>
          <w:tcPr>
            <w:tcW w:w="636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1"/>
                <w:szCs w:val="21"/>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8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gridSpan w:val="9"/>
          </w:tcPr>
          <w:p>
            <w:pPr>
              <w:ind w:left="4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780" w:type="dxa"/>
            <w:vAlign w:val="bottom"/>
            <w:tcBorders>
              <w:top w:val="single" w:sz="8" w:color="auto"/>
            </w:tcBorders>
            <w:gridSpan w:val="7"/>
            <w:vMerge w:val="restart"/>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80" w:type="dxa"/>
            <w:vAlign w:val="bottom"/>
            <w:tcBorders>
              <w:top w:val="single" w:sz="8" w:color="auto"/>
            </w:tcBorders>
            <w:vMerge w:val="restart"/>
          </w:tcPr>
          <w:p>
            <w:pPr>
              <w:spacing w:after="0"/>
              <w:rPr>
                <w:sz w:val="7"/>
                <w:szCs w:val="7"/>
                <w:color w:val="auto"/>
              </w:rPr>
            </w:pPr>
          </w:p>
        </w:tc>
        <w:tc>
          <w:tcPr>
            <w:tcW w:w="1780" w:type="dxa"/>
            <w:vAlign w:val="bottom"/>
            <w:tcBorders>
              <w:top w:val="single" w:sz="8" w:color="auto"/>
            </w:tcBorders>
            <w:gridSpan w:val="7"/>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7"/>
                <w:szCs w:val="7"/>
                <w:color w:val="auto"/>
              </w:rPr>
            </w:pPr>
          </w:p>
        </w:tc>
        <w:tc>
          <w:tcPr>
            <w:tcW w:w="8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780" w:type="dxa"/>
            <w:vAlign w:val="bottom"/>
            <w:tcBorders>
              <w:bottom w:val="single" w:sz="8" w:color="auto"/>
            </w:tcBorders>
            <w:gridSpan w:val="7"/>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780" w:type="dxa"/>
            <w:vAlign w:val="bottom"/>
            <w:tcBorders>
              <w:bottom w:val="single" w:sz="8" w:color="auto"/>
            </w:tcBorders>
            <w:gridSpan w:val="7"/>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3"/>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Paid in Capital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19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as of December 31, 2024</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759</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371</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44,017</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(56,607)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23,842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11,253</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Issuance of preferred stock</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350</w:t>
            </w:r>
          </w:p>
        </w:tc>
        <w:tc>
          <w:tcPr>
            <w:tcW w:w="0" w:type="dxa"/>
            <w:vAlign w:val="bottom"/>
          </w:tcPr>
          <w:p>
            <w:pPr>
              <w:spacing w:after="0"/>
              <w:rPr>
                <w:sz w:val="1"/>
                <w:szCs w:val="1"/>
                <w:color w:val="auto"/>
              </w:rPr>
            </w:pPr>
          </w:p>
        </w:tc>
      </w:tr>
      <w:tr>
        <w:trPr>
          <w:trHeight w:val="181"/>
        </w:trPr>
        <w:tc>
          <w:tcPr>
            <w:tcW w:w="8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Issuance of common stock</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177</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18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3"/>
                <w:szCs w:val="13"/>
                <w:color w:val="auto"/>
              </w:rPr>
              <w:t>Equity based compensation</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expense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661</w:t>
            </w:r>
          </w:p>
        </w:tc>
        <w:tc>
          <w:tcPr>
            <w:tcW w:w="0" w:type="dxa"/>
            <w:vAlign w:val="bottom"/>
          </w:tcPr>
          <w:p>
            <w:pPr>
              <w:spacing w:after="0"/>
              <w:rPr>
                <w:sz w:val="1"/>
                <w:szCs w:val="1"/>
                <w:color w:val="auto"/>
              </w:rPr>
            </w:pPr>
          </w:p>
        </w:tc>
      </w:tr>
      <w:tr>
        <w:trPr>
          <w:trHeight w:val="138"/>
        </w:trPr>
        <w:tc>
          <w:tcPr>
            <w:tcW w:w="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w w:val="98"/>
              </w:rPr>
              <w:t>Contributions from noncontrolling</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interest holders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18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interest holders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(740)</w:t>
            </w:r>
          </w:p>
        </w:tc>
        <w:tc>
          <w:tcPr>
            <w:tcW w:w="0" w:type="dxa"/>
            <w:vAlign w:val="bottom"/>
          </w:tcPr>
          <w:p>
            <w:pPr>
              <w:spacing w:after="0"/>
              <w:rPr>
                <w:sz w:val="1"/>
                <w:szCs w:val="1"/>
                <w:color w:val="auto"/>
              </w:rPr>
            </w:pPr>
          </w:p>
        </w:tc>
      </w:tr>
      <w:tr>
        <w:trPr>
          <w:trHeight w:val="183"/>
        </w:trPr>
        <w:tc>
          <w:tcPr>
            <w:tcW w:w="8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(4,407)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(4,554)</w:t>
            </w:r>
          </w:p>
        </w:tc>
        <w:tc>
          <w:tcPr>
            <w:tcW w:w="0" w:type="dxa"/>
            <w:vAlign w:val="bottom"/>
          </w:tcPr>
          <w:p>
            <w:pPr>
              <w:spacing w:after="0"/>
              <w:rPr>
                <w:sz w:val="1"/>
                <w:szCs w:val="1"/>
                <w:color w:val="auto"/>
              </w:rPr>
            </w:pPr>
          </w:p>
        </w:tc>
      </w:tr>
      <w:tr>
        <w:trPr>
          <w:trHeight w:val="169"/>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Balances as of March 31, 2025</w:t>
            </w: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795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45,205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(61,014)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23,166</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7,358</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9"/>
          </w:tcPr>
          <w:p>
            <w:pPr>
              <w:ind w:left="3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700" w:type="dxa"/>
            <w:vAlign w:val="bottom"/>
            <w:tcBorders>
              <w:top w:val="single" w:sz="8" w:color="auto"/>
            </w:tcBorders>
            <w:gridSpan w:val="6"/>
            <w:vMerge w:val="restart"/>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80" w:type="dxa"/>
            <w:vAlign w:val="bottom"/>
            <w:tcBorders>
              <w:top w:val="single" w:sz="8" w:color="auto"/>
            </w:tcBorders>
            <w:vMerge w:val="restart"/>
          </w:tcPr>
          <w:p>
            <w:pPr>
              <w:spacing w:after="0"/>
              <w:rPr>
                <w:sz w:val="7"/>
                <w:szCs w:val="7"/>
                <w:color w:val="auto"/>
              </w:rPr>
            </w:pPr>
          </w:p>
        </w:tc>
        <w:tc>
          <w:tcPr>
            <w:tcW w:w="80" w:type="dxa"/>
            <w:vAlign w:val="bottom"/>
            <w:tcBorders>
              <w:top w:val="single" w:sz="8" w:color="auto"/>
            </w:tcBorders>
            <w:vMerge w:val="restart"/>
          </w:tcPr>
          <w:p>
            <w:pPr>
              <w:spacing w:after="0"/>
              <w:rPr>
                <w:sz w:val="7"/>
                <w:szCs w:val="7"/>
                <w:color w:val="auto"/>
              </w:rPr>
            </w:pPr>
          </w:p>
        </w:tc>
        <w:tc>
          <w:tcPr>
            <w:tcW w:w="1020" w:type="dxa"/>
            <w:vAlign w:val="bottom"/>
            <w:tcBorders>
              <w:top w:val="single" w:sz="8" w:color="auto"/>
            </w:tcBorders>
            <w:gridSpan w:val="5"/>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7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6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gridSpan w:val="6"/>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tcBorders>
              <w:bottom w:val="single" w:sz="8" w:color="auto"/>
            </w:tcBorders>
            <w:vMerge w:val="continue"/>
          </w:tcPr>
          <w:p>
            <w:pPr>
              <w:spacing w:after="0"/>
              <w:rPr>
                <w:sz w:val="8"/>
                <w:szCs w:val="8"/>
                <w:color w:val="auto"/>
              </w:rPr>
            </w:pPr>
          </w:p>
        </w:tc>
        <w:tc>
          <w:tcPr>
            <w:tcW w:w="1020" w:type="dxa"/>
            <w:vAlign w:val="bottom"/>
            <w:tcBorders>
              <w:bottom w:val="single" w:sz="8" w:color="auto"/>
            </w:tcBorders>
            <w:gridSpan w:val="5"/>
            <w:vMerge w:val="continue"/>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960" w:type="dxa"/>
            <w:vAlign w:val="bottom"/>
            <w:gridSpan w:val="4"/>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0" w:type="dxa"/>
            <w:vAlign w:val="bottom"/>
          </w:tcPr>
          <w:p>
            <w:pPr>
              <w:spacing w:after="0"/>
              <w:rPr>
                <w:sz w:val="16"/>
                <w:szCs w:val="16"/>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Paid in Capital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800" w:type="dxa"/>
            <w:vAlign w:val="bottom"/>
            <w:tcBorders>
              <w:top w:val="single" w:sz="8" w:color="CCEEFF"/>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Balances as of December 31,</w:t>
            </w:r>
          </w:p>
        </w:tc>
        <w:tc>
          <w:tcPr>
            <w:tcW w:w="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6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6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39,452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(36,830)</w:t>
            </w: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Issuance of common stock</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1860" w:type="dxa"/>
            <w:vAlign w:val="bottom"/>
            <w:gridSpan w:val="2"/>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Equity based compensation</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186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Contributions from</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1860" w:type="dxa"/>
            <w:vAlign w:val="bottom"/>
            <w:gridSpan w:val="2"/>
          </w:tcPr>
          <w:p>
            <w:pPr>
              <w:ind w:left="300"/>
              <w:spacing w:after="0" w:line="126" w:lineRule="exact"/>
              <w:rPr>
                <w:sz w:val="20"/>
                <w:szCs w:val="20"/>
                <w:color w:val="auto"/>
              </w:rPr>
            </w:pPr>
            <w:r>
              <w:rPr>
                <w:rFonts w:ascii="Times New Roman" w:cs="Times New Roman" w:eastAsia="Times New Roman" w:hAnsi="Times New Roman"/>
                <w:sz w:val="13"/>
                <w:szCs w:val="13"/>
                <w:color w:val="auto"/>
              </w:rPr>
              <w:t>noncontrolling interest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6,388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6,388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8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holders</w:t>
            </w: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1860" w:type="dxa"/>
            <w:vAlign w:val="bottom"/>
            <w:gridSpan w:val="2"/>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Redemptions of noncontrolling</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186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8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Deconsolidation of VIEs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Net (loss) income</w:t>
            </w: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(3,805)</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as of March 31, 2024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39,889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(40,635)</w:t>
            </w:r>
          </w:p>
        </w:tc>
        <w:tc>
          <w:tcPr>
            <w:tcW w:w="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87,235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86,490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349"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37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23"/>
        </w:trPr>
        <w:tc>
          <w:tcPr>
            <w:tcW w:w="646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r>
      <w:tr>
        <w:trPr>
          <w:trHeight w:val="20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4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r>
      <w:tr>
        <w:trPr>
          <w:trHeight w:val="230"/>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from operating activities:</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lease expense</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investments in unconsolidated entities</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notes receivable - related parties</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above-market/below market leases and straight-line rent, net</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deferred financing costs and notes payable discount</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right-of-use assets and other assets</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30"/>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to related parties</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liabilities and other liabilities</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184"/>
        </w:trPr>
        <w:tc>
          <w:tcPr>
            <w:tcW w:w="64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Adjustments to reconcile net loss to net cash from operating activities of</w:t>
            </w:r>
          </w:p>
        </w:tc>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funds:</w:t>
            </w:r>
          </w:p>
        </w:tc>
        <w:tc>
          <w:tcPr>
            <w:tcW w:w="1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r>
      <w:tr>
        <w:trPr>
          <w:trHeight w:val="230"/>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14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the disposition of real estate</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derivative instruments</w:t>
            </w:r>
          </w:p>
        </w:tc>
        <w:tc>
          <w:tcPr>
            <w:tcW w:w="1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advanced key money</w:t>
            </w:r>
          </w:p>
        </w:tc>
        <w:tc>
          <w:tcPr>
            <w:tcW w:w="14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above-market/below market leases and straight-line rent, net</w:t>
            </w:r>
          </w:p>
        </w:tc>
        <w:tc>
          <w:tcPr>
            <w:tcW w:w="1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of consolidated funds:</w:t>
            </w:r>
          </w:p>
        </w:tc>
        <w:tc>
          <w:tcPr>
            <w:tcW w:w="1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29"/>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right-of use assets and other assets</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30"/>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30"/>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Due to related parties</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6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Lease liabilities and other liabilities</w:t>
            </w: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6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the Company's operating activities</w:t>
            </w:r>
          </w:p>
        </w:tc>
        <w:tc>
          <w:tcPr>
            <w:tcW w:w="1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4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349"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366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60" w:type="dxa"/>
            <w:vAlign w:val="bottom"/>
            <w:tcBorders>
              <w:bottom w:val="single" w:sz="8" w:color="auto"/>
            </w:tcBorders>
          </w:tcPr>
          <w:p>
            <w:pPr>
              <w:spacing w:after="0"/>
              <w:rPr>
                <w:sz w:val="20"/>
                <w:szCs w:val="20"/>
                <w:color w:val="auto"/>
              </w:rPr>
            </w:pPr>
          </w:p>
        </w:tc>
      </w:tr>
      <w:tr>
        <w:trPr>
          <w:trHeight w:val="223"/>
        </w:trPr>
        <w:tc>
          <w:tcPr>
            <w:tcW w:w="646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r>
      <w:tr>
        <w:trPr>
          <w:trHeight w:val="20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in real estate assets</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Return of capital from unconsolidated entities</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Funding of notes receivable - related parties</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received on notes receivable - related parties</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 of consolidated funds</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Deconsolidation of VIEs</w:t>
            </w:r>
          </w:p>
        </w:tc>
        <w:tc>
          <w:tcPr>
            <w:tcW w:w="14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(19,604)</w:t>
            </w:r>
          </w:p>
        </w:tc>
      </w:tr>
      <w:tr>
        <w:trPr>
          <w:trHeight w:val="229"/>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real estate assets</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9"/>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the sale of real estate assets</w:t>
            </w:r>
          </w:p>
        </w:tc>
        <w:tc>
          <w:tcPr>
            <w:tcW w:w="14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Funding of notes receivable - related parties</w:t>
            </w:r>
          </w:p>
        </w:tc>
        <w:tc>
          <w:tcPr>
            <w:tcW w:w="1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29"/>
        </w:trPr>
        <w:tc>
          <w:tcPr>
            <w:tcW w:w="6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Payment received on notes receivable - related parties</w:t>
            </w: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r>
      <w:tr>
        <w:trPr>
          <w:trHeight w:val="223"/>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the Company's investing activities</w:t>
            </w:r>
          </w:p>
        </w:tc>
        <w:tc>
          <w:tcPr>
            <w:tcW w:w="1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r>
      <w:tr>
        <w:trPr>
          <w:trHeight w:val="20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9"/>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30"/>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the issuance of common stock, net of issuance costs</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 of consolidated funds</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30"/>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r>
      <w:tr>
        <w:trPr>
          <w:trHeight w:val="23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notes payable - related parties</w:t>
            </w:r>
          </w:p>
        </w:tc>
        <w:tc>
          <w:tcPr>
            <w:tcW w:w="1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30"/>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Contributions from noncontrolling interest holders</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r>
      <w:tr>
        <w:trPr>
          <w:trHeight w:val="229"/>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Redemptions of noncontrolling interests</w:t>
            </w:r>
          </w:p>
        </w:tc>
        <w:tc>
          <w:tcPr>
            <w:tcW w:w="1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30"/>
        </w:trPr>
        <w:tc>
          <w:tcPr>
            <w:tcW w:w="6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Distributions to noncontrolling interest holders</w:t>
            </w: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23"/>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the Company's financing activities</w:t>
            </w:r>
          </w:p>
        </w:tc>
        <w:tc>
          <w:tcPr>
            <w:tcW w:w="1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4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Restricted Cash</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(12,306)</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Beginning of Period</w:t>
            </w:r>
          </w:p>
        </w:tc>
        <w:tc>
          <w:tcPr>
            <w:tcW w:w="1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4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End of Period</w:t>
            </w: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40" w:type="dxa"/>
            <w:vAlign w:val="bottom"/>
          </w:tcPr>
          <w:p>
            <w:pPr>
              <w:spacing w:after="0"/>
              <w:rPr>
                <w:sz w:val="19"/>
                <w:szCs w:val="19"/>
                <w:color w:val="auto"/>
              </w:rPr>
            </w:pPr>
          </w:p>
        </w:tc>
        <w:tc>
          <w:tcPr>
            <w:tcW w:w="138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w:t>
            </w:r>
          </w:p>
        </w:tc>
        <w:tc>
          <w:tcPr>
            <w:tcW w:w="1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29"/>
        </w:trPr>
        <w:tc>
          <w:tcPr>
            <w:tcW w:w="6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Restricted cash at beginning of period</w:t>
            </w: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13,835</w:t>
            </w:r>
          </w:p>
        </w:tc>
      </w:tr>
      <w:tr>
        <w:trPr>
          <w:trHeight w:val="248"/>
        </w:trPr>
        <w:tc>
          <w:tcPr>
            <w:tcW w:w="6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1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at end of period</w:t>
            </w: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30"/>
        </w:trPr>
        <w:tc>
          <w:tcPr>
            <w:tcW w:w="6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Restricted cash at end of period</w:t>
            </w: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r>
      <w:tr>
        <w:trPr>
          <w:trHeight w:val="248"/>
        </w:trPr>
        <w:tc>
          <w:tcPr>
            <w:tcW w:w="6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1420" w:type="dxa"/>
            <w:vAlign w:val="bottom"/>
            <w:tcBorders>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CaliberCos Inc., a Delaware corporation, and its wholly-owned subsidiaries (the “Company”, “we”, “our”), is an alternative asset manager of private syndication and direct investment real estate funds and provider of a full suite of traditional real estate services. The Company was formed in November 2014, and originally began as Caliber Companies, LLC, an Arizona limited liability company, which commenced operations in January 2009. The Company provides various support services, under its asset management platform segment (“Platform”) to the investments it manages, including asset management services, fund set-up services, lending support, construction and development management, and real estate brokerage. As of March 31, 2025, the Company has operations in Arizona with a focus on hospitality, multifamily, and multi-tenant industrial real estate.</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the Company’s private equity real estate funds are organized as operating partnerships, in which multiple unrelated passive investors own partnership interests. In addition, the Company is designated as the manager and/or general partner of the partnership. Depending on the legal structure and arrangements between the Company and the funds, the Company may or may not consolidate the partnerships for financial reporting purposes. For funds in which the Company is determined to be the controlling party or primary beneficiary for financial reporting purposes, the fund is consolidated, and the passive investors’ ownership is presented as noncontrolling interest in the accompanying condensed consolidated financial statements (“Consolidated Funds”, and collectively with the Company, the “Consolidated Company”, “Caliber”, “we”, “our”, and “us”). For funds in which we are not determined to be the controlling party for financial reporting purposes, the fund is not consolidated, and any fees earned from the fund are included in fund management revenue in the accompanying condensed consolidated financial statements. See Note 2 – Summary of Significant Accounting Policies for details.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 1-to-20</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2025, the Company held a Special Meeting of Stockholders (the “Special Meeting”). At the Special Meeting, the stockholders approved a proposal authorizing a reverse stock split of the Company’s Class A common stock, par value $0.001 per share (the “Class A Common Stock”) and the Company’s Class B common stock, par value $0.001 per share (the “Class B Common Stock”, together with the Class A Common Stock, the “Common Stock”), at an exchange ratio within the range of 1-for-5 to 1-for-20, inclusive, as determined by the board of directors of the Company (the “Board”).</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Special Meeting, the Board approved a one-for-twenty (1-for-20) reverse stock split of the Common Stock (the “Reverse Stock Split”) and the Company filed a Certificate of Amendment (the “Amendment”) to its Third Amended and Restated Certificate of Incorporation (as amended to date, the “Certificate of Incorporation”) with the Secretary of State of the State of Delaware to effect the Reverse Stock Split of its Common Stock. The Reverse Stock Split became effective on May 2, 2025 (the “Effective Date”).</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Reverse Stock Split, at the Effective Date, every twenty (20) shares of the Company’s pre-Reverse Stock Split Common Stock combined and automatically become one (1) share of Common Stock. The Company’s Class A Common Stock began trading on a split-adjusted basis when the Nasdaq Stock Market opened for trading on May 2, 2025. As of the Effective Date, the number of outstanding shares of Class A Common Stock of the Company was reduced from 15,127,516 to 931,202 shares and the Class B Common Stock from 7,416,414 to 370,822 shares.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Class A Common Stock continues to trade on the Nasdaq Stock Market under the existing symbol “CWD”. The Reverse Stock Split affected all holders of our Common Stock uniformly and did not affect any stockholder’s percentage ownership interests or proportionate voting power. The other principal effects of the Amendment was that the number of shares of Common Stock issuable upon conversion or exercise of notes, warrants, preferred stock and other convertible securities, as well as any commitments to issue securities, that provide for adjustments in the event of a reverse stock split were appropriately adjusted pursuant to their applicable terms for the Reverse Stock Split. If applicable, the conversion price for each outstanding note and outstanding share of preferred stock and the per share exercise price of all outstanding options and warrants was increased, pursuant to their terms, in inverse proportion to the 1-for-20 split ratio such that upon conversion or exercise, the aggregate conversion price for each note or preferred stock and the aggregate exercise price payable by the option or warrant holder to the Company for shares of Common Stock subject to such option or warrant remains approximately the same as the aggregate conversion or exercise price, as applicable, prior to the Reverse Stock Split. Pursuant to the terms of the Company’s 2024 Equity Incentive Plan, shares of Common Stock available for issuance also are subject to adjustment as a result of the Reverse Stock Split.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Reverse Stock Split did not change the authorized number of shares or the par value of the Common Stock nor modify any voting rights of the Common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shares were issued in connection with the Reverse Stock Split. All shares of Common Stock held by a stockholder were aggregated subsequent to the Reverse Stock Split and each fractional share resulting from such aggregation held by a stockholder was rounded up to the next whole share.</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share and per share amounts in the accompanying condensed consolidated financial statements have been retroactively adjusted to reflect the Reverse Stock Split for all periods presented.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March 20, 2025, CaliberCos Inc. (the “Company”) entered into a securities purchase agreement (the “Purchase Agreement”) with Mast Hill Fund, L.P. (the “Investor”) as the purchaser, pursuant to which the Company issued the Investor a senior secured promissory note in the aggregate principal amount of up to $1,666,666.67 (as the principal amount thereof may be increased pursuant to the terms thereof) (the “Note”), a common stock purchase warrant for the purchase of 10,000 shares of Class A common stock, par value $0.001 (“Common Stock”), with an initial exercise price of $15.00 per share, and 10,000 shares of Common Stock (the “Commitment Shares”).</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Pursuant to the Purchase Agreement, the Company entered into a registration rights agreement (the “RRA”) with the Investor to provide certain registration rights under the Securities Act of 1933, as amended (the “Securities Act”), and the rules and regulations thereunder, or any similar successor statute, and applicable state securities laws. The Company agreed to file with the Securities and Exchange Commission (“SEC”) an initial Registration Statement covering the maximum number of Registrable Securities (as defined in the RRA) within ten (10) business days from the date that the Company filed its Form 10-K with the SEC for the period ended December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Line of Credit</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Concurrent with the execution of the Purchase Agreement with the Investor above, the Company entered into an equity purchase agreement (the “Equity Purchase Agreement”) with the Investor pursuant to which the Company may sell and issue to the investor, and the investor may purchase from the Company, up to $25.0 million of Common Stock (the “Put Shares”). Under the Equity Purchase Agreement, the Company has the right, but not the obligation, to direct the Investor, by its delivery to the Investor of a put notice from time to time, to purchase Put Shares (i) in a minimum amount not less than $5,000 and (ii) in a maximum amount up to the lesser of (a) $500,000 or (b) 40% of the Average Daily Trading Value (as defined in the Equity Purchase Agreement). In connection with the Equity Purchase Agreement, the Company issued the Investor a five year common stock purchase warrant for the purchase of 10,000 shares of the Common Stock at an initial exercise price of $30.00 per share (the “ELOC Warrant”).</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shall not effect any sales of the Put Shares under the Equity Purchase Agreement and the Investor shall not have the obligation to purchase Put Shares under the Equity Purchase Agreement to the extent that such issuance would exceed the Exchange Cap (as defined below). Shareholder approval is required to effectuate the transactions contemplated by the Equity Purchase Agreement, including but not limited to the issuance of Common Stock and the ELOC Warrant in excess of 78,441 shares of Common Stock (the “Exchange Cap”).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2025, the Company had a portfolio of corporate notes, whose composition and characteristics are similar to those reported in prior periods. At March 31, 2025, the portfolio consists of 196 unsecured notes with an aggregate principal balance of $33.2 million, of which $26.1 million of the corporate notes have matured or will mature within the 12-month period subsequent to May 15, 2025. The notes generally have either a 12-month or 36-month term, with the 12-month note holders having the option to extend for an additional 12-month term.</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 Company incurred recurring operating losses and negative cash flow from operations, and could experience additional future operating losses and negative cash flow in the near term, combined with the fact that the Company does not have sufficient cash on hand to satisfy the total of the notes that mature within the next 12 months, these conditions and events raise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 doubt about the Company’s ability to continue as a going concern. In response to these conditions, management considered the impact of these near-term maturities on the Company.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evaluated the impact a default of one or many of these notes might have on the Company. As these notes are unsecured, the terms in the agreements do not afford the note holder avenues of recourse in a default that could or would impact the Company adversely in the normal course of business, as the terms lack provisions for rights or claims against the Company’s assets, nor is there a scenario where a default could force liquidation of the Company. Management believes that even in the event of default of one or many of these notes, the Company would be able to negotiate a waiver of the default either through an extension of the maturity or principal repayment schedule.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satisfy the maturity of these corporate notes, the Company intends to raise $20.0 million of preferred stock series AA financing through its Reg A+ offering, which was qualified on March 12, 2024, and has raised $0.2 million as of May 15, 2025. The Company also continues its push to refinance its existing 12-month term notes into its new 36-month term corporate note program. Year to date through May 13, 2025, the Company has successfully refinanced $2.8 million of 12-month term corporate notes into its new 36-month term corporate note program.</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financing actions noted, management continues to execute various plans implemented in the year to address operating losses and near-term maturities or demands for repayment of its notes. Consistent with reported actions taken in prior reporting periods, management plans to continue to i) reduce operating costs, ii) collect all or part of its $8.2 million in receivables, iii) collect all or part of its $15.9 million in investments from its managed funds, iv) increase capital raise through continued expansion of fundraising channels, v) sell or accept investment into its corporate headquarters, vi) place debt on unencumbered assets, and/or vii) generate planned cash from operations.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as part of the execution of our aforementioned plans, the Company collected $0.2 million in notes receivable and $3.5 million in accounts receivable. In addition, the Company has implemented broad-based costs reductions, most notably being further workforce reductions, which are expected to result in annualized cost savings of $1.9 million in compensation and employee benefit expenses.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consideration of the implemented and planned actions, management concluded these plans are not within the Company’s control and therefore cannot be deemed probable. As a result, the Company has concluded that management’s plans do not alleviate substantial doubt about the Company’s ability to continue as a going concern.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on the accrual basis of accounting in accordance with generally accepted accounting principles in the United States of America (“U.S. GAAP”). The accompanying condensed consolidated financial statements include the Company’s accounts, its consolidated subsidiaries, and legal entities in which the Company is deemed to have a direct or indirect controlling financial interest based on either a variable interest model or voting interest model. The equity and net income or loss attributable to noncontrolling interests in subsidiaries is shown separately in the accompanying condensed consolidated balance sheets, statements of operations, and statements of changes in stockholders’ equity. All intercompany balances and transactions have been eliminated in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if an entity is a variable interest entity (“VIE”) based on several factors, including whether the equity holders, as a group, lack the characteristics of a controlling financial interest. We analyze any investments in VIEs to determine if we are the primary beneficiary. A reporting entity is determined to be the primary beneficiary if it holds a controlling financial interest in a VIE.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Determining which reporting entity, if any, has a controlling financial interest in a VIE is primarily a qualitative analysis focused on identifying which reporting entity has both (i) the power to direct the activities of the entity that most significantly impact the entity’s economic performance and (ii) the obligation to absorb losses or the right to receive benefits from such entity that could potentially be significant to such entity. Performance of that analysis requires the exercise of judgment. We consolidate any VIEs for which we are the primary beneficiary, and we disclose our maximum exposure to loss related to the consolidated VIEs. See Note 3 – VIEs for more detail.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Interest Entities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Entities that do not qualify as VIEs are generally assessed for consolidation as voting interest entities (“VOEs”). For VOEs, we consolidate an entity if we have a controlling financial interest. We have a controlling financial interest in a VOE if (i) for legal entities other than partnerships, we own a majority voting interest in the entity or, for limited partnerships and similar entities, we own a majority of the entity’s kick-out rights through voting limited partnership interests and (ii) non-controlling shareholders or partners do not hold substantive participating rights, and no other conditions exist that would indicate that we do not control the entity.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Unaudited Financial Data</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reflect all adjustments, which are, in our opinion, of a normal recurring nature and necessary for a fair presentation of our financial position, results of operations and cash flows for the interim periods. Interim results of operations are not necessarily indicative of the results to be expected for the full year. These condensed consolidated financial statements, including notes, are unaudited, exclude some of the disclosures required for annual consolidated financial statements, and should be read in conjunction with our audited consolidated financial statements for the year ended December 31,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Accounting Estimates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significantly from those estimates.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Cash includes cash in bank accounts. The Company deposits cash with several high-quality financial institutions. These deposits are guaranteed by the Federal Deposit Insurance Company (“FDIC”) up to an insurance limit of $250,000. At times, the Company’s cash balances may exceed FDIC limits. Although the Company bears risk on amounts in excess of those insured by the FDIC, it has not experienced and does not anticipate any losses due to the high quality of the institutions where the deposits are held.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of cash held in escrow accounts by contractual agreement with lenders as part of financial loan covenant requirements.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Entities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 entity is not a VIE, our determination of the appropriate accounting method with respect to our investments in limited liability companies and other investments is based on voting control. For our managing member interests in limited liability companies, we are presumed to control (and therefore consolidate) the entity, unless the other limited partners have substantive rights that overcome this presumption of control. These substantive rights allow the limited partners to remove the general partner with or without cause or to participate in significant decisions made in the ordinary course of the entity’s business. We account for our non-controlling investments in these entities under the equity method. Our investments in unconsolidated subsidiaries in which we have the ability to exercise significant influence over operating and financial policies, but do not control, or entities which are VIE in which we are not the primary beneficiary are accounted for under the equity method. The equity method of accounting requires the investment to be initially recorded at cost and subsequently adjusted for the Company’s share of equity in the equity method investment’s earnings and distributions. Our share of the earnings or loss from equity method investments is included in other income (expenses), net on the accompanying consolidated statements of operations. The Company evaluates its investments in unconsolidated entities for impairment when events and circumstances indicate that the fair value of the entities might be less than the carrying value.</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determination of the appropriate accounting treatment for an investment in a subsidiary requires judgment of several factors, including the size and nature of our ownership interest and the other owners’ substantive rights to make decisions for the entity. Different judgments or conclusions as to the level of our control or influence, could result in a different accounting treatment, such as consolidation. While consolidating an investment generally has no impact on the Company’s net income or stockholders’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deficit, consolidation does impact the individual income statement and balance sheet line items on the CaliberCos Inc. consolidated financial statements, by effectively “grossing up” the Company’s consolidated statements of operations and balance sheets.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carrying amount of our investments in unconsolidated entities was $15.5 million, and $15.6 million, respectively, net of $4.2 million and $4.0 million, respectively, of impairments primarily related to the winding down of Caliber Fixed Income Fund III (“CFIF III”) in 2024. See Note 3 – VIEs.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certain situations, the Company has invested only a nominal amount of cash, or no cash at all, into a venture. As the manager of the venture, we are entitled to 15.0% – 35.0% of the residual cash flow produced by the venture after the payment of any priority returns. Under the equity method, impairment losses are recognized upon evidence of other-than-temporary losses of value. For the three months ended March 31, 2025, the Company had impairment losses of $0.2 million related to its investments in unconsolidated entities. There were no impairment losses during the three months ended March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expense includes costs and costs associated with building and building improvements, which are depreciated over the estimated useful life of the respective asset, generally 15 to 40 years. Depreciation expense also includes costs associated with the purchase of furniture and equipment and office leasehold improvements which are recorded at cost. Furniture and equipment costs are depreciated using the straight-line method over the estimated useful life of the asset, generally three to seven years beginning in the first full month the asset is placed in service. Intangible lease assets are amortized using the straight-line method over the shorter of the respective estimated useful life or the lease term.</w:t>
      </w:r>
    </w:p>
    <w:p>
      <w:pPr>
        <w:spacing w:after="0" w:line="143" w:lineRule="exact"/>
        <w:rPr>
          <w:sz w:val="20"/>
          <w:szCs w:val="20"/>
          <w:color w:val="auto"/>
        </w:rPr>
      </w:pPr>
    </w:p>
    <w:p>
      <w:pPr>
        <w:ind w:right="1020"/>
        <w:spacing w:after="0" w:line="461" w:lineRule="auto"/>
        <w:rPr>
          <w:sz w:val="20"/>
          <w:szCs w:val="20"/>
          <w:color w:val="auto"/>
        </w:rPr>
      </w:pPr>
      <w:r>
        <w:rPr>
          <w:rFonts w:ascii="Times New Roman" w:cs="Times New Roman" w:eastAsia="Times New Roman" w:hAnsi="Times New Roman"/>
          <w:sz w:val="18"/>
          <w:szCs w:val="18"/>
          <w:color w:val="auto"/>
        </w:rPr>
        <w:t xml:space="preserve">For the three months ended March 31, 2025 and 2024, depreciation expense for the Company was $0.2 million and $0.1 million, respectively. </w:t>
      </w:r>
      <w:r>
        <w:rPr>
          <w:rFonts w:ascii="Times New Roman" w:cs="Times New Roman" w:eastAsia="Times New Roman" w:hAnsi="Times New Roman"/>
          <w:sz w:val="18"/>
          <w:szCs w:val="18"/>
          <w:b w:val="1"/>
          <w:bCs w:val="1"/>
          <w:i w:val="1"/>
          <w:iCs w:val="1"/>
          <w:color w:val="auto"/>
        </w:rPr>
        <w:t>Impairment of Long-Lived Assets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Real estate and other long-lived assets to be held and used are stated at cost, less accumulated depreciation and amortization, unless the carrying amount of the asset is determined not to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we recognize an impairment loss to the extent the carrying amount exceeds the estimated fair value of the asset.</w:t>
      </w:r>
    </w:p>
    <w:p>
      <w:pPr>
        <w:spacing w:after="0" w:line="143" w:lineRule="exact"/>
        <w:rPr>
          <w:sz w:val="20"/>
          <w:szCs w:val="20"/>
          <w:color w:val="auto"/>
        </w:rPr>
      </w:pPr>
    </w:p>
    <w:p>
      <w:pPr>
        <w:ind w:right="720"/>
        <w:spacing w:after="0" w:line="461" w:lineRule="auto"/>
        <w:rPr>
          <w:sz w:val="20"/>
          <w:szCs w:val="20"/>
          <w:color w:val="auto"/>
        </w:rPr>
      </w:pPr>
      <w:r>
        <w:rPr>
          <w:rFonts w:ascii="Times New Roman" w:cs="Times New Roman" w:eastAsia="Times New Roman" w:hAnsi="Times New Roman"/>
          <w:sz w:val="18"/>
          <w:szCs w:val="18"/>
          <w:color w:val="auto"/>
        </w:rPr>
        <w:t xml:space="preserve">For the three months ended March 31, 2025 and 2024, the Company had no impairment losses related to its real estate and other long-lived assets. </w:t>
      </w:r>
      <w:r>
        <w:rPr>
          <w:rFonts w:ascii="Times New Roman" w:cs="Times New Roman" w:eastAsia="Times New Roman" w:hAnsi="Times New Roman"/>
          <w:sz w:val="18"/>
          <w:szCs w:val="18"/>
          <w:b w:val="1"/>
          <w:bCs w:val="1"/>
          <w:i w:val="1"/>
          <w:iCs w:val="1"/>
          <w:color w:val="auto"/>
        </w:rPr>
        <w:t>Concentration of Credit Risk</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revenues are generated from activities completed through its Platform, including the management, ownership and/or operations of real estate assets located in Alaska, Arizona, Colorado, Kansas, Texas, and Virginia. The Company mitigates the associated risk by:</w:t>
      </w:r>
    </w:p>
    <w:p>
      <w:pPr>
        <w:spacing w:after="0" w:line="12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across hospitality, multi-family, and multi-tenant industrial asset types;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geographic locations including different markets and sub-markets in which our real estate assets are located;</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assets at differing points of stabilization, and in varying states of cash flow optimization;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financing relationships with a diversified mix of lenders (differing size and type), including large national banks, local community banks, private equity lenders, and insurance companies.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in Consolidated Real Estate Partnerships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report the unaffiliated partners’ interests in the net assets of our consolidated real estate partnerships as noncontrolling interests within the accompanying consolidated statements of changes in stockholders’ equity. Noncontrolling interests consist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interests held by limited partners in consolidated real estate partnerships. We attribute to noncontrolling interests their share of income or loss of the consolidated partnerships based on their proportionate interest in the results of operations of the partnerships, including their share of losses even if such attribution results in a deficit noncontrolling interest balance within our equity and partners’ capital accounts.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of the partnership agreements generally require the partnerships to be liquidated following the sale of the underlying real estate assets. As the general partner in these partnerships, we ordinarily control the execution of real estate sales and other events that could lead to the liquidation, redemption or other settlement of noncontrolling interests. The terms of certain partnership agreements outline differing classes of equity ownership, some of which are redeemable by the partnership at the partnership manager’s discretion.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the Company’s revenue recognition policy related to the fees the Company earns from providing services under its Platform:</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 of the Caliber Hospitality Trust’s enterprise value and is reimbursed for certain costs incurred on behalf of the Caliber Hospitality Trust. These revenues are included in asset management revenues in the accompanying consolidated statements of operations.</w:t>
      </w:r>
    </w:p>
    <w:p>
      <w:pPr>
        <w:spacing w:after="0" w:line="14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 These revenues are included in asset management revenues in the accompanying consolidated statements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when the related performance obligations are satisfied and the customer obtains control of the promised service, including negotiation, due diligence, entitlements, planning, and design activities. During the construction period, development fee revenue is recognized ratably over time as the performance obligation(s) is satisfied. These revenues are included in asset management revenues in the accompanying consolidated statements of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 and are included in asset management revenues in the accompanying consolidated statements of operations.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w:t>
      </w:r>
    </w:p>
    <w:p>
      <w:pPr>
        <w:spacing w:after="0" w:line="1" w:lineRule="exact"/>
        <w:rPr>
          <w:sz w:val="20"/>
          <w:szCs w:val="20"/>
          <w:color w:val="auto"/>
        </w:rPr>
      </w:pPr>
    </w:p>
    <w:p>
      <w:pPr>
        <w:jc w:val="both"/>
        <w:ind w:firstLine="8"/>
        <w:spacing w:after="0" w:line="252" w:lineRule="auto"/>
        <w:tabs>
          <w:tab w:leader="none" w:pos="2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Lessor</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Company did not have any sales-type or direct financing leases as of March 31, 2025 and December 31, 2024.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Lessee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account for leases for which the Company is the lessee, contracts must be analyzed upon inception to determine if the arrangement is, or contains, a lease. A lease conveys the right to control the use of an identified asset for a period of time in exchange for consideration. Lease classification tests and measurement procedures are performed at the lease commencement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lease liability is initially measured as the present value of the lease payments over the lease term, discounted using the interest rate implicit in the lease, if that rate is readily determinable; otherwise, the lessee’s incremental borrowing rate is used. The incremental borrowing rate is determined based on the estimated rate of interest that the lessee would pay to borrow on a collateralized basis over a similar term at an amount equal to the lease payments in a similar economic environment. The lease term is the noncancelable period of the lease and includes any renewal and termination options the Company is reasonably certain to exercise. The lease liability balance is amortized using the effective interest method. The lease liability is remeasured when the contract is modified, upon the resolution of a contingency such that variable payments become fixed or if the assessment of exercising an extension, termination or purchase option changes.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right-of-use (“ROU”) asset balance is initially measured as the lease liability amount, adjusted for any lease payments made prior to the commencement date, initial direct costs, estimated costs to dismantle, remove, or restore the underlying asset and incentives received.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impairment assessment for ROU assets is consistent with the impairment analysis for the Company's other long-lived assets and is reviewed quarterly.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of Consolidated Funds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Real Estate Investments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acquisition of real estate properties, a determination is made as to whether the acquisition meets the criteria to be accounted for as an asset acquisition or a business combination. The determination is primarily based on whether the assets acquired, and liabilities assumed meet the definition of a business. The determination of whether the assets acquired, and liabilities assumed meet the definition of a business includes a single or similar asset threshold. In applying the single or similar asset threshold, if substantially all the fair value of the gross assets acquired is concentrated in a single identifiable asset or group of similar identifiable assets, the assets acquired, and liabilities assumed are not considered a business. Most of our consolidated fund acquisitions meet the single or similar asset threshold, due to the fact that substantially all the fair value of the gross assets acquired is attributable to the real estate assets acquired.</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Acquired real estate properties accounted for as asset acquisitions are recorded at cost, including acquisition and closing costs. Our consolidated funds allocate the cost of real estate properties to the tangible and intangible assets and liabilities acquired based on their estimated relative fair values. Our consolidated funds determine the fair value of tangible assets, such as land, building, furniture, fixtures and equipment, using a combination of internal valuation techniques that consider comparable market transactions, replacement costs and other available information and fair value estimates provided by third-party valuation specialists, depending upon the circumstances of the acquisition. Our consolidated funds determine the fair value of identified intangible assets or liabilities, which typically relate to in-place leases, using a combination of internal valuation techniques that consider the terms of the in-place leases, current market data for comparable leases, and fair value estimates provided by third-party valuation specialists, depending upon the circumstances of the acquisition.</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transaction is determined to be a business combination, the assets acquired, liabilities assumed, and any identified intangibles are recorded at their estimated fair values on the transaction date, and transaction costs are expensed in the period incurred.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Capitalization and Depreciation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funds capitalize costs, including certain indirect costs, incurred in connection with their development and construction activities. Included in these capitalized costs are payroll costs associated with time spent by site employees in connection with capital addition activities at the asset level. Interest, property taxes and insurance are also capitalized during periods in which redevelopment, development and construction projects are in progress. Capitalization of costs, including certain indirect costs, incurred in connection with our capital addition activities, commence at the point in time when activities necessary to get the assets ready for their intended use are in progress. This includes when assets are undergoing physical construction, as well as when apartment homes are held vacant in advance of planned construction, provided that other activities such as permitting, planning and design are in progress. Our consolidated funds cease the capitalization of costs when the assets are substantially complete and ready for their intended use, which is typically when construction has been completed and apartment homes or other properties are available for occupancy. Cost of ordinary repairs, maintenance and resident turnover are charged to operating expense, as incurred.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Depreciation for all tangible real estate assets is calculated using the straight-line method over the estimated useful lives of the assets. The estimated useful lives of our building and building improvements are generally 15 to 40 years. The estimated useful lives of our furniture, fixtures and equipment are generally three to seven years beginning in the first full month the asset is placed in service.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 depreciation expense was $1.0 million and $2.1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Real estate and other long-lived assets to be held and used are stated at cost, less accumulated depreciation and amortization, unless the carrying amount of the asset is determined to not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our consolidated funds recognize an impairment loss to the extent the carrying amount exceeds the estimated fair value of the asset.</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our consolidated funds did not record an impairment loss related to its real estate and other long-lived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includes cash in bank accounts. The consolidated funds deposit cash with several high-quality financial institutions. These deposits are guaranteed by the FDIC up to an insurance limit of $250,000. At times, cash balances may exceed FDIC limits. Although the consolidated funds bear risk on amounts in excess of those insured by the FDIC, they have not experienced and do not anticipate any losses due to the high quality of the institutions where the deposits are held.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cash consists of tenant security deposits and cash reserves required by certain loan agreements for capital improvements and repairs. As improvements and repairs are completed, related costs incurred by the consolidated funds are funded from the reserve accounts. Restricted cash also includes cash held in escrow accounts by mortgage companies on behalf of the consolidated funds for payment of property taxes, insurance, and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Revenues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funds – hospitality revenue</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funds – other revenue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funds – other revenue includes rental revenue of $0.1 million and $0.4 million for the three months ended March 31, 2025 and 2024, respectively. Rental revenue includes the revenues generated primarily by the rental operations of the residential (multi-family and single-family) and commercial properties of our consolidated funds.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consolidated funds did not have any sales-type or direct financing leases as of March 31, 2025.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consolidated funds - other revenue includes interest income, which is generated by a consolidated fund’s lending activity. There was no interest income for the three months ended March 31, 2025. For the three months ended March 31, 2024, there was $1.0 million of interest income. Interest income is recognized on the accrual basis of accounting in accordance with the lending agreements over the term of the respective loan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Expenses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insurance expenses, professional fees and other costs associated with administering and supporting those funds.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primarily consists of amounts due from guests or groups for hotel rooms and services provided by the hotel properties. Accounts receivable also include due, but unpaid, rental payments. Our consolidated funds continually review receivables and determine collectability by taking into consideration the history of past write-offs, collections, current credit conditions, tenant payment history, the financial condition of the tenants, business conditions in the industry in which the tenant operates and economic conditions in the area in which the property is located. If the collectability of a receivable is uncertain, our consolidated funds will record an increase in the allowance for doubtful accounts. Amounts that are determined to be uncollectible with a high degree of certainty are written-off through bad debt expense, which is included in consolidated funds – hospitality expenses and consolidated funds – other expenses on the accompanying consolidated statements of operations. There were no allowances for doubtful accounts as of March 31, 2025 and December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funds record all derivative instruments on the consolidated balance sheets at fair value. The accounting for changes in the fair value of the derivative and the effect on the financial statements depends on its hedge designation and whether the hedge is highly effective in achieving offsetting changes in the fair value of cash flows of the asset or liability hedged. If the consolidated fund elects not to apply hedge accounting treatment, any changes in the fair value of the derivative instruments is recognized immediately in consolidated funds - hospitality expenses in the consolidated statements of operations. If the derivative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designated and qualifies for hedge accounting treatment, the change in fair value of the derivative is recorded in other comprehensive income (loss).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financial instruments is disclosed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measurements and disclosures consist of a three-level valuation hierarchy. The valuation hierarchy categorizes assets and liabilities measured at fair value into one of three different levels depending on the ability to observe the inputs employed in the measurement using market participant assumptions at the measurement date. An asset’s or liability’s categorization within the valuation hierarchy is based upon the lowest level of input that is significant to the fair value measurement. The three levels are defined as follows:</w:t>
      </w:r>
    </w:p>
    <w:p>
      <w:pPr>
        <w:spacing w:after="0" w:line="13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quoted prices in active markets for identical assets or liabilities that can be accessed at the measurement date.</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include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These unobservable inputs reflect assumptions about what market participants would use to price the asset or liability and are developed based on the best information available in the circumstances (which might include the reporting company’s own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ASU 2016-13, Financial Instruments – Credit Losses and subsequent amendments (collectively, “Topic 326”), effective January 1, 2023. Topic 326 was intended to improve financial reporting by requiring more timely recognition of credit losses on loans and other financial instruments that are not accounted for at fair value through net income and required that financial assets measured at amortized cost be presented at the net amount expected to be collected, through an allowance for credit losses that was deducted from the amortized cost basis. The amendments in Topic 326 required the Company to measure all expected credit losses based upon historical experience, current conditions, and reasonable and supportable forecasts that affect the collectability of the financial assets and eliminated the “incurred loss” methodology under current U.S. GAAP. Loans and receivables between entities under common control are not within the scope of this guidance. The adoption of this guidance did not have a material impact on the Company’s consolidated financial statements.</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adopted the Financial Accounting Standards Board (“FASB”) issued ASU 2020-06,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470-20) and Derivatives and Hedging – Contracts in Entity’s Own Equity (Subtopic 815-40)</w:t>
      </w:r>
      <w:r>
        <w:rPr>
          <w:rFonts w:ascii="Times New Roman" w:cs="Times New Roman" w:eastAsia="Times New Roman" w:hAnsi="Times New Roman"/>
          <w:sz w:val="18"/>
          <w:szCs w:val="18"/>
          <w:color w:val="auto"/>
        </w:rPr>
        <w:t>, effective January 1, 2024, which simplifies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convertible instruments by reducing the number of accounting models for convertible debt instruments and convertible preferred stock, removes certain settlement conditions that are required for equity contracts to qualify for the derivative scope exception and also simplifies the diluted earnings per share calculation in certain areas. The adoption of this guidance did not have a material impact on the Company’s consolidated financial statements.</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serves to improve reportable segment disclosure requirements, primarily through enhanced disclosures about significant segment expenses on both an annual and interim basis. The guidance does not change the definition of a segment, the method for determining segments, or the criteria for aggregating operating segments into reportable segments and is effective for fiscal years beginning after December 15, 2023, and interim periods within fiscal years beginning after December 15, 2024, with early adoption permitted. The Company adopted this guidance effective December 31, 2024. The adoption of this standard did not have a material effect on the Company’s balance sheet, statement of operations, or statement of cash flows, but resulted in additional disclosures in the notes to the financial statements, most notably payroll and payroll related costs as a significant segment expense. See Note 16 – Segments for detail.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 (Topic 740, Income Taxes)</w:t>
      </w:r>
      <w:r>
        <w:rPr>
          <w:rFonts w:ascii="Times New Roman" w:cs="Times New Roman" w:eastAsia="Times New Roman" w:hAnsi="Times New Roman"/>
          <w:sz w:val="18"/>
          <w:szCs w:val="18"/>
          <w:color w:val="auto"/>
        </w:rPr>
        <w:t>. ASU 2023-09, which serves to enhance income tax disclosures by requiring a tabular rate reconciliation and additional information on income taxes paid. The guidance is effective for annual periods beginning after December 15, 2024, with early adoption permitted. We are currently evaluating the impact of the adoption of ASU 2023-09 on our consolidated financial statements.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to improve the disclosures about a public business entity’s expenses and provide more detailed information about the types of expenses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expense captions in the consolidated financial statements. The amendments in this update are effective for annual reporting periods beginning after December 15, 2026, and interim reporting periods beginning after December 15, 2027. Early adoption is permitted and the amendments in this update should be applied either prospectively to financial statements issued for reporting periods after the effective date of this update or retrospectively to any or all prior periods presented in the financial statements. We are currently evaluating the impact of the adoption of ASU 2024-03 on our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VIEs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determined that the equity holders in its consolidated entities, as a group, lack the power to direct the activities that most significantly impact the entities’ economic performance and/or have disproportionate voting rights relative to their equity. The Company was determined to be the primary beneficiary of each of these entities since it has the power to direct the activities of the entities and the right to absorb losses, generally in the form of guarantees of indebtedness that are significant to the individual entities.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the assets of the individual consolidated VIEs can only be used to settle liabilities of each respective individual consolidated VIE and the liabilities of each respective VIE, including VIEs which it consolidates, are liabilities for which creditors or beneficial interest holders do not have recourse to the general credit of the Company. When the VIE is consolidated, we reflect the assets, liabilities, revenues, expenses and cash flows of the consolidated funds on a gross basis, and the interests in the VIEs are included in non-controlling interest in the consolidated financial statements. The Company has provided financial support to certain consolidated VIEs in the form of short-term financing and guarantees of the debts of certain VIEs. In general, our maximum exposure to loss due to involvement with the consolidated VIEs is limited to the amount of capital investment in the VIE, if any, or the potential obligation to perform on the guarantee of debts.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7, 2024, L.T.D. Hospitality Group LLC (“L.T.D.”) contributed one hotel from its portfolio to Caliber Hospitality, LP in exchange for $4.9 million in cash, net of closing costs, and $9.6 million in operating partnership units. In conjunction with the L.T.D. contribution, Caliber Hospitality, LP entered into a new $14.1 million loan facility with a third party lender resulting in a consolidation reconsideration event. Upon this reconsideration event, the Company reconsidered its consolidation conclusion, given the change in economics, and concluded that it was no longer the primary beneficiary, as its potential obligation to absorb the losses, through its guarantee of the indebtedness secured by the hospitality assets, was no longer significant to Caliber Hospitality, LP or the Caliber Hospitality Trust. As such, during the three months ended March 31, 2024, the Company deconsolidated Caliber Hospitality, LP, the Caliber Hospitality Trust, and their consolidated subsidiaries. The Company aggregated and reported the results of operations of these VIEs in consolidated fund revenues and consolidated fund expenses within the accompanying condensed consolidated statements of operations through the date of deconsolidation.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during 2024, the Company deconsolidated Elliot, DT Mesa, and CFIF III. The Company’s investment in these assets, as well as the assets of Caliber Hospitality, LP, are no longer eliminated and are included in investments in unconsolidated entities on the accompanying condensed consolidated balance sheets dated March 31, 2025 and December 31, 2024.</w:t>
      </w:r>
    </w:p>
    <w:p>
      <w:pPr>
        <w:spacing w:after="0" w:line="149" w:lineRule="exact"/>
        <w:rPr>
          <w:sz w:val="20"/>
          <w:szCs w:val="20"/>
          <w:color w:val="auto"/>
        </w:rPr>
      </w:pPr>
    </w:p>
    <w:p>
      <w:pPr>
        <w:ind w:right="2220"/>
        <w:spacing w:after="0" w:line="453" w:lineRule="auto"/>
        <w:rPr>
          <w:sz w:val="20"/>
          <w:szCs w:val="20"/>
          <w:color w:val="auto"/>
        </w:rPr>
      </w:pPr>
      <w:r>
        <w:rPr>
          <w:rFonts w:ascii="Times New Roman" w:cs="Times New Roman" w:eastAsia="Times New Roman" w:hAnsi="Times New Roman"/>
          <w:sz w:val="18"/>
          <w:szCs w:val="18"/>
          <w:color w:val="auto"/>
        </w:rPr>
        <w:t xml:space="preserve">See Note 11 – Commitments and Contingencies for information related to the commitments and contingencies of these VIEs. </w:t>
      </w:r>
      <w:r>
        <w:rPr>
          <w:rFonts w:ascii="Times New Roman" w:cs="Times New Roman" w:eastAsia="Times New Roman" w:hAnsi="Times New Roman"/>
          <w:sz w:val="18"/>
          <w:szCs w:val="18"/>
          <w:b w:val="1"/>
          <w:bCs w:val="1"/>
          <w:color w:val="auto"/>
        </w:rPr>
        <w:t>Note 4 – Real Estate Investments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asset acquisitions or dispositions by the Company or the consolidated funds during the three months ended March 31, 2025 and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and Other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and Other Assets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assets consisted of the following as of March 31, 2025 and December 31,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7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Pursuit costs </w:t>
            </w:r>
            <w:r>
              <w:rPr>
                <w:rFonts w:ascii="Times New Roman" w:cs="Times New Roman" w:eastAsia="Times New Roman" w:hAnsi="Times New Roman"/>
                <w:sz w:val="23"/>
                <w:szCs w:val="23"/>
                <w:color w:val="auto"/>
                <w:vertAlign w:val="superscript"/>
              </w:rPr>
              <w:t>(1)</w:t>
            </w:r>
          </w:p>
        </w:tc>
        <w:tc>
          <w:tcPr>
            <w:tcW w:w="166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right of use assets</w:t>
            </w:r>
          </w:p>
        </w:tc>
        <w:tc>
          <w:tcPr>
            <w:tcW w:w="16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and other assets</w:t>
            </w:r>
          </w:p>
        </w:tc>
        <w:tc>
          <w:tcPr>
            <w:tcW w:w="1660" w:type="dxa"/>
            <w:vAlign w:val="bottom"/>
            <w:tcBorders>
              <w:bottom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2,664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36690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26" w:lineRule="exact"/>
        <w:rPr>
          <w:sz w:val="20"/>
          <w:szCs w:val="20"/>
          <w:color w:val="auto"/>
        </w:rPr>
      </w:pPr>
    </w:p>
    <w:p>
      <w:pPr>
        <w:jc w:val="both"/>
        <w:ind w:left="400" w:right="40" w:hanging="374"/>
        <w:spacing w:after="0" w:line="211" w:lineRule="auto"/>
        <w:tabs>
          <w:tab w:leader="none" w:pos="4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and Other Assets of the Consolidated Funds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assets of the consolidated funds consisted of the following as of March 31, 2025 and December 31,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72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franchise fees, net</w:t>
            </w:r>
          </w:p>
        </w:tc>
        <w:tc>
          <w:tcPr>
            <w:tcW w:w="1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and other assets</w:t>
            </w:r>
          </w:p>
        </w:tc>
        <w:tc>
          <w:tcPr>
            <w:tcW w:w="1720" w:type="dxa"/>
            <w:vAlign w:val="bottom"/>
            <w:tcBorders>
              <w:bottom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Notes Payable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of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payable consisted of the following as of March 31, 2025 and December 31, 2024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60" w:type="dxa"/>
            <w:vAlign w:val="bottom"/>
          </w:tcPr>
          <w:p>
            <w:pPr>
              <w:spacing w:after="0"/>
              <w:rPr>
                <w:sz w:val="18"/>
                <w:szCs w:val="18"/>
                <w:color w:val="auto"/>
              </w:rPr>
            </w:pP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18"/>
                <w:szCs w:val="18"/>
                <w:color w:val="auto"/>
              </w:rPr>
            </w:pPr>
          </w:p>
        </w:tc>
        <w:tc>
          <w:tcPr>
            <w:tcW w:w="16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302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43"/>
        </w:trPr>
        <w:tc>
          <w:tcPr>
            <w:tcW w:w="27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Interest Rate </w:t>
            </w:r>
            <w:r>
              <w:rPr>
                <w:rFonts w:ascii="Times New Roman" w:cs="Times New Roman" w:eastAsia="Times New Roman" w:hAnsi="Times New Roman"/>
                <w:sz w:val="23"/>
                <w:szCs w:val="23"/>
                <w:b w:val="1"/>
                <w:bCs w:val="1"/>
                <w:color w:val="auto"/>
                <w:w w:val="96"/>
                <w:vertAlign w:val="superscript"/>
              </w:rPr>
              <w:t>(1)</w:t>
            </w:r>
          </w:p>
        </w:tc>
        <w:tc>
          <w:tcPr>
            <w:tcW w:w="3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31,763</w:t>
            </w:r>
          </w:p>
        </w:tc>
        <w:tc>
          <w:tcPr>
            <w:tcW w:w="14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11.05 %</w:t>
            </w:r>
          </w:p>
        </w:tc>
        <w:tc>
          <w:tcPr>
            <w:tcW w:w="14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2023 - March 2028</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corporate notes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14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2024 - September 2026</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140" w:type="dxa"/>
            <w:vAlign w:val="bottom"/>
            <w:shd w:val="clear" w:color="auto" w:fill="CCEEFF"/>
          </w:tcPr>
          <w:p>
            <w:pPr>
              <w:spacing w:after="0"/>
              <w:rPr>
                <w:sz w:val="19"/>
                <w:szCs w:val="19"/>
                <w:color w:val="auto"/>
              </w:rPr>
            </w:pP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2027 - November 2029</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loans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54.49 %</w:t>
            </w:r>
          </w:p>
        </w:tc>
        <w:tc>
          <w:tcPr>
            <w:tcW w:w="14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December 2024 - September 2025</w:t>
            </w:r>
          </w:p>
        </w:tc>
        <w:tc>
          <w:tcPr>
            <w:tcW w:w="0" w:type="dxa"/>
            <w:vAlign w:val="bottom"/>
          </w:tcPr>
          <w:p>
            <w:pPr>
              <w:spacing w:after="0"/>
              <w:rPr>
                <w:sz w:val="1"/>
                <w:szCs w:val="1"/>
                <w:color w:val="auto"/>
              </w:rPr>
            </w:pPr>
          </w:p>
        </w:tc>
      </w:tr>
      <w:tr>
        <w:trPr>
          <w:trHeight w:val="22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50,922</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on corporate note</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50,450</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180" w:hanging="172"/>
        <w:spacing w:after="0" w:line="230" w:lineRule="auto"/>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March 31, 2025.</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Loans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of the loan agreements described below include, among other things, certain financial covenants, as defined in the respective loan agreements, including key financial ratios and liquidity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Gateway II HoldCo, LLC</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31, 2023, Caliber assumed a loan which is secured by the Company’s headquarters office building. The terms of the note require monthly principal and interest payments, with a balloon payment due at maturity. The loan has a fixed interest rate of 4.30% in effect through the maturity date in November 2029. The terms of the loan do not allow the prepayment of the outstanding balance in part or in whole at any time prior to the maturity date. The terms of the loan agreement include covenant clauses, which require certain key financial ratios and liquidity be met. As of March 31, 2025 and December 31, 2024, the outstanding principal balance of the loan was $15.9 million. As of March 31, 2025, the debt service coverage ratio required by the loan agreement was not satisfied, which per the terms of the agreement required the Company to transfer funds to a cash management account.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Saddleback Ranch, LLC</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2025, Caliber entered into a $1.2 million financing agreement which is secured by a deed of trust for the land owned by Saddleback Ranch, LLC. The financing agreement has a fixed interest rate of 10.00% through February 2026, then a fixed rate of 14.00% until maturity in February 2027. The financing agreement requires an interest only payment in February 17, 2026, with all accrued interest added to the outstanding balance monthly. Beginning in February 18, 2026, interest only payments are due quarterly, with the final interest and principal amount due upon maturity. The terms of the financing agreement do not allow the repayment of the outstanding balance in part prior to maturity, but does allow for the entire outstanding balance to be repaid at any time before the maturity date. As of March 31, 2025, the outstanding principal balance of the loan was $1.2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Notes and Convertible Corporate Notes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multiple general corporate financing arrangements with third parties. The arrangements are generally evidenced in the form of an unsecured promissory note and require monthly or quarterly interest-only payments until maturity. The loans generally have a 12-month term and may be extended upon the mutual agreement of the lender and the borrower. Management believes it can come to a mutual agreement with each lender to extend the maturities of the notes for an additional 12-month term.</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there were 196 individual corporate notes outstanding, with an average outstanding principal balance of $0.2 million, interest rates ranging from 5.00% to 12.00%, with a weighted average interest rate of 10.67%, and maturity dates ranging from July 2023 to March 2028. During the three months ended March 31, 2025, there were no conversions of debt into common stock. As of May 15, 2025, an aggregate of $26.1 million of corporate and convertible notes mature within the 12-month period subsequent to when these financial statements were issued.</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202 individual corporate notes outstanding, with an average outstanding principal balance of $0.2 million, interest rates ranging from 8.25% to 12.00%, with a weighted average interest rate of 11.30%, and maturity dates ranging from April 2023 to December 2027.</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issued corporate notes with a conversion feature. The conversion price is $151.40 per share of common stock. The holders of the convertible corporate notes can elect to convert all or any portion of the balance at any time. As of March 31, 2025 and December 31, 2024, the value of the conversion feature was zero.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Loans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executed short-term operating loan agreements with an aggregate outstanding balance of $2.6 million. The short-term operating loan agreements incur interest rates ranging from 12.00% to 212.94% and mature from December 31, 2024 to September 2025. In addition, the Company executed insurance premium financing agreements pursuant to which the Company financed certain annual insurance premiums with an aggregate outstanding balance of $0.1 million at March 31, 2025, primarily consisting of premiums for directors' and officers' insurance. The insurance premiums financing agreements incur interest rates ranging from 7.96% to 9.15%, and mature in August 2025 and September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Payments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scheduled principal repayments of our indebtedness as of March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40" w:type="dxa"/>
            <w:vAlign w:val="bottom"/>
          </w:tcPr>
          <w:p>
            <w:pPr>
              <w:spacing w:after="0"/>
              <w:rPr>
                <w:sz w:val="20"/>
                <w:szCs w:val="20"/>
                <w:color w:val="auto"/>
              </w:rPr>
            </w:pPr>
          </w:p>
        </w:tc>
        <w:tc>
          <w:tcPr>
            <w:tcW w:w="238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 December 31, 2025</w:t>
            </w:r>
          </w:p>
        </w:tc>
        <w:tc>
          <w:tcPr>
            <w:tcW w:w="14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27,075</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w:t>
            </w:r>
          </w:p>
        </w:tc>
      </w:tr>
      <w:tr>
        <w:trPr>
          <w:trHeight w:val="229"/>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deferred financing costs during the three months ended March 31, 2025 and 2024, was immaterial. There were no deferred financing cost write-offs during each of the three months ended March 31, 2025 and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of the Consolidated Funds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payable of the consolidated funds consisted of the following as of March 31, 2025 and December 31, 2024, respectively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80" w:type="dxa"/>
            <w:vAlign w:val="bottom"/>
          </w:tcPr>
          <w:p>
            <w:pPr>
              <w:spacing w:after="0"/>
              <w:rPr>
                <w:sz w:val="22"/>
                <w:szCs w:val="22"/>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40" w:type="dxa"/>
            <w:vAlign w:val="bottom"/>
          </w:tcPr>
          <w:p>
            <w:pPr>
              <w:spacing w:after="0"/>
              <w:rPr>
                <w:sz w:val="22"/>
                <w:szCs w:val="22"/>
                <w:color w:val="auto"/>
              </w:rPr>
            </w:pP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Interest Rate </w:t>
            </w:r>
            <w:r>
              <w:rPr>
                <w:rFonts w:ascii="Times New Roman" w:cs="Times New Roman" w:eastAsia="Times New Roman" w:hAnsi="Times New Roman"/>
                <w:sz w:val="23"/>
                <w:szCs w:val="23"/>
                <w:b w:val="1"/>
                <w:bCs w:val="1"/>
                <w:color w:val="auto"/>
                <w:vertAlign w:val="superscript"/>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Maturity date </w:t>
            </w:r>
            <w:r>
              <w:rPr>
                <w:rFonts w:ascii="Times New Roman" w:cs="Times New Roman" w:eastAsia="Times New Roman" w:hAnsi="Times New Roman"/>
                <w:sz w:val="23"/>
                <w:szCs w:val="23"/>
                <w:b w:val="1"/>
                <w:bCs w:val="1"/>
                <w:color w:val="auto"/>
                <w:w w:val="96"/>
                <w:vertAlign w:val="superscript"/>
              </w:rPr>
              <w:t>(1)</w:t>
            </w:r>
          </w:p>
        </w:tc>
      </w:tr>
      <w:tr>
        <w:trPr>
          <w:trHeight w:val="223"/>
        </w:trPr>
        <w:tc>
          <w:tcPr>
            <w:tcW w:w="36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Loans</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r>
      <w:tr>
        <w:trPr>
          <w:trHeight w:val="184"/>
        </w:trPr>
        <w:tc>
          <w:tcPr>
            <w:tcW w:w="376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DoubleTree by Hilton Tucson Convention</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34"/>
        </w:trPr>
        <w:tc>
          <w:tcPr>
            <w:tcW w:w="3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Center</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17,844</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8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6.94%</w:t>
            </w:r>
          </w:p>
        </w:tc>
        <w:tc>
          <w:tcPr>
            <w:tcW w:w="1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2027</w:t>
            </w:r>
          </w:p>
        </w:tc>
      </w:tr>
      <w:tr>
        <w:trPr>
          <w:trHeight w:val="230"/>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Southpointe Fundco, LLC</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11.99%</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30"/>
        </w:trPr>
        <w:tc>
          <w:tcPr>
            <w:tcW w:w="3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West Frontier Holdco, LLC</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860" w:type="dxa"/>
            <w:vAlign w:val="bottom"/>
            <w:tcBorders>
              <w:bottom w:val="single" w:sz="8" w:color="CCEEFF"/>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February 2038</w:t>
            </w:r>
          </w:p>
        </w:tc>
      </w:tr>
      <w:tr>
        <w:trPr>
          <w:trHeight w:val="223"/>
        </w:trPr>
        <w:tc>
          <w:tcPr>
            <w:tcW w:w="3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Real Estate Loans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23,994</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Member notes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8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2025</w:t>
            </w:r>
          </w:p>
        </w:tc>
      </w:tr>
      <w:tr>
        <w:trPr>
          <w:trHeight w:val="230"/>
        </w:trPr>
        <w:tc>
          <w:tcPr>
            <w:tcW w:w="3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loans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2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notes payable</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29,408</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3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29,444</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29,172</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180" w:hanging="172"/>
        <w:spacing w:after="0" w:line="230" w:lineRule="auto"/>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March 31,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Loans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loan agreements described below include, among other things, certain financial covenants, as defined in the respective loan agreements, including key financial ratios and liquidity requirements. Unless otherwise noted below, the consolidated funds were in compliance with the required financial covenants as of March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DoubleTree by Hilton Tucson Convention Center</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2019, the consolidated fund entered into a loan agreement which is secured by a deed of trust and assignment of rents of the DoubleTree by Hilton Tucson Convention Center located in Tucson, Arizona. The loan has a variable interest rate per annum equal to LIBOR plus 2.50%. In connection with the loan, the consolidated fund entered into an interest rate swap agreement, which sets the interest at a fixed rate of 4.22% from September 2022 through August 2027. The loan required interest-only payments until September 2022 and principal and interest payments thereafter until maturity. The terms of the loan allow for the prepayment of the outstanding balance in whole or in part at any time prior to the maturity date. The loan matures in August 2027 and is guaranteed by the Company. In May 2024, the consolidated fund terminated the interest rate swap agreement and received $1.6 million. In May 2025, the consolidated fund paid the loan amount outstanding in full.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2025, the consolidated fund entered into a $22.5 million loan agreement which is secured by a deed of trust and assignment of rents of the DoubleTree by Hilton Tucson Convention Center located in Tucson, Arizona. Per the terms of the loan agreement, the loan has a fixed interest rate of 7.43%, matures in June 2030, and requires interest-only payments until maturity. The terms of the loan do not allow the prepayment of the outstanding balance prior to the maturity date but can be prepaid subject to certain conditions and terms outlined in the loan agreement. The loan is not guaranteed by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Southpointe Fundco, LLC</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2022, the consolidated fund entered into a loan agreement which is secured by a deed of trust and assignment of rents of a residential development property in Phoenix, Arizona. The loan initially had a fixed rate per annum equal to 9.99%. In May 2023, an extension agreement was executed with the lender, extending the maturity date to December 2023. In November 2023, an extension agreement was executed with the lender, extending the maturity date to March 2024 and amending the interest to a fixed rate of 11.99%. In February 2024, August 2024, and March 2025, extension agreements were executed with the lender, extending the maturity date to September 2024, March 2025, and then September 2025, respectively. The terms of the loan allow the prepayment of the outstanding balance in part or in whole at any time prior to the maturity date with no prepayment penalty. The loan is guaranteed by an individual who is an affiliate of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Frontier Holdco, LLC</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2023, the consolidated fund entered into a construction loan agreement which is secured by a deed of trust and assignment of rents of a multi-family residential property in Payson, Arizona. Upon completion of the construction project, subject to conditions in the agreement, the loan converts to a term loan. The loan requires interest-only payments until March 2025 and principal and interest payments until March 2028, at a fixed interest rate of 6.35%. In April 2028, the loan requires principal and interest payments until maturity in February 2038, at a rate of the five year Treasury Constant Federal Reserve Index plus 2.50%. The terms of the loan allow the prepayment of the outstanding balance in part or in whole at any time prior to the maturity date with no prepayment penalty. The loan is guaranteed by individuals who are affiliates of the Company. In April 2025, the loan was converted into a term loan with the interest rate, repayment schedule and prepayment terms remaining the same.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 Notes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2022 and 2023, the consolidated fund, Southpointe Fundco, LLC (“Southpointe”), entered into 10.0% unsecured promissory notes with individual investors. The notes mature in June 2025 and may be extended up to two additional 12-month periods by the fund manager. The notes require quarterly interest-only payments. The terms of the notes allow the prepayment of the outstanding balance in part or in whole at any time prior to the maturity date with no prepayment penalty.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Loans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executed insurance premium financing agreements pursuant to which the Company financed certain annual insurance premiums for $0.1 million, primarily consisting of premiums for directors' and officers' insurance. The insurance premium payable incurs interest at 7.96%, and matures in September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Debt Maturities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future aggregate principal repayments due on the Company’s notes payable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 December 31, 2025</w:t>
            </w:r>
          </w:p>
        </w:tc>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23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04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deferred financing costs during the three months ended March 31, 2025 and 2024, was zero and $0.3 million, respectively. There were no deferred financing cost write-offs during each of the three months ended March 31, 2025 and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Revenues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shows the total revenues earned for providing services under Platform as described in the Revenue Recognition section of Note 2 – Summary of Significant Accounting Policies for the three months ended March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7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Borders>
              <w:bottom w:val="single" w:sz="8" w:color="auto"/>
            </w:tcBorders>
          </w:tcPr>
          <w:p>
            <w:pPr>
              <w:spacing w:after="0"/>
              <w:rPr>
                <w:sz w:val="20"/>
                <w:szCs w:val="20"/>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14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3"/>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 management</w:t>
            </w:r>
          </w:p>
        </w:tc>
        <w:tc>
          <w:tcPr>
            <w:tcW w:w="1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29"/>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48"/>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related party Platform revenue</w:t>
            </w:r>
          </w:p>
        </w:tc>
        <w:tc>
          <w:tcPr>
            <w:tcW w:w="1460" w:type="dxa"/>
            <w:vAlign w:val="bottom"/>
            <w:tcBorders>
              <w:bottom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amounts due to the Company from related parties for services performed under the Platform was $6.3 million and $6.2 million, respectively, net of allowance for doubtful accounts of $3.3 million and $3.1 million, respectively, which is included in due from related parties on the accompanying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entered into unsecured promissory notes with related parties. No payments are required prior to the maturity of the notes. The notes may be prepaid in whole, or in part, without penalty.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notes receivable – related parties as of March 31, 2025 and December 31, 2024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Notes Receivable - Related Parties</w:t>
            </w:r>
          </w:p>
        </w:tc>
        <w:tc>
          <w:tcPr>
            <w:tcW w:w="18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Interest Rate (1)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 (1)</w:t>
            </w: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Olathe Behavioral Health</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2027</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Caliber Holdings, LLC</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2027</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Caliber Hospitality LP</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2027</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DFW Behavioral Health LLC</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2025</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 Spruce Ridge MezzCo, LLC</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2026</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Ridge MezzCo, LLC</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2026</w:t>
            </w: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Ironwood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2027</w:t>
            </w:r>
          </w:p>
        </w:tc>
      </w:tr>
      <w:tr>
        <w:trPr>
          <w:trHeight w:val="230"/>
        </w:trPr>
        <w:tc>
          <w:tcPr>
            <w:tcW w:w="4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The Ketch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2027</w:t>
            </w: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SF Alaska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2027</w:t>
            </w:r>
          </w:p>
        </w:tc>
      </w:tr>
      <w:tr>
        <w:trPr>
          <w:trHeight w:val="223"/>
        </w:trPr>
        <w:tc>
          <w:tcPr>
            <w:tcW w:w="4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180" w:hanging="172"/>
        <w:spacing w:after="0" w:line="230" w:lineRule="auto"/>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March 31, 2025.</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19" w:lineRule="auto"/>
        <w:tabs>
          <w:tab w:leader="none" w:pos="216"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entered into unsecured promissory notes with related parties which were repaid or impaired during the three months ended March 31, 2025.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earned immaterial interest in connection with the notes, which is included in interest income on the accompanying condensed consolidated statements of operations. Interest that accrues on certain related party notes receivable can be added to the principal outstanding balance, due at the respective loan maturity date and incurs interest at the respective interest rate. There was an immaterial amount of interest due to the Company as of March 31, 2025 and December 31, 2024.</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March 31, 2025 note receivable - related parties balance above is net of a $0.2 million an allowance for doubtful accounts. There was no allowance at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has various amounts due from and/or due to related parties, including affiliate entities and individuals, for various expenses paid for by the Company on their behalf and other charges. These amounts are generally unsecured, interest-free, and due on demand. As of March 31, 2025 and December 31, 2024, other amounts due from related parties was $1.1 million and $0.8 million, respectively, net of allowance for doubtful accounts of $0.7 million and $0.9 million, respectively, and are included in due from related parties on the accompanying condensed consolidated balance sheets. As of March 31, 2025 and December 31, 2024, other amounts due to related parties from the Company were $0.4 million and $0.3 million, respectively, which are included in due to related parties on the accompanying condensed consolidated balance sheets.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of the Consolidated Funds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funds entered into unsecured promissory notes with related parties. The notes may be repaid in whole, or in part, without penalty. The notes receivable – related parties consisted of the following as of March 31, 2025 and December 31, 2024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Receivable - Related Parties</w:t>
            </w:r>
          </w:p>
        </w:tc>
        <w:tc>
          <w:tcPr>
            <w:tcW w:w="260" w:type="dxa"/>
            <w:vAlign w:val="bottom"/>
          </w:tcPr>
          <w:p>
            <w:pPr>
              <w:spacing w:after="0"/>
              <w:rPr>
                <w:sz w:val="22"/>
                <w:szCs w:val="22"/>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22"/>
                <w:szCs w:val="22"/>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2"/>
                <w:szCs w:val="22"/>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Interest Rate</w:t>
            </w:r>
            <w:r>
              <w:rPr>
                <w:rFonts w:ascii="Times New Roman" w:cs="Times New Roman" w:eastAsia="Times New Roman" w:hAnsi="Times New Roman"/>
                <w:sz w:val="23"/>
                <w:szCs w:val="23"/>
                <w:b w:val="1"/>
                <w:bCs w:val="1"/>
                <w:color w:val="auto"/>
                <w:w w:val="96"/>
                <w:vertAlign w:val="superscript"/>
              </w:rPr>
              <w:t>(1)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Maturity Date</w:t>
            </w:r>
            <w:r>
              <w:rPr>
                <w:rFonts w:ascii="Times New Roman" w:cs="Times New Roman" w:eastAsia="Times New Roman" w:hAnsi="Times New Roman"/>
                <w:sz w:val="23"/>
                <w:szCs w:val="23"/>
                <w:b w:val="1"/>
                <w:bCs w:val="1"/>
                <w:color w:val="auto"/>
                <w:w w:val="96"/>
                <w:vertAlign w:val="superscript"/>
              </w:rPr>
              <w:t>(1)</w:t>
            </w:r>
          </w:p>
        </w:tc>
      </w:tr>
      <w:tr>
        <w:trPr>
          <w:trHeight w:val="223"/>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Caliber Hospitality, LP</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2026</w:t>
            </w: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Elliot &amp; 51st Street, LLC</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58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April 2026</w:t>
            </w:r>
          </w:p>
        </w:tc>
      </w:tr>
      <w:tr>
        <w:trPr>
          <w:trHeight w:val="24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Receivable - Related Parties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180" w:hanging="172"/>
        <w:spacing w:after="0" w:line="230" w:lineRule="auto"/>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March 31, 2025.</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consolidated fund earned zero and $1.0 million of interest in connection with the notes, which is included in consolidated funds – other revenues on the accompanying condensed consolidated statements of operations. Interest that accrues on certain related party notes receivable, in which the consolidated fund and respective borrower mutually agreed, is added to the principal outstanding balance, due at the respective loan maturity date and incurs interest at the respective interest rate. Interest due to the Company was $0.4 million and $0.3 million as of March 31, 2025 and December 31, 2024, which is included in prepaid and other assets on the accompanying consolidated balance sheets.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the consolidated funds had a note payable outstanding of $2.1 million and $2.0 million, respectively, to Caliber Fixed Income Fund III. The note has a fixed interest rate of 13.00% and matures in September 2025.</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consolidated funds incurred $0.1 million and $0.3 million, respectively, of interest expense in connection with the notes payable – related parties, which is included in consolidated funds - hospitality expenses and consolidated funds - other expenses on the accompanying consolidated statements of operations. As of March 31, 2025, there was an immaterial amount of interest payable which is included in due to related parties on the accompanying consolidated balance sheets. No interest was payable as of December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consolidated funds have various amounts due from and/or due to related parties, including affiliate entities and individuals, for various expenses paid by the funds on their behalf and other charges. These amounts 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unsecured, interest-free, and due on demand. As of March 31, 2025, other amounts due from related parties was $0.1 million and as of December 31, 2024, there were an immaterial amount of other amounts due from related parties, which is included in prepaid and other assets on the accompanying consolidated balance sheets. As of March 31, 2025 and December 31, 2024, there was an immaterial amount and $0.1 million, respectively, of other amounts due to related parties, which is included in due to related parties on the accompanying consolidated balance sheets.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 Company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Rental revenue of the Company includes the revenues generated by the rental operations of one commercial office property, which was acquired in January 2023. As of March 31, 2025, the leases have non-cancelable remaining lease terms from 0.9 years to 9.3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March 31, 2025, the Company does not have any material related party leases as a lessor. The components of rental revenue for the three months ended March 31, 2025 and 2024, are presented in the table below (in thousands): Variable rental revenue is primarily costs reimbursed related to common area maintenance.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37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15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w:t>
            </w: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lease payments due to the Company under non-cancellable operating leases over the next five years and thereafter as of March 31, 2025,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40" w:type="dxa"/>
            <w:vAlign w:val="bottom"/>
          </w:tcPr>
          <w:p>
            <w:pPr>
              <w:spacing w:after="0"/>
              <w:rPr>
                <w:sz w:val="20"/>
                <w:szCs w:val="20"/>
                <w:color w:val="auto"/>
              </w:rPr>
            </w:pPr>
          </w:p>
        </w:tc>
        <w:tc>
          <w:tcPr>
            <w:tcW w:w="238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 December 31, 2025</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4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 Consolidated Funds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Rental revenue of the consolidated funds includes the revenues generated primarily by the rental operations of one multi-family residential property. As of March 31, 2025, the leases have non-cancelable remaining lease terms from 0.2 years to 0.9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March 31, 2025, the consolidated funds do not have any material related party leases as a lessor. The components of rental revenue for the three months ended March 31, 2025 and 2024 (in thousands) are presented in the table below. Variable rental revenue are primarily costs reimbursed related to common area maintenance.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7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3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w:t>
            </w:r>
          </w:p>
        </w:tc>
        <w:tc>
          <w:tcPr>
            <w:tcW w:w="37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7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28</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08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due to the consolidated funds under non-cancellable operating leases over the next five years and thereafter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40" w:type="dxa"/>
            <w:vAlign w:val="bottom"/>
          </w:tcPr>
          <w:p>
            <w:pPr>
              <w:spacing w:after="0"/>
              <w:rPr>
                <w:sz w:val="20"/>
                <w:szCs w:val="20"/>
                <w:color w:val="auto"/>
              </w:rPr>
            </w:pPr>
          </w:p>
        </w:tc>
        <w:tc>
          <w:tcPr>
            <w:tcW w:w="238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8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 December 31, 2025</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Other Liabilities</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2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Liabilities of the Company</w:t>
            </w:r>
          </w:p>
        </w:tc>
        <w:tc>
          <w:tcPr>
            <w:tcW w:w="6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consisted of the following as of March 31, 2025 and December 31, 2024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8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Deposits </w:t>
            </w:r>
            <w:r>
              <w:rPr>
                <w:rFonts w:ascii="Times New Roman" w:cs="Times New Roman" w:eastAsia="Times New Roman" w:hAnsi="Times New Roman"/>
                <w:sz w:val="23"/>
                <w:szCs w:val="23"/>
                <w:color w:val="auto"/>
                <w:vertAlign w:val="superscript"/>
              </w:rPr>
              <w:t>(1)</w:t>
            </w:r>
          </w:p>
        </w:tc>
        <w:tc>
          <w:tcPr>
            <w:tcW w:w="166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improvement allowance</w:t>
            </w:r>
          </w:p>
        </w:tc>
        <w:tc>
          <w:tcPr>
            <w:tcW w:w="1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liability</w:t>
            </w:r>
          </w:p>
        </w:tc>
        <w:tc>
          <w:tcPr>
            <w:tcW w:w="16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Below market leases, net</w:t>
            </w:r>
          </w:p>
        </w:tc>
        <w:tc>
          <w:tcPr>
            <w:tcW w:w="166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liabilities</w:t>
            </w:r>
          </w:p>
        </w:tc>
        <w:tc>
          <w:tcPr>
            <w:tcW w:w="166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1,317</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0"/>
        </w:trPr>
        <w:tc>
          <w:tcPr>
            <w:tcW w:w="68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180" w:hanging="172"/>
        <w:spacing w:after="0" w:line="230" w:lineRule="auto"/>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tenant security deposits.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Liabilities of the Consolidated Funds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of the consolidated funds consisted of the following as of March 31, 2025 and December 31, 2024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8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Deposits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1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liabilities</w:t>
            </w:r>
          </w:p>
        </w:tc>
        <w:tc>
          <w:tcPr>
            <w:tcW w:w="172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0"/>
        </w:trPr>
        <w:tc>
          <w:tcPr>
            <w:tcW w:w="68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180" w:hanging="172"/>
        <w:spacing w:after="0" w:line="230" w:lineRule="auto"/>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hotel advance deposits and tenant security and pet deposits.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Supplemental Cash Flow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  for  the  three  months  ended  March  31,  2025  and  2024  (in  thousands):</w:t>
      </w:r>
    </w:p>
    <w:p>
      <w:pPr>
        <w:spacing w:after="0" w:line="46"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19685</wp:posOffset>
            </wp:positionV>
            <wp:extent cx="28117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7700"/>
        <w:spacing w:after="0"/>
        <w:tabs>
          <w:tab w:leader="none" w:pos="99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paid for interest, none of which was capitalized for the three months ended March</w:t>
      </w:r>
    </w:p>
    <w:p>
      <w:pPr>
        <w:spacing w:after="0" w:line="27" w:lineRule="exact"/>
        <w:rPr>
          <w:sz w:val="20"/>
          <w:szCs w:val="20"/>
          <w:color w:val="auto"/>
        </w:rPr>
      </w:pPr>
    </w:p>
    <w:p>
      <w:pPr>
        <w:ind w:left="140"/>
        <w:spacing w:after="0"/>
        <w:tabs>
          <w:tab w:leader="none" w:pos="6820" w:val="left"/>
        </w:tabs>
        <w:rPr>
          <w:sz w:val="20"/>
          <w:szCs w:val="20"/>
          <w:color w:val="auto"/>
        </w:rPr>
      </w:pPr>
      <w:r>
        <w:rPr>
          <w:rFonts w:ascii="Times New Roman" w:cs="Times New Roman" w:eastAsia="Times New Roman" w:hAnsi="Times New Roman"/>
          <w:sz w:val="18"/>
          <w:szCs w:val="18"/>
          <w:color w:val="auto"/>
        </w:rPr>
        <w:t>31, 2025 and 2024, respectively</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Non-cash bonus settlement via employee accounts receivable offset</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 of Consolidated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 w:lineRule="exact"/>
        <w:rPr>
          <w:sz w:val="20"/>
          <w:szCs w:val="20"/>
          <w:color w:val="auto"/>
        </w:rPr>
      </w:pPr>
    </w:p>
    <w:p>
      <w:pPr>
        <w:ind w:left="140" w:right="1240"/>
        <w:spacing w:after="0" w:line="282" w:lineRule="auto"/>
        <w:rPr>
          <w:sz w:val="20"/>
          <w:szCs w:val="20"/>
          <w:color w:val="auto"/>
        </w:rPr>
      </w:pPr>
      <w:r>
        <w:rPr>
          <w:rFonts w:ascii="Times New Roman" w:cs="Times New Roman" w:eastAsia="Times New Roman" w:hAnsi="Times New Roman"/>
          <w:sz w:val="18"/>
          <w:szCs w:val="18"/>
          <w:color w:val="auto"/>
        </w:rPr>
        <w:t>Cash paid for interest, net of capitalized interest of $1 and $2 for the three months ended March 31, 2025 and 2024, respectively</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tabs>
          <w:tab w:leader="none" w:pos="640" w:val="left"/>
          <w:tab w:leader="none" w:pos="2280" w:val="left"/>
        </w:tabs>
        <w:rPr>
          <w:sz w:val="20"/>
          <w:szCs w:val="20"/>
          <w:color w:val="auto"/>
        </w:rPr>
      </w:pPr>
      <w:r>
        <w:rPr>
          <w:rFonts w:ascii="Times New Roman" w:cs="Times New Roman" w:eastAsia="Times New Roman" w:hAnsi="Times New Roman"/>
          <w:sz w:val="18"/>
          <w:szCs w:val="18"/>
          <w:color w:val="auto"/>
        </w:rPr>
        <w:t>1,464</w:t>
        <w:tab/>
        <w:t>$</w:t>
      </w:r>
      <w:r>
        <w:rPr>
          <w:sz w:val="20"/>
          <w:szCs w:val="20"/>
          <w:color w:val="auto"/>
        </w:rPr>
        <w:tab/>
      </w:r>
      <w:r>
        <w:rPr>
          <w:rFonts w:ascii="Times New Roman" w:cs="Times New Roman" w:eastAsia="Times New Roman" w:hAnsi="Times New Roman"/>
          <w:sz w:val="17"/>
          <w:szCs w:val="17"/>
          <w:color w:val="auto"/>
        </w:rPr>
        <w:t>1,254</w:t>
      </w:r>
    </w:p>
    <w:p>
      <w:pPr>
        <w:spacing w:after="0" w:line="63" w:lineRule="exact"/>
        <w:rPr>
          <w:sz w:val="20"/>
          <w:szCs w:val="20"/>
          <w:color w:val="auto"/>
        </w:rPr>
      </w:pPr>
    </w:p>
    <w:p>
      <w:pPr>
        <w:ind w:left="180"/>
        <w:spacing w:after="0"/>
        <w:tabs>
          <w:tab w:leader="none" w:pos="24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left="140"/>
        <w:spacing w:after="0"/>
        <w:tabs>
          <w:tab w:leader="none" w:pos="2280" w:val="left"/>
        </w:tabs>
        <w:rPr>
          <w:sz w:val="20"/>
          <w:szCs w:val="20"/>
          <w:color w:val="auto"/>
        </w:rPr>
      </w:pPr>
      <w:r>
        <w:rPr>
          <w:rFonts w:ascii="Times New Roman" w:cs="Times New Roman" w:eastAsia="Times New Roman" w:hAnsi="Times New Roman"/>
          <w:sz w:val="17"/>
          <w:szCs w:val="17"/>
          <w:color w:val="auto"/>
        </w:rPr>
        <w:t>667</w:t>
      </w:r>
      <w:r>
        <w:rPr>
          <w:sz w:val="20"/>
          <w:szCs w:val="20"/>
          <w:color w:val="auto"/>
        </w:rPr>
        <w:tab/>
      </w:r>
      <w:r>
        <w:rPr>
          <w:rFonts w:ascii="Times New Roman" w:cs="Times New Roman" w:eastAsia="Times New Roman" w:hAnsi="Times New Roman"/>
          <w:sz w:val="17"/>
          <w:szCs w:val="17"/>
          <w:color w:val="auto"/>
        </w:rPr>
        <w:t>3,488</w:t>
      </w:r>
    </w:p>
    <w:p>
      <w:pPr>
        <w:spacing w:after="0" w:line="247" w:lineRule="exact"/>
        <w:rPr>
          <w:sz w:val="20"/>
          <w:szCs w:val="20"/>
          <w:color w:val="auto"/>
        </w:rPr>
      </w:pPr>
    </w:p>
    <w:p>
      <w:pPr>
        <w:sectPr>
          <w:pgSz w:w="11900" w:h="16838" w:orient="portrait"/>
          <w:cols w:equalWidth="0" w:num="2">
            <w:col w:w="7740" w:space="720"/>
            <w:col w:w="2780"/>
          </w:cols>
          <w:pgMar w:left="320" w:top="121" w:right="339" w:bottom="144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5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note receivable - related party due to deconsolidation of VIEs</w:t>
            </w:r>
          </w:p>
        </w:tc>
        <w:tc>
          <w:tcPr>
            <w:tcW w:w="25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investments in unconsolidated entities due to deconsolidation of VIEs</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w:t>
            </w: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real estate investments included in accounts payable</w:t>
            </w:r>
          </w:p>
        </w:tc>
        <w:tc>
          <w:tcPr>
            <w:tcW w:w="25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entities for investor buy-out</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443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in lieu of cash payment for accounts payable</w:t>
            </w:r>
          </w:p>
        </w:tc>
        <w:tc>
          <w:tcPr>
            <w:tcW w:w="25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note rollovers</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4,760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Conversion of corporate note to preferred stock, including warrants</w:t>
            </w:r>
          </w:p>
        </w:tc>
        <w:tc>
          <w:tcPr>
            <w:tcW w:w="25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350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note increase due to rollovers, net of discounts</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215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issuance of convertible note and related common stock</w:t>
            </w:r>
          </w:p>
        </w:tc>
        <w:tc>
          <w:tcPr>
            <w:tcW w:w="25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89</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warrants related to common stock</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75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 of</w:t>
            </w:r>
          </w:p>
        </w:tc>
        <w:tc>
          <w:tcPr>
            <w:tcW w:w="25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41"/>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5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2"/>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note receivable - related party due to deconsolidation of VIEs</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notes receivable - related party due to payment of accounts payable</w:t>
            </w:r>
          </w:p>
        </w:tc>
        <w:tc>
          <w:tcPr>
            <w:tcW w:w="25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real estate investments included in accounts payable</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real estate investments included in due to related parties</w:t>
            </w:r>
          </w:p>
        </w:tc>
        <w:tc>
          <w:tcPr>
            <w:tcW w:w="25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Deconsolidation of VIEs</w:t>
            </w:r>
          </w:p>
        </w:tc>
        <w:tc>
          <w:tcPr>
            <w:tcW w:w="25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5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83,282</w:t>
            </w: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25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w:t>
            </w: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5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to related parties</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payable, net</w:t>
            </w:r>
          </w:p>
        </w:tc>
        <w:tc>
          <w:tcPr>
            <w:tcW w:w="25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82,024</w:t>
            </w: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w:t>
            </w: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5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w:t>
            </w: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w:t>
            </w: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5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40,787</w:t>
            </w:r>
          </w:p>
        </w:tc>
      </w:tr>
      <w:tr>
        <w:trPr>
          <w:trHeight w:val="729"/>
        </w:trPr>
        <w:tc>
          <w:tcPr>
            <w:tcW w:w="72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30</w:t>
            </w:r>
          </w:p>
        </w:tc>
        <w:tc>
          <w:tcPr>
            <w:tcW w:w="25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72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ownership and operation of real estate assets, the Company may potentially be liable for costs and damages related to environmental matters. The Company believes it is in material compliance with current laws and regulations and does not know of any existing environmental condition nor has it been notified by any governmental authority of any non-compliance, liability or other claim, in each case, that could result in a material effect on our financial condition or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Caliber Tax Advantaged Opportunity Fund LP</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Caliber O-Zone Fund Manager, LLC (the “CTAF Fund Manager”) is a wholly-owned subsidiary of the Company and general partner and manager of Caliber Tax Advantaged Opportunity Fund LP (“CTAF”). In the event of a dissolution, winding-up, or termination, if the aggregate amount received by the CTAF limited partners does not equal or exceed an amount equal to a 6% IRR for the limited partners, the CTAF Fund Manager shall immediately contribute to CTAF funds in order to meet this minimum requirement for payment to the CTAF limited partners. As of March 31, 2025 and December 31, 2024, the Company estimated the fair value of CTAF was less than the 6% IRR for the limited partners.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Caliber Tax Advantaged Opportunity Fund II LLC</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Caliber O-Zone Fund II Manager, LLC (the “CTAF II Fund Manager”) is a wholly-owned subsidiary of the Company and general partner and manager of Caliber Tax Advantaged Opportunity Zone Fund II LLC (“CTAF II”). In the event of a dissolution, winding-up, or termination, if the aggregate amount received by the CTAF II investor members does not equal or exceed an amount equal to a 6% IRR for the investor members, the CTAF II Fund Manager shall immediately contribute to CTAF II funds in order to meet this minimum requirement for payment to the CTAF II investor members. As of March 31, 2025 and December 31, 2024, the Company estimated the fair value of CTAF II was less than the 6% IRR for the investor members.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of the Consolidated Funds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Agreements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funds consolidated during the three months ended March 31, 2025 and 2024, are parties to franchise agreements where the fund is required to pay monthly fees, generally consisting of royalty, program, and food and beverage fees. At March 31, 2025, the consolidated hospitality fund is a party to a franchise agreement that expires in November 2026. The consolidated funds recognized total franchise fees of $0.3 million and $2.4 million for the three months ended March 31, 2025 and 2024,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Net Income (Loss) Per Share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(loss) attributable to common stockholders by the weighted average common shares outstanding during the period. Diluted earnings per share is calculated by dividing net income attributable to common shareholders by the weighted-average number of shares outstanding plus the dilutive impact of all potential dilutive common shares, consisting of stock options and warrants using the treasury stock method, and convertible debt and preferred stock using the if-converted method.</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considered the two-class method in calculating the basic and diluted earnings per share; however, it was determined there was no impact to the calculation of basic and diluted net income (loss) per share attributable to common shareholders as Class A and Class B common stock share in the same earnings and profits; thus, having no impact on the calculation.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share and per share amounts in the earnings per share calculation and dilutive share calculations below have been effected for the Reverse Stock Split, retroactively, for all periods presented.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calculated the basic and diluted earnings per share during the three months ended March 31, 2025 and 2024 as follows (in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7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23"/>
        </w:trPr>
        <w:tc>
          <w:tcPr>
            <w:tcW w:w="6820" w:type="dxa"/>
            <w:vAlign w:val="bottom"/>
            <w:tcBorders>
              <w:bottom w:val="single" w:sz="8" w:color="CCEDFF"/>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CCEDFF"/>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r>
      <w:tr>
        <w:trPr>
          <w:trHeight w:val="210"/>
        </w:trPr>
        <w:tc>
          <w:tcPr>
            <w:tcW w:w="682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20" w:type="dxa"/>
            <w:vAlign w:val="bottom"/>
            <w:shd w:val="clear" w:color="auto" w:fill="CCEDFF"/>
          </w:tcPr>
          <w:p>
            <w:pPr>
              <w:spacing w:after="0"/>
              <w:rPr>
                <w:sz w:val="18"/>
                <w:szCs w:val="18"/>
                <w:color w:val="auto"/>
              </w:rPr>
            </w:pPr>
          </w:p>
        </w:tc>
        <w:tc>
          <w:tcPr>
            <w:tcW w:w="720" w:type="dxa"/>
            <w:vAlign w:val="bottom"/>
            <w:shd w:val="clear" w:color="auto" w:fill="CCEDFF"/>
          </w:tcPr>
          <w:p>
            <w:pPr>
              <w:spacing w:after="0"/>
              <w:rPr>
                <w:sz w:val="18"/>
                <w:szCs w:val="18"/>
                <w:color w:val="auto"/>
              </w:rPr>
            </w:pPr>
          </w:p>
        </w:tc>
        <w:tc>
          <w:tcPr>
            <w:tcW w:w="140" w:type="dxa"/>
            <w:vAlign w:val="bottom"/>
            <w:shd w:val="clear" w:color="auto" w:fill="CCEDFF"/>
          </w:tcPr>
          <w:p>
            <w:pPr>
              <w:spacing w:after="0"/>
              <w:rPr>
                <w:sz w:val="18"/>
                <w:szCs w:val="18"/>
                <w:color w:val="auto"/>
              </w:rPr>
            </w:pPr>
          </w:p>
        </w:tc>
        <w:tc>
          <w:tcPr>
            <w:tcW w:w="1420" w:type="dxa"/>
            <w:vAlign w:val="bottom"/>
            <w:shd w:val="clear" w:color="auto" w:fill="CCEDFF"/>
          </w:tcPr>
          <w:p>
            <w:pPr>
              <w:spacing w:after="0"/>
              <w:rPr>
                <w:sz w:val="18"/>
                <w:szCs w:val="18"/>
                <w:color w:val="auto"/>
              </w:rPr>
            </w:pPr>
          </w:p>
        </w:tc>
        <w:tc>
          <w:tcPr>
            <w:tcW w:w="720" w:type="dxa"/>
            <w:vAlign w:val="bottom"/>
            <w:shd w:val="clear" w:color="auto" w:fill="CCEDFF"/>
          </w:tcPr>
          <w:p>
            <w:pPr>
              <w:spacing w:after="0"/>
              <w:rPr>
                <w:sz w:val="18"/>
                <w:szCs w:val="18"/>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CaliberCos Inc.</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4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29"/>
        </w:trPr>
        <w:tc>
          <w:tcPr>
            <w:tcW w:w="682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Convertible debt interest</w:t>
            </w:r>
          </w:p>
        </w:tc>
        <w:tc>
          <w:tcPr>
            <w:tcW w:w="1420" w:type="dxa"/>
            <w:vAlign w:val="bottom"/>
            <w:tcBorders>
              <w:bottom w:val="single" w:sz="8" w:color="auto"/>
            </w:tcBorders>
            <w:shd w:val="clear" w:color="auto" w:fill="CCEDFF"/>
          </w:tcPr>
          <w:p>
            <w:pPr>
              <w:spacing w:after="0"/>
              <w:rPr>
                <w:sz w:val="19"/>
                <w:szCs w:val="19"/>
                <w:color w:val="auto"/>
              </w:rPr>
            </w:pPr>
          </w:p>
        </w:tc>
        <w:tc>
          <w:tcPr>
            <w:tcW w:w="7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DFF"/>
          </w:tcPr>
          <w:p>
            <w:pPr>
              <w:spacing w:after="0"/>
              <w:rPr>
                <w:sz w:val="19"/>
                <w:szCs w:val="19"/>
                <w:color w:val="auto"/>
              </w:rPr>
            </w:pPr>
          </w:p>
        </w:tc>
        <w:tc>
          <w:tcPr>
            <w:tcW w:w="1420" w:type="dxa"/>
            <w:vAlign w:val="bottom"/>
            <w:tcBorders>
              <w:bottom w:val="single" w:sz="8" w:color="auto"/>
            </w:tcBorders>
            <w:shd w:val="clear" w:color="auto" w:fill="CCEDFF"/>
          </w:tcPr>
          <w:p>
            <w:pPr>
              <w:spacing w:after="0"/>
              <w:rPr>
                <w:sz w:val="19"/>
                <w:szCs w:val="19"/>
                <w:color w:val="auto"/>
              </w:rPr>
            </w:pPr>
          </w:p>
        </w:tc>
        <w:tc>
          <w:tcPr>
            <w:tcW w:w="7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attributable to common shareholders of CaliberCos Inc.</w:t>
            </w: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w:t>
            </w:r>
          </w:p>
        </w:tc>
      </w:tr>
      <w:tr>
        <w:trPr>
          <w:trHeight w:val="20"/>
        </w:trPr>
        <w:tc>
          <w:tcPr>
            <w:tcW w:w="6820" w:type="dxa"/>
            <w:vAlign w:val="bottom"/>
            <w:tcBorders>
              <w:bottom w:val="single" w:sz="8" w:color="CCED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D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7"/>
        </w:trPr>
        <w:tc>
          <w:tcPr>
            <w:tcW w:w="6820" w:type="dxa"/>
            <w:vAlign w:val="bottom"/>
            <w:shd w:val="clear" w:color="auto" w:fill="CCED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420" w:type="dxa"/>
            <w:vAlign w:val="bottom"/>
            <w:shd w:val="clear" w:color="auto" w:fill="CCEDFF"/>
          </w:tcPr>
          <w:p>
            <w:pPr>
              <w:spacing w:after="0"/>
              <w:rPr>
                <w:sz w:val="17"/>
                <w:szCs w:val="17"/>
                <w:color w:val="auto"/>
              </w:rPr>
            </w:pPr>
          </w:p>
        </w:tc>
        <w:tc>
          <w:tcPr>
            <w:tcW w:w="720" w:type="dxa"/>
            <w:vAlign w:val="bottom"/>
            <w:shd w:val="clear" w:color="auto" w:fill="CCEDFF"/>
          </w:tcPr>
          <w:p>
            <w:pPr>
              <w:spacing w:after="0"/>
              <w:rPr>
                <w:sz w:val="17"/>
                <w:szCs w:val="17"/>
                <w:color w:val="auto"/>
              </w:rPr>
            </w:pPr>
          </w:p>
        </w:tc>
        <w:tc>
          <w:tcPr>
            <w:tcW w:w="140" w:type="dxa"/>
            <w:vAlign w:val="bottom"/>
            <w:shd w:val="clear" w:color="auto" w:fill="CCEDFF"/>
          </w:tcPr>
          <w:p>
            <w:pPr>
              <w:spacing w:after="0"/>
              <w:rPr>
                <w:sz w:val="17"/>
                <w:szCs w:val="17"/>
                <w:color w:val="auto"/>
              </w:rPr>
            </w:pPr>
          </w:p>
        </w:tc>
        <w:tc>
          <w:tcPr>
            <w:tcW w:w="1420" w:type="dxa"/>
            <w:vAlign w:val="bottom"/>
            <w:shd w:val="clear" w:color="auto" w:fill="CCEDFF"/>
          </w:tcPr>
          <w:p>
            <w:pPr>
              <w:spacing w:after="0"/>
              <w:rPr>
                <w:sz w:val="17"/>
                <w:szCs w:val="17"/>
                <w:color w:val="auto"/>
              </w:rPr>
            </w:pPr>
          </w:p>
        </w:tc>
        <w:tc>
          <w:tcPr>
            <w:tcW w:w="720" w:type="dxa"/>
            <w:vAlign w:val="bottom"/>
            <w:shd w:val="clear" w:color="auto" w:fill="CCEDFF"/>
          </w:tcPr>
          <w:p>
            <w:pPr>
              <w:spacing w:after="0"/>
              <w:rPr>
                <w:sz w:val="17"/>
                <w:szCs w:val="17"/>
                <w:color w:val="auto"/>
              </w:rPr>
            </w:pPr>
          </w:p>
        </w:tc>
      </w:tr>
      <w:tr>
        <w:trPr>
          <w:trHeight w:val="203"/>
        </w:trPr>
        <w:tc>
          <w:tcPr>
            <w:tcW w:w="682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1,146</w:t>
            </w:r>
          </w:p>
        </w:tc>
        <w:tc>
          <w:tcPr>
            <w:tcW w:w="14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1,077</w:t>
            </w:r>
          </w:p>
        </w:tc>
      </w:tr>
      <w:tr>
        <w:trPr>
          <w:trHeight w:val="20"/>
        </w:trPr>
        <w:tc>
          <w:tcPr>
            <w:tcW w:w="6820" w:type="dxa"/>
            <w:vAlign w:val="bottom"/>
            <w:tcBorders>
              <w:bottom w:val="single" w:sz="8" w:color="CCED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D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6820" w:type="dxa"/>
            <w:vAlign w:val="bottom"/>
            <w:shd w:val="clear" w:color="auto" w:fill="CCEDFF"/>
          </w:tcPr>
          <w:p>
            <w:pPr>
              <w:spacing w:after="0"/>
              <w:rPr>
                <w:sz w:val="20"/>
                <w:szCs w:val="20"/>
                <w:color w:val="auto"/>
              </w:rPr>
            </w:pPr>
          </w:p>
        </w:tc>
        <w:tc>
          <w:tcPr>
            <w:tcW w:w="1420" w:type="dxa"/>
            <w:vAlign w:val="bottom"/>
            <w:shd w:val="clear" w:color="auto" w:fill="CCEDFF"/>
          </w:tcPr>
          <w:p>
            <w:pPr>
              <w:spacing w:after="0"/>
              <w:rPr>
                <w:sz w:val="20"/>
                <w:szCs w:val="20"/>
                <w:color w:val="auto"/>
              </w:rPr>
            </w:pPr>
          </w:p>
        </w:tc>
        <w:tc>
          <w:tcPr>
            <w:tcW w:w="72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1420" w:type="dxa"/>
            <w:vAlign w:val="bottom"/>
            <w:shd w:val="clear" w:color="auto" w:fill="CCEDFF"/>
          </w:tcPr>
          <w:p>
            <w:pPr>
              <w:spacing w:after="0"/>
              <w:rPr>
                <w:sz w:val="20"/>
                <w:szCs w:val="20"/>
                <w:color w:val="auto"/>
              </w:rPr>
            </w:pPr>
          </w:p>
        </w:tc>
        <w:tc>
          <w:tcPr>
            <w:tcW w:w="720" w:type="dxa"/>
            <w:vAlign w:val="bottom"/>
            <w:shd w:val="clear" w:color="auto" w:fill="CCEDFF"/>
          </w:tcPr>
          <w:p>
            <w:pPr>
              <w:spacing w:after="0"/>
              <w:rPr>
                <w:sz w:val="20"/>
                <w:szCs w:val="20"/>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shareholders</w:t>
            </w: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1"/>
        </w:trPr>
        <w:tc>
          <w:tcPr>
            <w:tcW w:w="68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antidilutive shares consisted of the potential exercise of stock options and potential conversion of convertible debt. The following table summarizes these potential exercises and conversions during the three months ended March 31, 2025 and 2024, which have been excluded from the computation of diluted earnings per share attributable to common shareholders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442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82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common shares, if stock options were exercised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common shares, if warrants were exercised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common shares, if preferred shares were converted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common shares, if convertible debt were converted</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68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of Financial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of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of financial instruments held by the Company are estimated using available market information and established valuation methodologies.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estimates presented are not necessarily indicative of the amounts the Company could realize on disposition of the financial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 of different market assumptions and/or valuation methodologies may have a material effect on the estimated fair value amounts.</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fair value of the Company’s fixed rate debt were measured with Level 2 inputs. The estimated fair value of the Company’s real estate loans was determined by management based on a discounted future cash-flow model. As of March 31, 2025, the Company’s real estate loans had a carrying value of $17.0 million and a fair value of $14.1 million. As of December 31, 2024, the Company’s real estate loans had a carrying value of $15.9 million and a fair value of $12.6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of the Consolidated Funds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values of financial instruments held by consolidated funds are estimated using available market information and established valuation methodologies. Accordingly, the estimates presented are not necessarily indicative of the amounts the consolidated funds could realize on disposition of the financial instruments. The use of different market assumptions and/or valuation methodologies may have a material effect on the estimated fair value amounts.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approximate fair value due to the short-term nature of the instruments consist of cash, restricted cash, accounts receivable, and accounts payable. The fair values of debt, advance key money, and interest rate caps have been estimated based on current rates available for similar instruments with similar terms, maturities, and collateral. The carrying values of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funds’ variable rate debt and advance key money as of March 31, 2025 and December 31, 2024, approximated fair value. The fair value of the consolidated funds’ fixed rate debt were measured with Level 2 inputs. The estimated fair values for the instruments below were determined by management based on a discounted future cash-flow model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9"/>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Payable</w:t>
            </w:r>
          </w:p>
        </w:tc>
        <w:tc>
          <w:tcPr>
            <w:tcW w:w="300" w:type="dxa"/>
            <w:vAlign w:val="bottom"/>
          </w:tcPr>
          <w:p>
            <w:pPr>
              <w:spacing w:after="0"/>
              <w:rPr>
                <w:sz w:val="14"/>
                <w:szCs w:val="14"/>
                <w:color w:val="auto"/>
              </w:rPr>
            </w:pPr>
          </w:p>
        </w:tc>
        <w:tc>
          <w:tcPr>
            <w:tcW w:w="1560" w:type="dxa"/>
            <w:vAlign w:val="bottom"/>
            <w:gridSpan w:val="2"/>
          </w:tcPr>
          <w:p>
            <w:pPr>
              <w:jc w:val="center"/>
              <w:ind w:right="44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80" w:type="dxa"/>
            <w:vAlign w:val="bottom"/>
          </w:tcPr>
          <w:p>
            <w:pPr>
              <w:spacing w:after="0"/>
              <w:rPr>
                <w:sz w:val="14"/>
                <w:szCs w:val="14"/>
                <w:color w:val="auto"/>
              </w:rPr>
            </w:pPr>
          </w:p>
        </w:tc>
        <w:tc>
          <w:tcPr>
            <w:tcW w:w="1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14"/>
                <w:szCs w:val="14"/>
                <w:color w:val="auto"/>
              </w:rPr>
            </w:pPr>
          </w:p>
        </w:tc>
        <w:tc>
          <w:tcPr>
            <w:tcW w:w="1540" w:type="dxa"/>
            <w:vAlign w:val="bottom"/>
            <w:gridSpan w:val="2"/>
          </w:tcPr>
          <w:p>
            <w:pPr>
              <w:jc w:val="center"/>
              <w:ind w:right="4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80" w:type="dxa"/>
            <w:vAlign w:val="bottom"/>
          </w:tcPr>
          <w:p>
            <w:pPr>
              <w:spacing w:after="0"/>
              <w:rPr>
                <w:sz w:val="14"/>
                <w:szCs w:val="14"/>
                <w:color w:val="auto"/>
              </w:rPr>
            </w:pPr>
          </w:p>
        </w:tc>
        <w:tc>
          <w:tcPr>
            <w:tcW w:w="14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39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80" w:type="dxa"/>
            <w:vAlign w:val="bottom"/>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8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Southpointe Fundco, LLC</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34"/>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Frontier, LLC</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Derivative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Objective of Using Derivatives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consolidated funds utilize derivative instruments, including interest rate caps and swaps, to reduce interest rate risk associated with its borrowings. Our consolidated funds do not intend to utilize derivatives for purposes other than interest rate risk management.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the Company did not have any derivatives designated as hedging instruments.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the Company did not have any non-designated derivatives.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gain or loss recognized in consolidated funds - hospitality expenses in the consolidated statements of operations for three months ended March 31, 2025 and 2024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23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Type of Derivative</w:t>
            </w:r>
          </w:p>
        </w:tc>
        <w:tc>
          <w:tcPr>
            <w:tcW w:w="454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Statement of Operations Location</w:t>
            </w:r>
          </w:p>
        </w:tc>
        <w:tc>
          <w:tcPr>
            <w:tcW w:w="500" w:type="dxa"/>
            <w:vAlign w:val="bottom"/>
          </w:tcPr>
          <w:p>
            <w:pPr>
              <w:spacing w:after="0"/>
              <w:rPr>
                <w:sz w:val="20"/>
                <w:szCs w:val="20"/>
                <w:color w:val="auto"/>
              </w:rPr>
            </w:pPr>
          </w:p>
        </w:tc>
        <w:tc>
          <w:tcPr>
            <w:tcW w:w="1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1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1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23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rate cap </w:t>
            </w:r>
            <w:r>
              <w:rPr>
                <w:rFonts w:ascii="Times New Roman" w:cs="Times New Roman" w:eastAsia="Times New Roman" w:hAnsi="Times New Roman"/>
                <w:sz w:val="23"/>
                <w:szCs w:val="23"/>
                <w:color w:val="auto"/>
                <w:vertAlign w:val="superscript"/>
              </w:rPr>
              <w:t>(2)</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500" w:type="dxa"/>
            <w:vAlign w:val="bottom"/>
          </w:tcPr>
          <w:p>
            <w:pPr>
              <w:spacing w:after="0"/>
              <w:rPr>
                <w:sz w:val="19"/>
                <w:szCs w:val="19"/>
                <w:color w:val="auto"/>
              </w:rPr>
            </w:pPr>
          </w:p>
        </w:tc>
        <w:tc>
          <w:tcPr>
            <w:tcW w:w="17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4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(35)</w:t>
            </w:r>
          </w:p>
        </w:tc>
      </w:tr>
      <w:tr>
        <w:trPr>
          <w:trHeight w:val="248"/>
        </w:trPr>
        <w:tc>
          <w:tcPr>
            <w:tcW w:w="2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180" w:hanging="172"/>
        <w:spacing w:after="0" w:line="230" w:lineRule="auto"/>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interest rate swap was terminated during the second quarter of 2024.</w:t>
      </w:r>
    </w:p>
    <w:p>
      <w:pPr>
        <w:spacing w:after="0" w:line="2" w:lineRule="exact"/>
        <w:rPr>
          <w:rFonts w:ascii="Times New Roman" w:cs="Times New Roman" w:eastAsia="Times New Roman" w:hAnsi="Times New Roman"/>
          <w:sz w:val="22"/>
          <w:szCs w:val="22"/>
          <w:color w:val="auto"/>
          <w:vertAlign w:val="superscript"/>
        </w:rPr>
      </w:pPr>
    </w:p>
    <w:p>
      <w:pPr>
        <w:ind w:left="260" w:right="20" w:hanging="252"/>
        <w:spacing w:after="0" w:line="219" w:lineRule="auto"/>
        <w:tabs>
          <w:tab w:leader="none" w:pos="204"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March 31, 2024, the Company deconsolidated Caliber Hospitality, LP and the Caliber Hospitality Trust, which included activity from six hospitality funds.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Preferred Stock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Company entered in to an offering agreement to issue up to $15.0 million, of Series A Convertible Preferred Stock (“Series A Preferred”) and warrants to purchase its Class A Common Stock (“Common Stock”), with a stated value of $20 per share and a 12% annual, non-cumulative dividend payable annually in cash or shares of common stock, at the Company’s discretion.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A Preferred is convertible anytime at the option of the stockholder, in four sequential tranches. Each tranche allows the stockholder to convert up to 25% of its initial investment, beginning at a conversion price $10.23 per share of Common Stock, and increasing in 50% increments for each successive tranche. Each tranche of Series A Preferred is mandatorily convertible if the market price of Common Stock is 200% higher than any respective tranche’s conversion price for 20 of 30 consecutive Trading Days.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5,875 and 5,000 shares, respectively, of its Series A Preferred stock issued and outstanding, representing additional paid-in capital of $2.4 million and $2.0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Reverse Stock Split, the Company had warrants outstanding to purchase a total of 2,201,123 shares of Class A common stock, at weighted average exercise price of $0.96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Reverse Stock Split, and pursuant to the terms of the applicable warrant agreement, the number of warrants outstanding to purchase a share of Class A Common Stock was proportionately decreased at a 20:1 ratio consistent with the increase 20:1 increase in the price of a share of Class A Common Stock. There was no change to the value of the warrant as a result of this adjustment.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warrant disclosure has been effected for the Reverse Stock Split.</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issues warrants for the purchase of its Class A Common Stock, either as stand-alone transactions or combined with other debt and/or equity instruments. The warrants may be exercised up to the fifth anniversary of their origination date and transferred independently at any time. Using the Black-Scholes model, the Company estimates the relative fair value of warrants on the date of issuance. The relative fair value of warrants is included in Paid-in capital on the condensed consolidated balance sheets dated March 31, 2025. As of March 31, 2025 and December 31, 2024, the Company had warrants outstanding to purchase 110,065 and 52,943 shares of Class A Common Stock, with a weighted average exercise price per share of $19.18 and $16.41, and weighted average remaining exercise periods of 4.8 and 4.7 years,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through one operating segment, its asset management platform which it refers to simply as “Platform”. The Company’s chief operating decision maker (“CODM”) is its Chief Executive Officer, John C. Loeffler. The Company’s CODM assesses performance and allocates resources based on the results of Platform operations,</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CODM assesses revenue, operating costs and key operating statistics to evaluate performance and allocate resources on a basis that eliminates the impact of the consolidated investment funds (intercompany eliminations required by U.S. GAAP) and noncontrolling interests. Operating costs consist primarily of payroll related costs that are provided quarterly to the CODM. Platform payroll and payroll related costs were $3.7 million and $4.8 million for the three months ended March 31, 2025 and 2024, respectively. Management concluded that the consolidated investment funds do not meet the requirements in ASC 280, Segment Reporting, of operating segments, as the Company’s CODM does not review, nor is he provided with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the Company was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and 2024, total revenues were $3.5 million and $4.7 million, respectively, representing a period-over-period decrease of 24.9%. The table below (in thousands) compares the revenues earned for providing services under the Company’s asset management Platform as described in the Revenue Recognition section of Note 2 – Summary of Significant Accounting Policies for the three months ended March 31, 2025, to the revenues earned for the same period in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7"/>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0" w:type="dxa"/>
            <w:vAlign w:val="bottom"/>
          </w:tcPr>
          <w:p>
            <w:pPr>
              <w:spacing w:after="0"/>
              <w:rPr>
                <w:sz w:val="1"/>
                <w:szCs w:val="1"/>
                <w:color w:val="auto"/>
              </w:rPr>
            </w:pPr>
          </w:p>
        </w:tc>
      </w:tr>
      <w:tr>
        <w:trPr>
          <w:trHeight w:val="174"/>
        </w:trPr>
        <w:tc>
          <w:tcPr>
            <w:tcW w:w="40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20" w:type="dxa"/>
            <w:vAlign w:val="bottom"/>
          </w:tcPr>
          <w:p>
            <w:pPr>
              <w:spacing w:after="0"/>
              <w:rPr>
                <w:sz w:val="15"/>
                <w:szCs w:val="15"/>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20" w:type="dxa"/>
            <w:vAlign w:val="bottom"/>
            <w:tcBorders>
              <w:top w:val="single" w:sz="8" w:color="CCEDFF"/>
            </w:tcBorders>
            <w:shd w:val="clear" w:color="auto" w:fill="CCEDFF"/>
          </w:tcPr>
          <w:p>
            <w:pPr>
              <w:spacing w:after="0"/>
              <w:rPr>
                <w:sz w:val="18"/>
                <w:szCs w:val="18"/>
                <w:color w:val="auto"/>
              </w:rPr>
            </w:pPr>
          </w:p>
        </w:tc>
        <w:tc>
          <w:tcPr>
            <w:tcW w:w="1240" w:type="dxa"/>
            <w:vAlign w:val="bottom"/>
            <w:tcBorders>
              <w:top w:val="single" w:sz="8" w:color="auto"/>
            </w:tcBorders>
            <w:shd w:val="clear" w:color="auto" w:fill="CCEDFF"/>
          </w:tcPr>
          <w:p>
            <w:pPr>
              <w:spacing w:after="0"/>
              <w:rPr>
                <w:sz w:val="18"/>
                <w:szCs w:val="18"/>
                <w:color w:val="auto"/>
              </w:rPr>
            </w:pPr>
          </w:p>
        </w:tc>
        <w:tc>
          <w:tcPr>
            <w:tcW w:w="50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20" w:type="dxa"/>
            <w:vAlign w:val="bottom"/>
            <w:tcBorders>
              <w:top w:val="single" w:sz="8" w:color="auto"/>
            </w:tcBorders>
            <w:shd w:val="clear" w:color="auto" w:fill="CCEDFF"/>
          </w:tcPr>
          <w:p>
            <w:pPr>
              <w:spacing w:after="0"/>
              <w:rPr>
                <w:sz w:val="18"/>
                <w:szCs w:val="18"/>
                <w:color w:val="auto"/>
              </w:rPr>
            </w:pPr>
          </w:p>
        </w:tc>
        <w:tc>
          <w:tcPr>
            <w:tcW w:w="1500" w:type="dxa"/>
            <w:vAlign w:val="bottom"/>
            <w:tcBorders>
              <w:top w:val="single" w:sz="8" w:color="auto"/>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296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2,744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30"/>
        </w:trPr>
        <w:tc>
          <w:tcPr>
            <w:tcW w:w="40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720" w:type="dxa"/>
            <w:vAlign w:val="bottom"/>
            <w:shd w:val="clear" w:color="auto" w:fill="CCEDFF"/>
          </w:tcPr>
          <w:p>
            <w:pPr>
              <w:spacing w:after="0"/>
              <w:rPr>
                <w:sz w:val="19"/>
                <w:szCs w:val="19"/>
                <w:color w:val="auto"/>
              </w:rPr>
            </w:pPr>
          </w:p>
        </w:tc>
        <w:tc>
          <w:tcPr>
            <w:tcW w:w="1240" w:type="dxa"/>
            <w:vAlign w:val="bottom"/>
            <w:shd w:val="clear" w:color="auto" w:fill="CCEDFF"/>
          </w:tcPr>
          <w:p>
            <w:pPr>
              <w:spacing w:after="0"/>
              <w:rPr>
                <w:sz w:val="19"/>
                <w:szCs w:val="19"/>
                <w:color w:val="auto"/>
              </w:rPr>
            </w:pPr>
          </w:p>
        </w:tc>
        <w:tc>
          <w:tcPr>
            <w:tcW w:w="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30"/>
        </w:trPr>
        <w:tc>
          <w:tcPr>
            <w:tcW w:w="40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720" w:type="dxa"/>
            <w:vAlign w:val="bottom"/>
            <w:shd w:val="clear" w:color="auto" w:fill="CCEDFF"/>
          </w:tcPr>
          <w:p>
            <w:pPr>
              <w:spacing w:after="0"/>
              <w:rPr>
                <w:sz w:val="19"/>
                <w:szCs w:val="19"/>
                <w:color w:val="auto"/>
              </w:rPr>
            </w:pPr>
          </w:p>
        </w:tc>
        <w:tc>
          <w:tcPr>
            <w:tcW w:w="1240" w:type="dxa"/>
            <w:vAlign w:val="bottom"/>
            <w:tcBorders>
              <w:bottom w:val="single" w:sz="8" w:color="auto"/>
            </w:tcBorders>
            <w:shd w:val="clear" w:color="auto" w:fill="CCEDFF"/>
          </w:tcPr>
          <w:p>
            <w:pPr>
              <w:spacing w:after="0"/>
              <w:rPr>
                <w:sz w:val="19"/>
                <w:szCs w:val="19"/>
                <w:color w:val="auto"/>
              </w:rPr>
            </w:pPr>
          </w:p>
        </w:tc>
        <w:tc>
          <w:tcPr>
            <w:tcW w:w="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3"/>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 management</w:t>
            </w:r>
          </w:p>
        </w:tc>
        <w:tc>
          <w:tcPr>
            <w:tcW w:w="1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29"/>
        </w:trPr>
        <w:tc>
          <w:tcPr>
            <w:tcW w:w="406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720" w:type="dxa"/>
            <w:vAlign w:val="bottom"/>
            <w:shd w:val="clear" w:color="auto" w:fill="CCEDFF"/>
          </w:tcPr>
          <w:p>
            <w:pPr>
              <w:spacing w:after="0"/>
              <w:rPr>
                <w:sz w:val="19"/>
                <w:szCs w:val="19"/>
                <w:color w:val="auto"/>
              </w:rPr>
            </w:pPr>
          </w:p>
        </w:tc>
        <w:tc>
          <w:tcPr>
            <w:tcW w:w="1240" w:type="dxa"/>
            <w:vAlign w:val="bottom"/>
            <w:tcBorders>
              <w:bottom w:val="single" w:sz="8" w:color="auto"/>
            </w:tcBorders>
            <w:shd w:val="clear" w:color="auto" w:fill="CCEDFF"/>
          </w:tcPr>
          <w:p>
            <w:pPr>
              <w:spacing w:after="0"/>
              <w:rPr>
                <w:sz w:val="19"/>
                <w:szCs w:val="19"/>
                <w:color w:val="auto"/>
              </w:rPr>
            </w:pPr>
          </w:p>
        </w:tc>
        <w:tc>
          <w:tcPr>
            <w:tcW w:w="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Platform revenue</w:t>
            </w:r>
          </w:p>
        </w:tc>
        <w:tc>
          <w:tcPr>
            <w:tcW w:w="1720" w:type="dxa"/>
            <w:vAlign w:val="bottom"/>
          </w:tcPr>
          <w:p>
            <w:pPr>
              <w:spacing w:after="0"/>
              <w:rPr>
                <w:sz w:val="19"/>
                <w:szCs w:val="19"/>
                <w:color w:val="auto"/>
              </w:rPr>
            </w:pPr>
          </w:p>
        </w:tc>
        <w:tc>
          <w:tcPr>
            <w:tcW w:w="12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3,549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0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7"/>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0" w:type="dxa"/>
            <w:vAlign w:val="bottom"/>
          </w:tcPr>
          <w:p>
            <w:pPr>
              <w:spacing w:after="0"/>
              <w:rPr>
                <w:sz w:val="1"/>
                <w:szCs w:val="1"/>
                <w:color w:val="auto"/>
              </w:rPr>
            </w:pPr>
          </w:p>
        </w:tc>
      </w:tr>
      <w:tr>
        <w:trPr>
          <w:trHeight w:val="174"/>
        </w:trPr>
        <w:tc>
          <w:tcPr>
            <w:tcW w:w="57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20" w:type="dxa"/>
            <w:vAlign w:val="bottom"/>
          </w:tcPr>
          <w:p>
            <w:pPr>
              <w:spacing w:after="0"/>
              <w:rPr>
                <w:sz w:val="15"/>
                <w:szCs w:val="15"/>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40" w:type="dxa"/>
            <w:vAlign w:val="bottom"/>
            <w:tcBorders>
              <w:top w:val="single" w:sz="8" w:color="auto"/>
            </w:tcBorders>
            <w:shd w:val="clear" w:color="auto" w:fill="CCEDFF"/>
          </w:tcPr>
          <w:p>
            <w:pPr>
              <w:spacing w:after="0"/>
              <w:rPr>
                <w:sz w:val="18"/>
                <w:szCs w:val="18"/>
                <w:color w:val="auto"/>
              </w:rPr>
            </w:pPr>
          </w:p>
        </w:tc>
        <w:tc>
          <w:tcPr>
            <w:tcW w:w="50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20" w:type="dxa"/>
            <w:vAlign w:val="bottom"/>
            <w:tcBorders>
              <w:top w:val="single" w:sz="8" w:color="auto"/>
            </w:tcBorders>
            <w:shd w:val="clear" w:color="auto" w:fill="CCEDFF"/>
          </w:tcPr>
          <w:p>
            <w:pPr>
              <w:spacing w:after="0"/>
              <w:rPr>
                <w:sz w:val="18"/>
                <w:szCs w:val="18"/>
                <w:color w:val="auto"/>
              </w:rPr>
            </w:pPr>
          </w:p>
        </w:tc>
        <w:tc>
          <w:tcPr>
            <w:tcW w:w="1500" w:type="dxa"/>
            <w:vAlign w:val="bottom"/>
            <w:tcBorders>
              <w:top w:val="single" w:sz="8" w:color="auto"/>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2,569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29"/>
        </w:trPr>
        <w:tc>
          <w:tcPr>
            <w:tcW w:w="57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240" w:type="dxa"/>
            <w:vAlign w:val="bottom"/>
            <w:shd w:val="clear" w:color="auto" w:fill="CCEDFF"/>
          </w:tcPr>
          <w:p>
            <w:pPr>
              <w:spacing w:after="0"/>
              <w:rPr>
                <w:sz w:val="19"/>
                <w:szCs w:val="19"/>
                <w:color w:val="auto"/>
              </w:rPr>
            </w:pPr>
          </w:p>
        </w:tc>
        <w:tc>
          <w:tcPr>
            <w:tcW w:w="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30"/>
        </w:trPr>
        <w:tc>
          <w:tcPr>
            <w:tcW w:w="57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240" w:type="dxa"/>
            <w:vAlign w:val="bottom"/>
            <w:shd w:val="clear" w:color="auto" w:fill="CCEDFF"/>
          </w:tcPr>
          <w:p>
            <w:pPr>
              <w:spacing w:after="0"/>
              <w:rPr>
                <w:sz w:val="19"/>
                <w:szCs w:val="19"/>
                <w:color w:val="auto"/>
              </w:rPr>
            </w:pPr>
          </w:p>
        </w:tc>
        <w:tc>
          <w:tcPr>
            <w:tcW w:w="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3"/>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 management</w:t>
            </w:r>
          </w:p>
        </w:tc>
        <w:tc>
          <w:tcPr>
            <w:tcW w:w="1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4,555</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30"/>
        </w:trPr>
        <w:tc>
          <w:tcPr>
            <w:tcW w:w="578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240" w:type="dxa"/>
            <w:vAlign w:val="bottom"/>
            <w:tcBorders>
              <w:bottom w:val="single" w:sz="8" w:color="auto"/>
            </w:tcBorders>
            <w:shd w:val="clear" w:color="auto" w:fill="CCEDFF"/>
          </w:tcPr>
          <w:p>
            <w:pPr>
              <w:spacing w:after="0"/>
              <w:rPr>
                <w:sz w:val="19"/>
                <w:szCs w:val="19"/>
                <w:color w:val="auto"/>
              </w:rPr>
            </w:pPr>
          </w:p>
        </w:tc>
        <w:tc>
          <w:tcPr>
            <w:tcW w:w="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5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Platform revenue</w:t>
            </w:r>
          </w:p>
        </w:tc>
        <w:tc>
          <w:tcPr>
            <w:tcW w:w="12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4,726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Platform revenues, expenses and net loss to the most comparable GAAP measure for the three months ended March 31, 2025 and 2024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Unconsolidated</w:t>
            </w:r>
          </w:p>
        </w:tc>
        <w:tc>
          <w:tcPr>
            <w:tcW w:w="300" w:type="dxa"/>
            <w:vAlign w:val="bottom"/>
          </w:tcPr>
          <w:p>
            <w:pPr>
              <w:spacing w:after="0"/>
              <w:rPr>
                <w:sz w:val="14"/>
                <w:szCs w:val="14"/>
                <w:color w:val="auto"/>
              </w:rPr>
            </w:pPr>
          </w:p>
        </w:tc>
        <w:tc>
          <w:tcPr>
            <w:tcW w:w="1580" w:type="dxa"/>
            <w:vAlign w:val="bottom"/>
            <w:gridSpan w:val="2"/>
          </w:tcPr>
          <w:p>
            <w:pPr>
              <w:jc w:val="center"/>
              <w:ind w:right="4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20" w:type="dxa"/>
            <w:vAlign w:val="bottom"/>
          </w:tcPr>
          <w:p>
            <w:pPr>
              <w:spacing w:after="0"/>
              <w:rPr>
                <w:sz w:val="14"/>
                <w:szCs w:val="14"/>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2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40" w:type="dxa"/>
            <w:vAlign w:val="bottom"/>
            <w:tcBorders>
              <w:top w:val="single" w:sz="8" w:color="CCEDFF"/>
            </w:tcBorders>
            <w:shd w:val="clear" w:color="auto" w:fill="CCEDFF"/>
          </w:tcPr>
          <w:p>
            <w:pPr>
              <w:spacing w:after="0"/>
              <w:rPr>
                <w:sz w:val="18"/>
                <w:szCs w:val="18"/>
                <w:color w:val="auto"/>
              </w:rPr>
            </w:pPr>
          </w:p>
        </w:tc>
        <w:tc>
          <w:tcPr>
            <w:tcW w:w="200" w:type="dxa"/>
            <w:vAlign w:val="bottom"/>
            <w:tcBorders>
              <w:top w:val="single" w:sz="8" w:color="auto"/>
            </w:tcBorders>
            <w:shd w:val="clear" w:color="auto" w:fill="CCEDFF"/>
          </w:tcPr>
          <w:p>
            <w:pPr>
              <w:spacing w:after="0"/>
              <w:rPr>
                <w:sz w:val="18"/>
                <w:szCs w:val="18"/>
                <w:color w:val="auto"/>
              </w:rPr>
            </w:pPr>
          </w:p>
        </w:tc>
        <w:tc>
          <w:tcPr>
            <w:tcW w:w="154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20" w:type="dxa"/>
            <w:vAlign w:val="bottom"/>
            <w:tcBorders>
              <w:top w:val="single" w:sz="8" w:color="auto"/>
            </w:tcBorders>
            <w:shd w:val="clear" w:color="auto" w:fill="CCEDFF"/>
          </w:tcPr>
          <w:p>
            <w:pPr>
              <w:spacing w:after="0"/>
              <w:rPr>
                <w:sz w:val="18"/>
                <w:szCs w:val="18"/>
                <w:color w:val="auto"/>
              </w:rPr>
            </w:pPr>
          </w:p>
        </w:tc>
        <w:tc>
          <w:tcPr>
            <w:tcW w:w="1500" w:type="dxa"/>
            <w:vAlign w:val="bottom"/>
            <w:tcBorders>
              <w:top w:val="single" w:sz="8" w:color="auto"/>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30"/>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0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0" w:type="dxa"/>
            <w:vAlign w:val="bottom"/>
          </w:tcPr>
          <w:p>
            <w:pPr>
              <w:spacing w:after="0"/>
              <w:rPr>
                <w:sz w:val="1"/>
                <w:szCs w:val="1"/>
                <w:color w:val="auto"/>
              </w:rPr>
            </w:pPr>
          </w:p>
        </w:tc>
      </w:tr>
      <w:tr>
        <w:trPr>
          <w:trHeight w:val="230"/>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w:t>
            </w:r>
          </w:p>
        </w:tc>
        <w:tc>
          <w:tcPr>
            <w:tcW w:w="10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66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bottom w:val="single" w:sz="8" w:color="CCED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Borders>
              <w:bottom w:val="single" w:sz="8" w:color="CCED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40" w:type="dxa"/>
            <w:vAlign w:val="bottom"/>
            <w:tcBorders>
              <w:bottom w:val="single" w:sz="8" w:color="CCED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0" w:type="dxa"/>
            <w:vAlign w:val="bottom"/>
          </w:tcPr>
          <w:p>
            <w:pPr>
              <w:spacing w:after="0"/>
              <w:rPr>
                <w:sz w:val="1"/>
                <w:szCs w:val="1"/>
                <w:color w:val="auto"/>
              </w:rPr>
            </w:pPr>
          </w:p>
        </w:tc>
      </w:tr>
      <w:tr>
        <w:trPr>
          <w:trHeight w:val="250"/>
        </w:trPr>
        <w:tc>
          <w:tcPr>
            <w:tcW w:w="4740" w:type="dxa"/>
            <w:vAlign w:val="bottom"/>
            <w:shd w:val="clear" w:color="auto" w:fill="CCEDFF"/>
          </w:tcPr>
          <w:p>
            <w:pPr>
              <w:spacing w:after="0"/>
              <w:rPr>
                <w:sz w:val="21"/>
                <w:szCs w:val="21"/>
                <w:color w:val="auto"/>
              </w:rPr>
            </w:pPr>
          </w:p>
        </w:tc>
        <w:tc>
          <w:tcPr>
            <w:tcW w:w="1040" w:type="dxa"/>
            <w:vAlign w:val="bottom"/>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154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00" w:type="dxa"/>
            <w:vAlign w:val="bottom"/>
            <w:shd w:val="clear" w:color="auto" w:fill="CCEDFF"/>
          </w:tcPr>
          <w:p>
            <w:pPr>
              <w:spacing w:after="0"/>
              <w:rPr>
                <w:sz w:val="21"/>
                <w:szCs w:val="21"/>
                <w:color w:val="auto"/>
              </w:rPr>
            </w:pPr>
          </w:p>
        </w:tc>
        <w:tc>
          <w:tcPr>
            <w:tcW w:w="144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20" w:type="dxa"/>
            <w:vAlign w:val="bottom"/>
            <w:shd w:val="clear" w:color="auto" w:fill="CCEDFF"/>
          </w:tcPr>
          <w:p>
            <w:pPr>
              <w:spacing w:after="0"/>
              <w:rPr>
                <w:sz w:val="21"/>
                <w:szCs w:val="21"/>
                <w:color w:val="auto"/>
              </w:rPr>
            </w:pPr>
          </w:p>
        </w:tc>
        <w:tc>
          <w:tcPr>
            <w:tcW w:w="15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10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Payroll and payroll related costs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30"/>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r>
        <w:trPr>
          <w:trHeight w:val="230"/>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10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66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040" w:type="dxa"/>
            <w:vAlign w:val="bottom"/>
            <w:tcBorders>
              <w:bottom w:val="single" w:sz="8" w:color="CCED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20" w:type="dxa"/>
            <w:vAlign w:val="bottom"/>
            <w:tcBorders>
              <w:bottom w:val="single" w:sz="8" w:color="CCED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40" w:type="dxa"/>
            <w:vAlign w:val="bottom"/>
            <w:tcBorders>
              <w:bottom w:val="single" w:sz="8" w:color="CCED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0" w:type="dxa"/>
            <w:vAlign w:val="bottom"/>
          </w:tcPr>
          <w:p>
            <w:pPr>
              <w:spacing w:after="0"/>
              <w:rPr>
                <w:sz w:val="1"/>
                <w:szCs w:val="1"/>
                <w:color w:val="auto"/>
              </w:rPr>
            </w:pPr>
          </w:p>
        </w:tc>
      </w:tr>
      <w:tr>
        <w:trPr>
          <w:trHeight w:val="250"/>
        </w:trPr>
        <w:tc>
          <w:tcPr>
            <w:tcW w:w="4740" w:type="dxa"/>
            <w:vAlign w:val="bottom"/>
            <w:shd w:val="clear" w:color="auto" w:fill="CCEDFF"/>
          </w:tcPr>
          <w:p>
            <w:pPr>
              <w:spacing w:after="0"/>
              <w:rPr>
                <w:sz w:val="21"/>
                <w:szCs w:val="21"/>
                <w:color w:val="auto"/>
              </w:rPr>
            </w:pPr>
          </w:p>
        </w:tc>
        <w:tc>
          <w:tcPr>
            <w:tcW w:w="1040" w:type="dxa"/>
            <w:vAlign w:val="bottom"/>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154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00" w:type="dxa"/>
            <w:vAlign w:val="bottom"/>
            <w:shd w:val="clear" w:color="auto" w:fill="CCEDFF"/>
          </w:tcPr>
          <w:p>
            <w:pPr>
              <w:spacing w:after="0"/>
              <w:rPr>
                <w:sz w:val="21"/>
                <w:szCs w:val="21"/>
                <w:color w:val="auto"/>
              </w:rPr>
            </w:pPr>
          </w:p>
        </w:tc>
        <w:tc>
          <w:tcPr>
            <w:tcW w:w="144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20" w:type="dxa"/>
            <w:vAlign w:val="bottom"/>
            <w:shd w:val="clear" w:color="auto" w:fill="CCEDFF"/>
          </w:tcPr>
          <w:p>
            <w:pPr>
              <w:spacing w:after="0"/>
              <w:rPr>
                <w:sz w:val="21"/>
                <w:szCs w:val="21"/>
                <w:color w:val="auto"/>
              </w:rPr>
            </w:pPr>
          </w:p>
        </w:tc>
        <w:tc>
          <w:tcPr>
            <w:tcW w:w="15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(loss), net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9"/>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40" w:type="dxa"/>
            <w:vAlign w:val="bottom"/>
            <w:tcBorders>
              <w:top w:val="single" w:sz="8" w:color="CCEDFF"/>
            </w:tcBorders>
            <w:shd w:val="clear" w:color="auto" w:fill="CCEDFF"/>
          </w:tcPr>
          <w:p>
            <w:pPr>
              <w:spacing w:after="0"/>
              <w:rPr>
                <w:sz w:val="19"/>
                <w:szCs w:val="19"/>
                <w:color w:val="auto"/>
              </w:rPr>
            </w:pPr>
          </w:p>
        </w:tc>
        <w:tc>
          <w:tcPr>
            <w:tcW w:w="200" w:type="dxa"/>
            <w:vAlign w:val="bottom"/>
            <w:tcBorders>
              <w:top w:val="single" w:sz="8" w:color="auto"/>
            </w:tcBorders>
            <w:shd w:val="clear" w:color="auto" w:fill="CCEDFF"/>
          </w:tcPr>
          <w:p>
            <w:pPr>
              <w:spacing w:after="0"/>
              <w:rPr>
                <w:sz w:val="19"/>
                <w:szCs w:val="19"/>
                <w:color w:val="auto"/>
              </w:rPr>
            </w:pPr>
          </w:p>
        </w:tc>
        <w:tc>
          <w:tcPr>
            <w:tcW w:w="15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Borders>
              <w:top w:val="single" w:sz="8" w:color="CCEDFF"/>
            </w:tcBorders>
            <w:shd w:val="clear" w:color="auto" w:fill="CCEDFF"/>
          </w:tcPr>
          <w:p>
            <w:pPr>
              <w:spacing w:after="0"/>
              <w:rPr>
                <w:sz w:val="19"/>
                <w:szCs w:val="19"/>
                <w:color w:val="auto"/>
              </w:rPr>
            </w:pPr>
          </w:p>
        </w:tc>
        <w:tc>
          <w:tcPr>
            <w:tcW w:w="300" w:type="dxa"/>
            <w:vAlign w:val="bottom"/>
            <w:tcBorders>
              <w:top w:val="single" w:sz="8" w:color="auto"/>
            </w:tcBorders>
            <w:shd w:val="clear" w:color="auto" w:fill="CCEDFF"/>
          </w:tcPr>
          <w:p>
            <w:pPr>
              <w:spacing w:after="0"/>
              <w:rPr>
                <w:sz w:val="19"/>
                <w:szCs w:val="19"/>
                <w:color w:val="auto"/>
              </w:rPr>
            </w:pPr>
          </w:p>
        </w:tc>
        <w:tc>
          <w:tcPr>
            <w:tcW w:w="14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Borders>
              <w:top w:val="single" w:sz="8" w:color="CCEDFF"/>
            </w:tcBorders>
            <w:shd w:val="clear" w:color="auto" w:fill="CCEDFF"/>
          </w:tcPr>
          <w:p>
            <w:pPr>
              <w:spacing w:after="0"/>
              <w:rPr>
                <w:sz w:val="19"/>
                <w:szCs w:val="19"/>
                <w:color w:val="auto"/>
              </w:rPr>
            </w:pPr>
          </w:p>
        </w:tc>
        <w:tc>
          <w:tcPr>
            <w:tcW w:w="220" w:type="dxa"/>
            <w:vAlign w:val="bottom"/>
            <w:tcBorders>
              <w:top w:val="single" w:sz="8" w:color="auto"/>
            </w:tcBorders>
            <w:shd w:val="clear" w:color="auto" w:fill="CCEDFF"/>
          </w:tcPr>
          <w:p>
            <w:pPr>
              <w:spacing w:after="0"/>
              <w:rPr>
                <w:sz w:val="19"/>
                <w:szCs w:val="19"/>
                <w:color w:val="auto"/>
              </w:rPr>
            </w:pPr>
          </w:p>
        </w:tc>
        <w:tc>
          <w:tcPr>
            <w:tcW w:w="15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DFF"/>
            </w:tcBorders>
            <w:shd w:val="clear" w:color="auto" w:fill="CCEDFF"/>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40" w:type="dxa"/>
            <w:vAlign w:val="bottom"/>
            <w:tcBorders>
              <w:top w:val="single" w:sz="8" w:color="CCEDFF"/>
            </w:tcBorders>
            <w:shd w:val="clear" w:color="auto" w:fill="CCEDFF"/>
          </w:tcPr>
          <w:p>
            <w:pPr>
              <w:spacing w:after="0"/>
              <w:rPr>
                <w:sz w:val="19"/>
                <w:szCs w:val="19"/>
                <w:color w:val="auto"/>
              </w:rPr>
            </w:pPr>
          </w:p>
        </w:tc>
        <w:tc>
          <w:tcPr>
            <w:tcW w:w="200" w:type="dxa"/>
            <w:vAlign w:val="bottom"/>
            <w:tcBorders>
              <w:top w:val="single" w:sz="8" w:color="auto"/>
            </w:tcBorders>
            <w:shd w:val="clear" w:color="auto" w:fill="CCEDFF"/>
          </w:tcPr>
          <w:p>
            <w:pPr>
              <w:spacing w:after="0"/>
              <w:rPr>
                <w:sz w:val="19"/>
                <w:szCs w:val="19"/>
                <w:color w:val="auto"/>
              </w:rPr>
            </w:pPr>
          </w:p>
        </w:tc>
        <w:tc>
          <w:tcPr>
            <w:tcW w:w="15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Borders>
              <w:top w:val="single" w:sz="8" w:color="CCEDFF"/>
            </w:tcBorders>
            <w:shd w:val="clear" w:color="auto" w:fill="CCEDFF"/>
          </w:tcPr>
          <w:p>
            <w:pPr>
              <w:spacing w:after="0"/>
              <w:rPr>
                <w:sz w:val="19"/>
                <w:szCs w:val="19"/>
                <w:color w:val="auto"/>
              </w:rPr>
            </w:pPr>
          </w:p>
        </w:tc>
        <w:tc>
          <w:tcPr>
            <w:tcW w:w="300" w:type="dxa"/>
            <w:vAlign w:val="bottom"/>
            <w:tcBorders>
              <w:top w:val="single" w:sz="8" w:color="auto"/>
            </w:tcBorders>
            <w:shd w:val="clear" w:color="auto" w:fill="CCEDFF"/>
          </w:tcPr>
          <w:p>
            <w:pPr>
              <w:spacing w:after="0"/>
              <w:rPr>
                <w:sz w:val="19"/>
                <w:szCs w:val="19"/>
                <w:color w:val="auto"/>
              </w:rPr>
            </w:pPr>
          </w:p>
        </w:tc>
        <w:tc>
          <w:tcPr>
            <w:tcW w:w="14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Borders>
              <w:top w:val="single" w:sz="8" w:color="CCEDFF"/>
            </w:tcBorders>
            <w:shd w:val="clear" w:color="auto" w:fill="CCEDFF"/>
          </w:tcPr>
          <w:p>
            <w:pPr>
              <w:spacing w:after="0"/>
              <w:rPr>
                <w:sz w:val="19"/>
                <w:szCs w:val="19"/>
                <w:color w:val="auto"/>
              </w:rPr>
            </w:pPr>
          </w:p>
        </w:tc>
        <w:tc>
          <w:tcPr>
            <w:tcW w:w="220" w:type="dxa"/>
            <w:vAlign w:val="bottom"/>
            <w:tcBorders>
              <w:top w:val="single" w:sz="8" w:color="auto"/>
            </w:tcBorders>
            <w:shd w:val="clear" w:color="auto" w:fill="CCEDFF"/>
          </w:tcPr>
          <w:p>
            <w:pPr>
              <w:spacing w:after="0"/>
              <w:rPr>
                <w:sz w:val="19"/>
                <w:szCs w:val="19"/>
                <w:color w:val="auto"/>
              </w:rPr>
            </w:pPr>
          </w:p>
        </w:tc>
        <w:tc>
          <w:tcPr>
            <w:tcW w:w="15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30"/>
        </w:trPr>
        <w:tc>
          <w:tcPr>
            <w:tcW w:w="4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DFF"/>
              <w:bottom w:val="single" w:sz="8" w:color="CCEDFF"/>
            </w:tcBorders>
            <w:shd w:val="clear" w:color="auto" w:fill="CCEDFF"/>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1040" w:type="dxa"/>
            <w:vAlign w:val="bottom"/>
            <w:tcBorders>
              <w:top w:val="single" w:sz="8" w:color="CCEDFF"/>
              <w:bottom w:val="single" w:sz="8" w:color="CCEDFF"/>
            </w:tcBorders>
            <w:shd w:val="clear" w:color="auto" w:fill="CCEDFF"/>
          </w:tcPr>
          <w:p>
            <w:pPr>
              <w:spacing w:after="0"/>
              <w:rPr>
                <w:sz w:val="21"/>
                <w:szCs w:val="21"/>
                <w:color w:val="auto"/>
              </w:rPr>
            </w:pPr>
          </w:p>
        </w:tc>
        <w:tc>
          <w:tcPr>
            <w:tcW w:w="20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Borders>
              <w:top w:val="single" w:sz="8" w:color="CCEDFF"/>
              <w:bottom w:val="single" w:sz="8" w:color="CCEDFF"/>
            </w:tcBorders>
            <w:shd w:val="clear" w:color="auto" w:fill="CCEDFF"/>
          </w:tcPr>
          <w:p>
            <w:pPr>
              <w:spacing w:after="0"/>
              <w:rPr>
                <w:sz w:val="21"/>
                <w:szCs w:val="21"/>
                <w:color w:val="auto"/>
              </w:rPr>
            </w:pPr>
          </w:p>
        </w:tc>
        <w:tc>
          <w:tcPr>
            <w:tcW w:w="300" w:type="dxa"/>
            <w:vAlign w:val="bottom"/>
            <w:tcBorders>
              <w:top w:val="single" w:sz="8" w:color="auto"/>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220" w:type="dxa"/>
            <w:vAlign w:val="bottom"/>
            <w:tcBorders>
              <w:top w:val="single" w:sz="8" w:color="auto"/>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DFF"/>
            </w:tcBorders>
          </w:tcPr>
          <w:p>
            <w:pPr>
              <w:spacing w:after="0" w:line="20" w:lineRule="exact"/>
              <w:rPr>
                <w:sz w:val="1"/>
                <w:szCs w:val="1"/>
                <w:color w:val="auto"/>
              </w:rPr>
            </w:pPr>
          </w:p>
        </w:tc>
        <w:tc>
          <w:tcPr>
            <w:tcW w:w="1040" w:type="dxa"/>
            <w:vAlign w:val="bottom"/>
            <w:tcBorders>
              <w:top w:val="single" w:sz="8" w:color="CCEDFF"/>
              <w:bottom w:val="single" w:sz="8" w:color="CCED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top w:val="single" w:sz="8" w:color="CCEDFF"/>
              <w:bottom w:val="single" w:sz="8" w:color="auto"/>
            </w:tcBorders>
          </w:tcPr>
          <w:p>
            <w:pPr>
              <w:spacing w:after="0" w:line="20" w:lineRule="exact"/>
              <w:rPr>
                <w:sz w:val="1"/>
                <w:szCs w:val="1"/>
                <w:color w:val="auto"/>
              </w:rPr>
            </w:pPr>
          </w:p>
        </w:tc>
        <w:tc>
          <w:tcPr>
            <w:tcW w:w="1540" w:type="dxa"/>
            <w:vAlign w:val="bottom"/>
            <w:tcBorders>
              <w:top w:val="single" w:sz="8" w:color="CCEDFF"/>
              <w:bottom w:val="single" w:sz="8" w:color="auto"/>
            </w:tcBorders>
          </w:tcPr>
          <w:p>
            <w:pPr>
              <w:spacing w:after="0" w:line="20" w:lineRule="exact"/>
              <w:rPr>
                <w:sz w:val="1"/>
                <w:szCs w:val="1"/>
                <w:color w:val="auto"/>
              </w:rPr>
            </w:pPr>
          </w:p>
        </w:tc>
        <w:tc>
          <w:tcPr>
            <w:tcW w:w="12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44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50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47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gridSpan w:val="7"/>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0" w:type="dxa"/>
            <w:vAlign w:val="bottom"/>
          </w:tcPr>
          <w:p>
            <w:pPr>
              <w:spacing w:after="0"/>
              <w:rPr>
                <w:sz w:val="1"/>
                <w:szCs w:val="1"/>
                <w:color w:val="auto"/>
              </w:rPr>
            </w:pPr>
          </w:p>
        </w:tc>
      </w:tr>
      <w:tr>
        <w:trPr>
          <w:trHeight w:val="174"/>
        </w:trPr>
        <w:tc>
          <w:tcPr>
            <w:tcW w:w="4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300" w:type="dxa"/>
            <w:vAlign w:val="bottom"/>
          </w:tcPr>
          <w:p>
            <w:pPr>
              <w:spacing w:after="0"/>
              <w:rPr>
                <w:sz w:val="15"/>
                <w:szCs w:val="15"/>
                <w:color w:val="auto"/>
              </w:rPr>
            </w:pPr>
          </w:p>
        </w:tc>
        <w:tc>
          <w:tcPr>
            <w:tcW w:w="158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20" w:type="dxa"/>
            <w:vAlign w:val="bottom"/>
          </w:tcPr>
          <w:p>
            <w:pPr>
              <w:spacing w:after="0"/>
              <w:rPr>
                <w:sz w:val="15"/>
                <w:szCs w:val="15"/>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40" w:type="dxa"/>
            <w:vAlign w:val="bottom"/>
            <w:tcBorders>
              <w:top w:val="single" w:sz="8" w:color="CCEDFF"/>
            </w:tcBorders>
            <w:shd w:val="clear" w:color="auto" w:fill="CCEDFF"/>
          </w:tcPr>
          <w:p>
            <w:pPr>
              <w:spacing w:after="0"/>
              <w:rPr>
                <w:sz w:val="18"/>
                <w:szCs w:val="18"/>
                <w:color w:val="auto"/>
              </w:rPr>
            </w:pPr>
          </w:p>
        </w:tc>
        <w:tc>
          <w:tcPr>
            <w:tcW w:w="320" w:type="dxa"/>
            <w:vAlign w:val="bottom"/>
            <w:tcBorders>
              <w:top w:val="single" w:sz="8" w:color="auto"/>
            </w:tcBorders>
            <w:shd w:val="clear" w:color="auto" w:fill="CCEDFF"/>
          </w:tcPr>
          <w:p>
            <w:pPr>
              <w:spacing w:after="0"/>
              <w:rPr>
                <w:sz w:val="18"/>
                <w:szCs w:val="18"/>
                <w:color w:val="auto"/>
              </w:rPr>
            </w:pPr>
          </w:p>
        </w:tc>
        <w:tc>
          <w:tcPr>
            <w:tcW w:w="142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20" w:type="dxa"/>
            <w:vAlign w:val="bottom"/>
            <w:tcBorders>
              <w:top w:val="single" w:sz="8" w:color="auto"/>
            </w:tcBorders>
            <w:shd w:val="clear" w:color="auto" w:fill="CCEDFF"/>
          </w:tcPr>
          <w:p>
            <w:pPr>
              <w:spacing w:after="0"/>
              <w:rPr>
                <w:sz w:val="18"/>
                <w:szCs w:val="18"/>
                <w:color w:val="auto"/>
              </w:rPr>
            </w:pPr>
          </w:p>
        </w:tc>
        <w:tc>
          <w:tcPr>
            <w:tcW w:w="1500" w:type="dxa"/>
            <w:vAlign w:val="bottom"/>
            <w:tcBorders>
              <w:top w:val="single" w:sz="8" w:color="auto"/>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29"/>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04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0" w:type="dxa"/>
            <w:vAlign w:val="bottom"/>
          </w:tcPr>
          <w:p>
            <w:pPr>
              <w:spacing w:after="0"/>
              <w:rPr>
                <w:sz w:val="1"/>
                <w:szCs w:val="1"/>
                <w:color w:val="auto"/>
              </w:rPr>
            </w:pPr>
          </w:p>
        </w:tc>
      </w:tr>
      <w:tr>
        <w:trPr>
          <w:trHeight w:val="229"/>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w:t>
            </w:r>
          </w:p>
        </w:tc>
        <w:tc>
          <w:tcPr>
            <w:tcW w:w="104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54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bottom w:val="single" w:sz="8" w:color="CCED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20" w:type="dxa"/>
            <w:vAlign w:val="bottom"/>
            <w:tcBorders>
              <w:bottom w:val="single" w:sz="8" w:color="CCED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140" w:type="dxa"/>
            <w:vAlign w:val="bottom"/>
            <w:tcBorders>
              <w:bottom w:val="single" w:sz="8" w:color="CCED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22,951</w:t>
            </w:r>
          </w:p>
        </w:tc>
        <w:tc>
          <w:tcPr>
            <w:tcW w:w="0" w:type="dxa"/>
            <w:vAlign w:val="bottom"/>
          </w:tcPr>
          <w:p>
            <w:pPr>
              <w:spacing w:after="0"/>
              <w:rPr>
                <w:sz w:val="1"/>
                <w:szCs w:val="1"/>
                <w:color w:val="auto"/>
              </w:rPr>
            </w:pPr>
          </w:p>
        </w:tc>
      </w:tr>
      <w:tr>
        <w:trPr>
          <w:trHeight w:val="250"/>
        </w:trPr>
        <w:tc>
          <w:tcPr>
            <w:tcW w:w="4740" w:type="dxa"/>
            <w:vAlign w:val="bottom"/>
            <w:shd w:val="clear" w:color="auto" w:fill="CCEDFF"/>
          </w:tcPr>
          <w:p>
            <w:pPr>
              <w:spacing w:after="0"/>
              <w:rPr>
                <w:sz w:val="21"/>
                <w:szCs w:val="21"/>
                <w:color w:val="auto"/>
              </w:rPr>
            </w:pPr>
          </w:p>
        </w:tc>
        <w:tc>
          <w:tcPr>
            <w:tcW w:w="104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2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00" w:type="dxa"/>
            <w:vAlign w:val="bottom"/>
            <w:shd w:val="clear" w:color="auto" w:fill="CCEDFF"/>
          </w:tcPr>
          <w:p>
            <w:pPr>
              <w:spacing w:after="0"/>
              <w:rPr>
                <w:sz w:val="21"/>
                <w:szCs w:val="21"/>
                <w:color w:val="auto"/>
              </w:rPr>
            </w:pPr>
          </w:p>
        </w:tc>
        <w:tc>
          <w:tcPr>
            <w:tcW w:w="144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20" w:type="dxa"/>
            <w:vAlign w:val="bottom"/>
            <w:shd w:val="clear" w:color="auto" w:fill="CCEDFF"/>
          </w:tcPr>
          <w:p>
            <w:pPr>
              <w:spacing w:after="0"/>
              <w:rPr>
                <w:sz w:val="21"/>
                <w:szCs w:val="21"/>
                <w:color w:val="auto"/>
              </w:rPr>
            </w:pPr>
          </w:p>
        </w:tc>
        <w:tc>
          <w:tcPr>
            <w:tcW w:w="15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104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Payroll and payroll related costs</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r>
        <w:trPr>
          <w:trHeight w:val="229"/>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0" w:type="dxa"/>
            <w:vAlign w:val="bottom"/>
          </w:tcPr>
          <w:p>
            <w:pPr>
              <w:spacing w:after="0"/>
              <w:rPr>
                <w:sz w:val="1"/>
                <w:szCs w:val="1"/>
                <w:color w:val="auto"/>
              </w:rPr>
            </w:pPr>
          </w:p>
        </w:tc>
      </w:tr>
      <w:tr>
        <w:trPr>
          <w:trHeight w:val="229"/>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104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54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040" w:type="dxa"/>
            <w:vAlign w:val="bottom"/>
            <w:tcBorders>
              <w:bottom w:val="single" w:sz="8" w:color="CCED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20" w:type="dxa"/>
            <w:vAlign w:val="bottom"/>
            <w:tcBorders>
              <w:bottom w:val="single" w:sz="8" w:color="CCED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19,586</w:t>
            </w:r>
          </w:p>
        </w:tc>
        <w:tc>
          <w:tcPr>
            <w:tcW w:w="140" w:type="dxa"/>
            <w:vAlign w:val="bottom"/>
            <w:tcBorders>
              <w:bottom w:val="single" w:sz="8" w:color="CCED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0" w:type="dxa"/>
            <w:vAlign w:val="bottom"/>
          </w:tcPr>
          <w:p>
            <w:pPr>
              <w:spacing w:after="0"/>
              <w:rPr>
                <w:sz w:val="1"/>
                <w:szCs w:val="1"/>
                <w:color w:val="auto"/>
              </w:rPr>
            </w:pPr>
          </w:p>
        </w:tc>
      </w:tr>
      <w:tr>
        <w:trPr>
          <w:trHeight w:val="250"/>
        </w:trPr>
        <w:tc>
          <w:tcPr>
            <w:tcW w:w="4740" w:type="dxa"/>
            <w:vAlign w:val="bottom"/>
            <w:shd w:val="clear" w:color="auto" w:fill="CCEDFF"/>
          </w:tcPr>
          <w:p>
            <w:pPr>
              <w:spacing w:after="0"/>
              <w:rPr>
                <w:sz w:val="21"/>
                <w:szCs w:val="21"/>
                <w:color w:val="auto"/>
              </w:rPr>
            </w:pPr>
          </w:p>
        </w:tc>
        <w:tc>
          <w:tcPr>
            <w:tcW w:w="104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2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00" w:type="dxa"/>
            <w:vAlign w:val="bottom"/>
            <w:shd w:val="clear" w:color="auto" w:fill="CCEDFF"/>
          </w:tcPr>
          <w:p>
            <w:pPr>
              <w:spacing w:after="0"/>
              <w:rPr>
                <w:sz w:val="21"/>
                <w:szCs w:val="21"/>
                <w:color w:val="auto"/>
              </w:rPr>
            </w:pPr>
          </w:p>
        </w:tc>
        <w:tc>
          <w:tcPr>
            <w:tcW w:w="144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20" w:type="dxa"/>
            <w:vAlign w:val="bottom"/>
            <w:shd w:val="clear" w:color="auto" w:fill="CCEDFF"/>
          </w:tcPr>
          <w:p>
            <w:pPr>
              <w:spacing w:after="0"/>
              <w:rPr>
                <w:sz w:val="21"/>
                <w:szCs w:val="21"/>
                <w:color w:val="auto"/>
              </w:rPr>
            </w:pPr>
          </w:p>
        </w:tc>
        <w:tc>
          <w:tcPr>
            <w:tcW w:w="15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0"/>
        </w:trPr>
        <w:tc>
          <w:tcPr>
            <w:tcW w:w="47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bottom w:val="single" w:sz="8" w:color="CCED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3"/>
        </w:trPr>
        <w:tc>
          <w:tcPr>
            <w:tcW w:w="474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4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0" w:type="dxa"/>
            <w:vAlign w:val="bottom"/>
          </w:tcPr>
          <w:p>
            <w:pPr>
              <w:spacing w:after="0"/>
              <w:rPr>
                <w:sz w:val="1"/>
                <w:szCs w:val="1"/>
                <w:color w:val="auto"/>
              </w:rPr>
            </w:pPr>
          </w:p>
        </w:tc>
      </w:tr>
      <w:tr>
        <w:trPr>
          <w:trHeight w:val="229"/>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DFF"/>
            </w:tcBorders>
            <w:shd w:val="clear" w:color="auto" w:fill="CCEDFF"/>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40" w:type="dxa"/>
            <w:vAlign w:val="bottom"/>
            <w:tcBorders>
              <w:top w:val="single" w:sz="8" w:color="CCEDFF"/>
            </w:tcBorders>
            <w:shd w:val="clear" w:color="auto" w:fill="CCEDFF"/>
          </w:tcPr>
          <w:p>
            <w:pPr>
              <w:spacing w:after="0"/>
              <w:rPr>
                <w:sz w:val="19"/>
                <w:szCs w:val="19"/>
                <w:color w:val="auto"/>
              </w:rPr>
            </w:pPr>
          </w:p>
        </w:tc>
        <w:tc>
          <w:tcPr>
            <w:tcW w:w="320" w:type="dxa"/>
            <w:vAlign w:val="bottom"/>
            <w:tcBorders>
              <w:top w:val="single" w:sz="8" w:color="auto"/>
            </w:tcBorders>
            <w:shd w:val="clear" w:color="auto" w:fill="CCEDFF"/>
          </w:tcPr>
          <w:p>
            <w:pPr>
              <w:spacing w:after="0"/>
              <w:rPr>
                <w:sz w:val="19"/>
                <w:szCs w:val="19"/>
                <w:color w:val="auto"/>
              </w:rPr>
            </w:pPr>
          </w:p>
        </w:tc>
        <w:tc>
          <w:tcPr>
            <w:tcW w:w="14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20" w:type="dxa"/>
            <w:vAlign w:val="bottom"/>
            <w:tcBorders>
              <w:top w:val="single" w:sz="8" w:color="CCEDFF"/>
            </w:tcBorders>
            <w:shd w:val="clear" w:color="auto" w:fill="CCEDFF"/>
          </w:tcPr>
          <w:p>
            <w:pPr>
              <w:spacing w:after="0"/>
              <w:rPr>
                <w:sz w:val="19"/>
                <w:szCs w:val="19"/>
                <w:color w:val="auto"/>
              </w:rPr>
            </w:pPr>
          </w:p>
        </w:tc>
        <w:tc>
          <w:tcPr>
            <w:tcW w:w="300" w:type="dxa"/>
            <w:vAlign w:val="bottom"/>
            <w:tcBorders>
              <w:top w:val="single" w:sz="8" w:color="auto"/>
            </w:tcBorders>
            <w:shd w:val="clear" w:color="auto" w:fill="CCEDFF"/>
          </w:tcPr>
          <w:p>
            <w:pPr>
              <w:spacing w:after="0"/>
              <w:rPr>
                <w:sz w:val="19"/>
                <w:szCs w:val="19"/>
                <w:color w:val="auto"/>
              </w:rPr>
            </w:pPr>
          </w:p>
        </w:tc>
        <w:tc>
          <w:tcPr>
            <w:tcW w:w="14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40" w:type="dxa"/>
            <w:vAlign w:val="bottom"/>
            <w:tcBorders>
              <w:top w:val="single" w:sz="8" w:color="CCEDFF"/>
            </w:tcBorders>
            <w:shd w:val="clear" w:color="auto" w:fill="CCEDFF"/>
          </w:tcPr>
          <w:p>
            <w:pPr>
              <w:spacing w:after="0"/>
              <w:rPr>
                <w:sz w:val="19"/>
                <w:szCs w:val="19"/>
                <w:color w:val="auto"/>
              </w:rPr>
            </w:pPr>
          </w:p>
        </w:tc>
        <w:tc>
          <w:tcPr>
            <w:tcW w:w="220" w:type="dxa"/>
            <w:vAlign w:val="bottom"/>
            <w:tcBorders>
              <w:top w:val="single" w:sz="8" w:color="auto"/>
            </w:tcBorders>
            <w:shd w:val="clear" w:color="auto" w:fill="CCEDFF"/>
          </w:tcPr>
          <w:p>
            <w:pPr>
              <w:spacing w:after="0"/>
              <w:rPr>
                <w:sz w:val="19"/>
                <w:szCs w:val="19"/>
                <w:color w:val="auto"/>
              </w:rPr>
            </w:pPr>
          </w:p>
        </w:tc>
        <w:tc>
          <w:tcPr>
            <w:tcW w:w="15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0" w:type="dxa"/>
            <w:vAlign w:val="bottom"/>
          </w:tcPr>
          <w:p>
            <w:pPr>
              <w:spacing w:after="0"/>
              <w:rPr>
                <w:sz w:val="1"/>
                <w:szCs w:val="1"/>
                <w:color w:val="auto"/>
              </w:rPr>
            </w:pPr>
          </w:p>
        </w:tc>
      </w:tr>
      <w:tr>
        <w:trPr>
          <w:trHeight w:val="230"/>
        </w:trPr>
        <w:tc>
          <w:tcPr>
            <w:tcW w:w="4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DFF"/>
              <w:bottom w:val="single" w:sz="8" w:color="CCEDFF"/>
            </w:tcBorders>
            <w:shd w:val="clear" w:color="auto" w:fill="CCEDFF"/>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1040" w:type="dxa"/>
            <w:vAlign w:val="bottom"/>
            <w:tcBorders>
              <w:top w:val="single" w:sz="8" w:color="CCEDFF"/>
              <w:bottom w:val="single" w:sz="8" w:color="CCEDFF"/>
            </w:tcBorders>
            <w:shd w:val="clear" w:color="auto" w:fill="CCEDFF"/>
          </w:tcPr>
          <w:p>
            <w:pPr>
              <w:spacing w:after="0"/>
              <w:rPr>
                <w:sz w:val="21"/>
                <w:szCs w:val="21"/>
                <w:color w:val="auto"/>
              </w:rPr>
            </w:pPr>
          </w:p>
        </w:tc>
        <w:tc>
          <w:tcPr>
            <w:tcW w:w="320" w:type="dxa"/>
            <w:vAlign w:val="bottom"/>
            <w:tcBorders>
              <w:top w:val="single" w:sz="8" w:color="auto"/>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20" w:type="dxa"/>
            <w:vAlign w:val="bottom"/>
            <w:tcBorders>
              <w:top w:val="single" w:sz="8" w:color="CCEDFF"/>
              <w:bottom w:val="single" w:sz="8" w:color="CCEDFF"/>
            </w:tcBorders>
            <w:shd w:val="clear" w:color="auto" w:fill="CCEDFF"/>
          </w:tcPr>
          <w:p>
            <w:pPr>
              <w:spacing w:after="0"/>
              <w:rPr>
                <w:sz w:val="21"/>
                <w:szCs w:val="21"/>
                <w:color w:val="auto"/>
              </w:rPr>
            </w:pPr>
          </w:p>
        </w:tc>
        <w:tc>
          <w:tcPr>
            <w:tcW w:w="300" w:type="dxa"/>
            <w:vAlign w:val="bottom"/>
            <w:tcBorders>
              <w:top w:val="single" w:sz="8" w:color="auto"/>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Borders>
              <w:top w:val="single" w:sz="8" w:color="CCEDFF"/>
              <w:bottom w:val="single" w:sz="8" w:color="CCEDFF"/>
            </w:tcBorders>
            <w:shd w:val="clear" w:color="auto" w:fill="CCEDFF"/>
          </w:tcPr>
          <w:p>
            <w:pPr>
              <w:spacing w:after="0"/>
              <w:rPr>
                <w:sz w:val="21"/>
                <w:szCs w:val="21"/>
                <w:color w:val="auto"/>
              </w:rPr>
            </w:pPr>
          </w:p>
        </w:tc>
        <w:tc>
          <w:tcPr>
            <w:tcW w:w="220" w:type="dxa"/>
            <w:vAlign w:val="bottom"/>
            <w:tcBorders>
              <w:top w:val="single" w:sz="8" w:color="auto"/>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DFF"/>
            </w:tcBorders>
          </w:tcPr>
          <w:p>
            <w:pPr>
              <w:spacing w:after="0" w:line="20" w:lineRule="exact"/>
              <w:rPr>
                <w:sz w:val="1"/>
                <w:szCs w:val="1"/>
                <w:color w:val="auto"/>
              </w:rPr>
            </w:pPr>
          </w:p>
        </w:tc>
        <w:tc>
          <w:tcPr>
            <w:tcW w:w="1040" w:type="dxa"/>
            <w:vAlign w:val="bottom"/>
            <w:tcBorders>
              <w:top w:val="single" w:sz="8" w:color="CCEDFF"/>
              <w:bottom w:val="single" w:sz="8" w:color="CCED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420" w:type="dxa"/>
            <w:vAlign w:val="bottom"/>
            <w:tcBorders>
              <w:top w:val="single" w:sz="8" w:color="CCEDFF"/>
              <w:bottom w:val="single" w:sz="8" w:color="auto"/>
            </w:tcBorders>
          </w:tcPr>
          <w:p>
            <w:pPr>
              <w:spacing w:after="0" w:line="20" w:lineRule="exact"/>
              <w:rPr>
                <w:sz w:val="1"/>
                <w:szCs w:val="1"/>
                <w:color w:val="auto"/>
              </w:rPr>
            </w:pPr>
          </w:p>
        </w:tc>
        <w:tc>
          <w:tcPr>
            <w:tcW w:w="12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44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50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47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Platform assets to the most comparable GAAP measure for the three months ended March 31, 2025 and 2024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200" w:type="dxa"/>
            <w:vAlign w:val="bottom"/>
          </w:tcPr>
          <w:p>
            <w:pPr>
              <w:spacing w:after="0"/>
              <w:rPr>
                <w:sz w:val="14"/>
                <w:szCs w:val="14"/>
                <w:color w:val="auto"/>
              </w:rPr>
            </w:pPr>
          </w:p>
        </w:tc>
        <w:tc>
          <w:tcPr>
            <w:tcW w:w="168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20" w:type="dxa"/>
            <w:vAlign w:val="bottom"/>
          </w:tcPr>
          <w:p>
            <w:pPr>
              <w:spacing w:after="0"/>
              <w:rPr>
                <w:sz w:val="14"/>
                <w:szCs w:val="14"/>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2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21,514</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40" w:type="dxa"/>
            <w:vAlign w:val="bottom"/>
          </w:tcPr>
          <w:p>
            <w:pPr>
              <w:spacing w:after="0"/>
              <w:rPr>
                <w:sz w:val="14"/>
                <w:szCs w:val="14"/>
                <w:color w:val="auto"/>
              </w:rPr>
            </w:pPr>
          </w:p>
        </w:tc>
        <w:tc>
          <w:tcPr>
            <w:tcW w:w="174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20" w:type="dxa"/>
            <w:vAlign w:val="bottom"/>
          </w:tcPr>
          <w:p>
            <w:pPr>
              <w:spacing w:after="0"/>
              <w:rPr>
                <w:sz w:val="14"/>
                <w:szCs w:val="14"/>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2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15,643</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has evaluated events and transactions that occurred after March 31, 2025 through May 15, 2025, the date these condensed consolidated financial statement were available to be issued. See below material events and transactions in addition to those matters discussed in Note 1 – Organization and Liquidity and Note 6 – Notes Payable.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Craft Capital Management Underwriting Agreement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17, 2025, the Company entered into an Underwriting Agreement with Craft Capital Management LLC, as representative to the underwriters (the “Representative”), to issue and sell (i) 120,000 units (the “Units”) at a price of $7.50 per Unit. Each Unit consists of one share of Class A common stock of the Company and one right to receive one-fifth of one share of Class A common stock; and (ii) representative warrants to purchase shares of Class A common stock equal to 8% of the aggregate number of Units sold. In connection with this offering, the Company issued Mast Hill 2,000 shares of Class A common stock in connection with Mast Hill’s waiver of certain terms under the Mast Hill Purchase Agreement, the Mast Hill Note and the Mast Hill Warrants.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Rights Agreement with Hyatt Hotels Corporation Affiliate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8, 2025, the Company announced that Caliber Hospitality Development (“CHD”) has entered into a Development Rights Agreement with an affiliate of Hyatt Hotels Corporation (NYSE: H) to exclusively develop 15 new Hyatt Studios hotels in target market areas within Arizona, Colorado, Nevada, Texas and Louisiana.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2. Management's Discussion and Analysis of Financial Condition and Results of Operations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(unaudited) and related notes thereto included elsewhere in this Quarterly Report on Form 10-Q.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entitled “Risk Factors” in the Company’s Annual Report on Form 10-K filed with the SEC on March 31, 2025. Capitalized terms used herein, but not otherwise defined, shall have the meaning ascribed to those terms in the “Part I - Financial Information,” including the related notes to the consolidated financial statements contained therein.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past 15 years, Caliber has grown into a leading diversified alternative asset management firm, with more than $2.9 billion in assets under management (“AUM”) and assets under development (“AUD”). Caliber’s primary goal is to enhance the wealth of accredited investors seeking to make investments in middle-market assets. We strive to build wealth for our clients by creating, managing, and servicing middle-market investment funds, private syndications, and direct investments. Through our funds, we invest primarily in real estate, private equity, and debt facilities. We market and fundraise to direct channels and to wholesale channels.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number of development, redevelopment, construction, and entitlement projects that are underway or are in the planning stages, which we define as AUD. This category includes projects to be built on undeveloped land and projects to be built and constructed on undeveloped lands, which are not yet owned by our funds but are under contract to purchase. Completing these development activities may ultimately result in income-producing assets, assets we may sell to third parties, or both. If we complete all AUD at March 31, 2025, up through sale, we estimate the Company could earn up to $87.7 million in performance allocations. As of March 31, 2025, we are actively developing 1,776 multifamily units, 697 single family units, 3.7 million square feet of commercial and industrial, and 3.6 million square feet of office and retail. If all of these projects are brought to completion, the total cost capitalized to these projects, which represents total current estimated costs to complete the development and construction of such projects by us or a third party, is $2.1 billion, which we expect would be funded through a combination of undeployed fund cash, third-party equity, project sales, tax credit financing and similar incentives, and secured debt financing.</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provide investors attractive risk-adjusted returns by offering a balance of (i) structured offerings and ease of ownership, (ii) a pipeline of investment opportunities, primarily projects that range in value between $5.0 million and $50.0 million, and (iii) an integrated execution and processing platform. Our investment strategy leverages the local market intelligence and real-time data we gain from our operations to evaluate current investments, generate proprietary transaction flow, and implement various asset management strategies.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alternative asset manager, we offer a full suite of support services and employ a vertically integrated approach to investment management. Our asset management activities are complemented with transaction and advisory services including development and construction management, acquisition and disposition expertise, and fund formation, which we believe differentiate us from other asset management firms. We earn the following fees from providing these services under our asset management platform (the “Platform”):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Revenues</w:t>
      </w:r>
    </w:p>
    <w:p>
      <w:pPr>
        <w:spacing w:after="0" w:line="189" w:lineRule="exact"/>
        <w:rPr>
          <w:sz w:val="20"/>
          <w:szCs w:val="20"/>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Organizational &amp; Offering (“O&amp;O”) fees include fund set-up fees and are a one-time fee earned during the initial formation, administration, and set-up of fund products we distribute and manage. These fees are recognized at the point in time when the performance under the contract is complete.</w:t>
      </w:r>
    </w:p>
    <w:p>
      <w:pPr>
        <w:spacing w:after="0" w:line="13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(as defined in Note 3 – VIEs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earns a fund management fee of 0.7% of the Caliber Hospitality Trust’s enterprise value and is reimbursed for certain costs incurred on behalf of the Caliber Hospitality Trust.</w:t>
      </w:r>
    </w:p>
    <w:p>
      <w:pPr>
        <w:spacing w:after="0" w:line="15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hanging="328"/>
        <w:spacing w:after="0" w:line="25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development revenues are generally based on two fee-based contracts, not to exceed 6.0%. The first, a real estate development contract that provides for up to 4.0% of the total expected costs of the development and is paid for services performed by Caliber Development, LLC as the principal developer of Caliber projects. These services may include obtaining new entitlements or zoning changes and managing and supervising third-party developers. The second, a construction management contract that provides for up to 4.0% of the total expected costs of the construction project for services provided managing general contractors with respect to the construction of the properties owned by the funds.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construction management fee revenue is recognized over time as the performance obligations are satisfied.</w:t>
      </w:r>
    </w:p>
    <w:p>
      <w:pPr>
        <w:spacing w:after="0" w:line="16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Allocations</w:t>
      </w:r>
    </w:p>
    <w:p>
      <w:pPr>
        <w:spacing w:after="0" w:line="189" w:lineRule="exact"/>
        <w:rPr>
          <w:sz w:val="20"/>
          <w:szCs w:val="20"/>
          <w:color w:val="auto"/>
        </w:rPr>
      </w:pPr>
    </w:p>
    <w:p>
      <w:pPr>
        <w:jc w:val="both"/>
        <w:ind w:left="660" w:hanging="328"/>
        <w:spacing w:after="0" w:line="25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chief operating decision maker (“CODM”) is the Company’s Chief Executive Officer, John C. Loeffler. The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operating segments, as the Company’s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the Company was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Caliber was originally founded as Caliber Companies, LLC, an Arizona limited liability company, organized under the laws of Arizona, and commenced operations in January 2009. In November 2014, the Company was reorganized as a Nevada corporation and in June 2018, we reincorporated in the state of Delaware. On our website we make available, free of charge, information about the Company and its’ investments. None of the information on our website is deemed to be part of this report.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Our business is driven by trends which affect the following:</w:t>
      </w:r>
    </w:p>
    <w:p>
      <w:pPr>
        <w:spacing w:after="0" w:line="181" w:lineRule="exact"/>
        <w:rPr>
          <w:sz w:val="20"/>
          <w:szCs w:val="20"/>
          <w:color w:val="auto"/>
        </w:rPr>
      </w:pPr>
    </w:p>
    <w:p>
      <w:pPr>
        <w:jc w:val="both"/>
        <w:ind w:left="660" w:hanging="328"/>
        <w:spacing w:after="0" w:line="268"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 formation: </w:t>
      </w:r>
      <w:r>
        <w:rPr>
          <w:rFonts w:ascii="Times New Roman" w:cs="Times New Roman" w:eastAsia="Times New Roman" w:hAnsi="Times New Roman"/>
          <w:sz w:val="18"/>
          <w:szCs w:val="18"/>
          <w:color w:val="auto"/>
        </w:rPr>
        <w:t>any trend which increases or decreases investors’ knowledge of alternative investments, desire to acquire them, access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them, and knowledge and appreciation of Caliber as a potential provider, will affect our ability to attract and raise new capital. Capital formation also drives investment acquisitions, which contribute to Caliber’s revenues.</w:t>
      </w:r>
    </w:p>
    <w:p>
      <w:pPr>
        <w:spacing w:after="0" w:line="13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acquisition: </w:t>
      </w:r>
      <w:r>
        <w:rPr>
          <w:rFonts w:ascii="Times New Roman" w:cs="Times New Roman" w:eastAsia="Times New Roman" w:hAnsi="Times New Roman"/>
          <w:sz w:val="18"/>
          <w:szCs w:val="18"/>
          <w:color w:val="auto"/>
        </w:rPr>
        <w:t>any trend which increases or decreases the supply of middle-market real estate projects or loans, the accessibility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developments or development incentives, or enhances or detracts from Caliber’s ability to access those projects will affect our ability to generate revenue. Coincidentally, investment acquisitions, or the rights to acquire an investment, drive capital formation – creating a flywheel effect for Caliber.</w:t>
      </w:r>
    </w:p>
    <w:p>
      <w:pPr>
        <w:spacing w:after="0" w:line="149" w:lineRule="exact"/>
        <w:rPr>
          <w:rFonts w:ascii="Times New Roman" w:cs="Times New Roman" w:eastAsia="Times New Roman" w:hAnsi="Times New Roman"/>
          <w:sz w:val="18"/>
          <w:szCs w:val="18"/>
          <w:color w:val="auto"/>
        </w:rPr>
      </w:pPr>
    </w:p>
    <w:p>
      <w:pPr>
        <w:ind w:left="660" w:hanging="328"/>
        <w:spacing w:after="0" w:line="286"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execution: </w:t>
      </w:r>
      <w:r>
        <w:rPr>
          <w:rFonts w:ascii="Times New Roman" w:cs="Times New Roman" w:eastAsia="Times New Roman" w:hAnsi="Times New Roman"/>
          <w:sz w:val="18"/>
          <w:szCs w:val="18"/>
          <w:color w:val="auto"/>
        </w:rPr>
        <w:t>any trend which increases or decreases the costs of execution on a real estate project, including materials pricing,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pricing, access to materials, delays due to governmental action, and the general labor market, will affect Caliber’s ability to generate revenues.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depends in large part on our ability to raise capital for our funds from investors. Since our inception, we have continued to successfully raise capital into our funds with our total capital raised through March 31, 2025 of $745.8 million. Our success at raising new capital into our funds is impacted by the extent to which new investors see alternative assets as a viable option for capital appreciation and/or income generation. Since our ability to raise new capital into our funds is dependent upon the availability and willingness of investors to direct their investment dollars into our products, our financial performance is sensitive in part to changes in overall economic conditions that affect investment behaviors. The demand from investors is dependent upon the type of asset, the type of return it will generate (current cash flow, long-term capital gains, or both) and the actual return earned by our fund investors relative to other comparable or substitute products. General economic factors and conditions, including the general interest rate environment and unemployment rates, may affect an investor’s ability and desire to invest in real estate. For example, a significant interest rate increase could cause a projected rate of return to be insufficient after considering other risk exposures. Additionally, if weakness in the economy emerges and actual or expected default rates increase, investors in our funds may delay or reduce their investments; however, we believe our approach to investing and the capabilities that Caliber manages throughout the deal cycle will continue to offer an attractive value proposition to investors.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2023, the United States of America’s House of Representatives unanimously approved legislation that would increase the number of investors who can participate in private offerings of securities by expanding the accredited investor criteria. The Fair Investment Opportunities for Professional Experts Act would expand the definition of accredited investor to include people with certain licenses, education or professional experience. The Accredited Investor Definition Review Act would give the SEC discretion to determine the certifications, designations or credentials investors must possess to be accredited and directs the SEC to review the accredited investor definition every five years. We believe these government actions will increase the size of our potential investor base significantly, however we cannot yet assess the number of newly accredited investors that would have the ability or interest to invest in a Caliber fund.</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had historical successes, there can be no assurance that fundraising for our new and existing funds will experience similar success. If we were unable to raise such capital, we would be unable to deploy such capital into investments, which would materially reduce our revenues and cash flow and adversely affect our financial condition.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remain confident about our ability to find, identify, and source new investment opportunities that meet the requirements and return profile of our investment funds despite headwinds associated with increased asset valuations, competition and increased overall cost of credit. We continue to identify strategic acquisitions on off-market terms and anticipate that this trend will continue. We are at a point in our investment cycle where some of our funds have begun to exit significant parts of their portfolios while other are approaching a potential harvesting phase. We have complemented these cycles with other newer funds that will maintain management fees while providing continued sources of activity.</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Acquiring new assets includes being able to negotiate favorable loans on both a short and long-term basis. We strive to forecast and project our returns using assumptions about, among other things, the types of loans that we might expect the market to extend for a particular type of asset. This becomes more complex when the asset also requires construction financing. We may also need to refinance existing loans that are due to mature. Factors that affect these arrangements include the interest rate and economic environment, the estimated fair value of real property, and the profitability of the asset’s historical operations. These capital market conditions may affect the renewal or replacement of our credit agreements, some of which have maturity dates occurring within the next 12 months. Obtaining such financing is not guaranteed and is largely dependent on market conditions and other factors.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advancement of real estate investment-oriented technology, sometimes referred to as “proptech” offers Caliber the benefit of new and innovative technologies to better execute on capital formation strategies, investment acquisition strategies, and investment management strategies. In recent years, Caliber has added to its technology stack with systems that we believe lead the market in their specific ability to enhance execution on our projects. Several of these technologies seek to incorporate investments in artificial intelligence, which we believe will be a prevailing trend in helping Caliber to enhance its project execution going forward.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Regional conflicts and instability, such as those in Israel and Ukraine, can have significant impacts on global markets and economies and investor perception and tolerance for risk. These conflicts could lead to increased volatility in financial markets, disrupt supply chains, and change investor appetite for investments in alternative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Global markets are experiencing significant volatility driven by concerns over inflation, elevated interest rates, slowing economic growth and geopolitical uncertainty. The annual inflation rate in the United States increased to 9.1% in June 2022, the highest rate since November 1981, but decreased to 2.4% in March 2025. As a result, from January 1, 2022 through September 18, 2024, the Federal Reserve increased the federal funds rate by 525 basis points. Subsequently, the Federal Reserve decreased the federal funds rate by 50 basis points in September 2024, by 25 basis points in November 2024, and by 25 basis points in December 2024, resulting in a target rate range of 4.25% to 4.50% at March 31, 2025. The rising interest rates, coupled with periods of significant equity and credit market volatility may potentially make it more difficult for us to find attractive opportunities for our funds to exit and realize value from their existing investments. Historically, inflation has tended to favor new capital formation for Caliber’s funds, as investors seek opportunities that can hedge against rising costs, such as real estate investments. In addition, the increase in interest rates has put pressure on owners of existing real estate to sell assets as their loans mature. Combined with a shrinking pool of buyers, the commercial and residential real estate markets in our favored geographies are moving away from a seller’s market and closer to a buyer’s market. It remains to be seen if a stressed or distressed market may emerge, similar to Caliber’s early years of operations. In both a buyer’s market and a stressed or distressed market, Caliber expects its business model to outperform, as our direct access to investor capital and our ability to invest in a variety of asset classes allows Caliber to move with the market and take advantage of potentially attractive prices. For project execution, inflation has increased the cost of nearly all building materials and labor types, increasing the cost of construction and renovation of our funds’ assets.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 and Indicators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key financial measures are discussed in the following pages. Additional information regarding these key financial measures and our other significant accounting policies can be found in Note 2 – Summary of Significant Accounting Policies in the notes to our accompanying condensed consolidated financial statements included herein.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 the majority of our revenue in the form of asset management fee revenues and performance allocations. Included within our consolidated results, are the related revenues of certain consolidated VIEs.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expenses include operating costs, general and administrative, marketing and advertising and depreciation and amortization. Included within our consolidated results, are the related expenses of consolidated VIEs.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(loss) income includes rental revenue, interest expense and interest income.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Consolidated Results of Operations for the Three Months Ended March 31, 2025 and 2024</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results of operations are impacted by the timing of consolidation, deconsolidation, and operating performance of our consolidated and previously consolidated funds. Periods presented may not be comparable due to the consolidation or deconsolidation of certain funds. In particular, the Company deconsolidated Caliber Hospitality, LP, the Caliber Hospitality Trust, and their consolidated subsidiaries during the three months ended March 31, 2024. The following table and discussion provide insight into our consolidated results of operations for the three months ended March 31, 2025 and 2024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66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90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80" w:type="dxa"/>
            <w:vAlign w:val="bottom"/>
            <w:tcBorders>
              <w:top w:val="single" w:sz="8" w:color="auto"/>
            </w:tcBorders>
            <w:shd w:val="clear" w:color="auto" w:fill="CCEDFF"/>
          </w:tcPr>
          <w:p>
            <w:pPr>
              <w:spacing w:after="0"/>
              <w:rPr>
                <w:sz w:val="18"/>
                <w:szCs w:val="18"/>
                <w:color w:val="auto"/>
              </w:rPr>
            </w:pPr>
          </w:p>
        </w:tc>
        <w:tc>
          <w:tcPr>
            <w:tcW w:w="62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380" w:type="dxa"/>
            <w:vAlign w:val="bottom"/>
            <w:tcBorders>
              <w:top w:val="single" w:sz="8" w:color="auto"/>
            </w:tcBorders>
            <w:shd w:val="clear" w:color="auto" w:fill="CCEDFF"/>
          </w:tcPr>
          <w:p>
            <w:pPr>
              <w:spacing w:after="0"/>
              <w:rPr>
                <w:sz w:val="18"/>
                <w:szCs w:val="18"/>
                <w:color w:val="auto"/>
              </w:rPr>
            </w:pPr>
          </w:p>
        </w:tc>
        <w:tc>
          <w:tcPr>
            <w:tcW w:w="130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0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1840" w:type="dxa"/>
            <w:vAlign w:val="bottom"/>
            <w:tcBorders>
              <w:top w:val="single" w:sz="8" w:color="auto"/>
            </w:tcBorders>
            <w:shd w:val="clear" w:color="auto" w:fill="CCEDFF"/>
          </w:tcPr>
          <w:p>
            <w:pPr>
              <w:spacing w:after="0"/>
              <w:rPr>
                <w:sz w:val="18"/>
                <w:szCs w:val="18"/>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29"/>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080" w:type="dxa"/>
            <w:vAlign w:val="bottom"/>
            <w:shd w:val="clear" w:color="auto" w:fill="CCEDFF"/>
          </w:tcPr>
          <w:p>
            <w:pPr>
              <w:spacing w:after="0"/>
              <w:rPr>
                <w:sz w:val="19"/>
                <w:szCs w:val="19"/>
                <w:color w:val="auto"/>
              </w:rPr>
            </w:pPr>
          </w:p>
        </w:tc>
        <w:tc>
          <w:tcPr>
            <w:tcW w:w="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revenues</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9"/>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revenues</w:t>
            </w:r>
          </w:p>
        </w:tc>
        <w:tc>
          <w:tcPr>
            <w:tcW w:w="1080" w:type="dxa"/>
            <w:vAlign w:val="bottom"/>
            <w:tcBorders>
              <w:bottom w:val="single" w:sz="8" w:color="auto"/>
            </w:tcBorders>
            <w:shd w:val="clear" w:color="auto" w:fill="CCEDFF"/>
          </w:tcPr>
          <w:p>
            <w:pPr>
              <w:spacing w:after="0"/>
              <w:rPr>
                <w:sz w:val="19"/>
                <w:szCs w:val="19"/>
                <w:color w:val="auto"/>
              </w:rPr>
            </w:pPr>
          </w:p>
        </w:tc>
        <w:tc>
          <w:tcPr>
            <w:tcW w:w="6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DFF"/>
          </w:tcPr>
          <w:p>
            <w:pPr>
              <w:spacing w:after="0"/>
              <w:rPr>
                <w:sz w:val="19"/>
                <w:szCs w:val="19"/>
                <w:color w:val="auto"/>
              </w:rPr>
            </w:pPr>
          </w:p>
        </w:tc>
        <w:tc>
          <w:tcPr>
            <w:tcW w:w="380" w:type="dxa"/>
            <w:vAlign w:val="bottom"/>
            <w:tcBorders>
              <w:bottom w:val="single" w:sz="8" w:color="auto"/>
            </w:tcBorders>
            <w:shd w:val="clear" w:color="auto" w:fill="CCEDFF"/>
          </w:tcPr>
          <w:p>
            <w:pPr>
              <w:spacing w:after="0"/>
              <w:rPr>
                <w:sz w:val="19"/>
                <w:szCs w:val="19"/>
                <w:color w:val="auto"/>
              </w:rPr>
            </w:pPr>
          </w:p>
        </w:tc>
        <w:tc>
          <w:tcPr>
            <w:tcW w:w="13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4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40" w:type="dxa"/>
            <w:vAlign w:val="bottom"/>
            <w:shd w:val="clear" w:color="auto" w:fill="CCEDFF"/>
          </w:tcPr>
          <w:p>
            <w:pPr>
              <w:spacing w:after="0"/>
              <w:rPr>
                <w:sz w:val="19"/>
                <w:szCs w:val="19"/>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23"/>
        </w:trPr>
        <w:tc>
          <w:tcPr>
            <w:tcW w:w="390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40" w:type="dxa"/>
            <w:vAlign w:val="bottom"/>
            <w:tcBorders>
              <w:bottom w:val="single" w:sz="8" w:color="CCED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22,951</w:t>
            </w:r>
          </w:p>
        </w:tc>
        <w:tc>
          <w:tcPr>
            <w:tcW w:w="14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(15,690)</w:t>
            </w:r>
          </w:p>
        </w:tc>
        <w:tc>
          <w:tcPr>
            <w:tcW w:w="140" w:type="dxa"/>
            <w:vAlign w:val="bottom"/>
            <w:tcBorders>
              <w:bottom w:val="single" w:sz="8" w:color="CCED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6"/>
        </w:trPr>
        <w:tc>
          <w:tcPr>
            <w:tcW w:w="3900" w:type="dxa"/>
            <w:vAlign w:val="bottom"/>
            <w:shd w:val="clear" w:color="auto" w:fill="CCEDFF"/>
          </w:tcPr>
          <w:p>
            <w:pPr>
              <w:spacing w:after="0"/>
              <w:rPr>
                <w:sz w:val="20"/>
                <w:szCs w:val="20"/>
                <w:color w:val="auto"/>
              </w:rPr>
            </w:pPr>
          </w:p>
        </w:tc>
        <w:tc>
          <w:tcPr>
            <w:tcW w:w="1080" w:type="dxa"/>
            <w:vAlign w:val="bottom"/>
            <w:shd w:val="clear" w:color="auto" w:fill="CCEDFF"/>
          </w:tcPr>
          <w:p>
            <w:pPr>
              <w:spacing w:after="0"/>
              <w:rPr>
                <w:sz w:val="20"/>
                <w:szCs w:val="20"/>
                <w:color w:val="auto"/>
              </w:rPr>
            </w:pPr>
          </w:p>
        </w:tc>
        <w:tc>
          <w:tcPr>
            <w:tcW w:w="62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380" w:type="dxa"/>
            <w:vAlign w:val="bottom"/>
            <w:shd w:val="clear" w:color="auto" w:fill="CCEDFF"/>
          </w:tcPr>
          <w:p>
            <w:pPr>
              <w:spacing w:after="0"/>
              <w:rPr>
                <w:sz w:val="20"/>
                <w:szCs w:val="20"/>
                <w:color w:val="auto"/>
              </w:rPr>
            </w:pPr>
          </w:p>
        </w:tc>
        <w:tc>
          <w:tcPr>
            <w:tcW w:w="130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300" w:type="dxa"/>
            <w:vAlign w:val="bottom"/>
            <w:shd w:val="clear" w:color="auto" w:fill="CCEDFF"/>
          </w:tcPr>
          <w:p>
            <w:pPr>
              <w:spacing w:after="0"/>
              <w:rPr>
                <w:sz w:val="20"/>
                <w:szCs w:val="20"/>
                <w:color w:val="auto"/>
              </w:rPr>
            </w:pPr>
          </w:p>
        </w:tc>
        <w:tc>
          <w:tcPr>
            <w:tcW w:w="140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1840" w:type="dxa"/>
            <w:vAlign w:val="bottom"/>
            <w:shd w:val="clear" w:color="auto" w:fill="CCEDFF"/>
          </w:tcPr>
          <w:p>
            <w:pPr>
              <w:spacing w:after="0"/>
              <w:rPr>
                <w:sz w:val="20"/>
                <w:szCs w:val="20"/>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1080" w:type="dxa"/>
            <w:vAlign w:val="bottom"/>
            <w:shd w:val="clear" w:color="auto" w:fill="CCEDFF"/>
          </w:tcPr>
          <w:p>
            <w:pPr>
              <w:spacing w:after="0"/>
              <w:rPr>
                <w:sz w:val="19"/>
                <w:szCs w:val="19"/>
                <w:color w:val="auto"/>
              </w:rPr>
            </w:pPr>
          </w:p>
        </w:tc>
        <w:tc>
          <w:tcPr>
            <w:tcW w:w="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080" w:type="dxa"/>
            <w:vAlign w:val="bottom"/>
            <w:shd w:val="clear" w:color="auto" w:fill="CCEDFF"/>
          </w:tcPr>
          <w:p>
            <w:pPr>
              <w:spacing w:after="0"/>
              <w:rPr>
                <w:sz w:val="19"/>
                <w:szCs w:val="19"/>
                <w:color w:val="auto"/>
              </w:rPr>
            </w:pPr>
          </w:p>
        </w:tc>
        <w:tc>
          <w:tcPr>
            <w:tcW w:w="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55.7 %</w:t>
            </w: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30"/>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1080" w:type="dxa"/>
            <w:vAlign w:val="bottom"/>
            <w:shd w:val="clear" w:color="auto" w:fill="CCEDFF"/>
          </w:tcPr>
          <w:p>
            <w:pPr>
              <w:spacing w:after="0"/>
              <w:rPr>
                <w:sz w:val="19"/>
                <w:szCs w:val="19"/>
                <w:color w:val="auto"/>
              </w:rPr>
            </w:pPr>
          </w:p>
        </w:tc>
        <w:tc>
          <w:tcPr>
            <w:tcW w:w="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(13,317)</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29"/>
        </w:trPr>
        <w:tc>
          <w:tcPr>
            <w:tcW w:w="390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Borders>
              <w:bottom w:val="single" w:sz="8" w:color="CCED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4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40" w:type="dxa"/>
            <w:vAlign w:val="bottom"/>
            <w:tcBorders>
              <w:bottom w:val="single" w:sz="8" w:color="CCED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3"/>
        </w:trPr>
        <w:tc>
          <w:tcPr>
            <w:tcW w:w="390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080" w:type="dxa"/>
            <w:vAlign w:val="bottom"/>
            <w:tcBorders>
              <w:bottom w:val="single" w:sz="8" w:color="auto"/>
            </w:tcBorders>
            <w:shd w:val="clear" w:color="auto" w:fill="CCEDFF"/>
          </w:tcPr>
          <w:p>
            <w:pPr>
              <w:spacing w:after="0"/>
              <w:rPr>
                <w:sz w:val="19"/>
                <w:szCs w:val="19"/>
                <w:color w:val="auto"/>
              </w:rPr>
            </w:pPr>
          </w:p>
        </w:tc>
        <w:tc>
          <w:tcPr>
            <w:tcW w:w="6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40" w:type="dxa"/>
            <w:vAlign w:val="bottom"/>
            <w:shd w:val="clear" w:color="auto" w:fill="CCEDFF"/>
          </w:tcPr>
          <w:p>
            <w:pPr>
              <w:spacing w:after="0"/>
              <w:rPr>
                <w:sz w:val="19"/>
                <w:szCs w:val="19"/>
                <w:color w:val="auto"/>
              </w:rPr>
            </w:pPr>
          </w:p>
        </w:tc>
        <w:tc>
          <w:tcPr>
            <w:tcW w:w="380" w:type="dxa"/>
            <w:vAlign w:val="bottom"/>
            <w:tcBorders>
              <w:bottom w:val="single" w:sz="8" w:color="auto"/>
            </w:tcBorders>
            <w:shd w:val="clear" w:color="auto" w:fill="CCEDFF"/>
          </w:tcPr>
          <w:p>
            <w:pPr>
              <w:spacing w:after="0"/>
              <w:rPr>
                <w:sz w:val="19"/>
                <w:szCs w:val="19"/>
                <w:color w:val="auto"/>
              </w:rPr>
            </w:pPr>
          </w:p>
        </w:tc>
        <w:tc>
          <w:tcPr>
            <w:tcW w:w="13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14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140" w:type="dxa"/>
            <w:vAlign w:val="bottom"/>
            <w:shd w:val="clear" w:color="auto" w:fill="CCEDFF"/>
          </w:tcPr>
          <w:p>
            <w:pPr>
              <w:spacing w:after="0"/>
              <w:rPr>
                <w:sz w:val="19"/>
                <w:szCs w:val="19"/>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50"/>
        </w:trPr>
        <w:tc>
          <w:tcPr>
            <w:tcW w:w="3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30"/>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(loss) income, net</w:t>
            </w:r>
          </w:p>
        </w:tc>
        <w:tc>
          <w:tcPr>
            <w:tcW w:w="1080" w:type="dxa"/>
            <w:vAlign w:val="bottom"/>
            <w:shd w:val="clear" w:color="auto" w:fill="CCEDFF"/>
          </w:tcPr>
          <w:p>
            <w:pPr>
              <w:spacing w:after="0"/>
              <w:rPr>
                <w:sz w:val="19"/>
                <w:szCs w:val="19"/>
                <w:color w:val="auto"/>
              </w:rPr>
            </w:pPr>
          </w:p>
        </w:tc>
        <w:tc>
          <w:tcPr>
            <w:tcW w:w="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29"/>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Borders>
              <w:bottom w:val="single" w:sz="8" w:color="auto"/>
            </w:tcBorders>
            <w:shd w:val="clear" w:color="auto" w:fill="CCEDFF"/>
          </w:tcPr>
          <w:p>
            <w:pPr>
              <w:spacing w:after="0"/>
              <w:rPr>
                <w:sz w:val="19"/>
                <w:szCs w:val="19"/>
                <w:color w:val="auto"/>
              </w:rPr>
            </w:pPr>
          </w:p>
        </w:tc>
        <w:tc>
          <w:tcPr>
            <w:tcW w:w="6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40" w:type="dxa"/>
            <w:vAlign w:val="bottom"/>
            <w:shd w:val="clear" w:color="auto" w:fill="CCEDFF"/>
          </w:tcPr>
          <w:p>
            <w:pPr>
              <w:spacing w:after="0"/>
              <w:rPr>
                <w:sz w:val="19"/>
                <w:szCs w:val="19"/>
                <w:color w:val="auto"/>
              </w:rPr>
            </w:pPr>
          </w:p>
        </w:tc>
        <w:tc>
          <w:tcPr>
            <w:tcW w:w="380" w:type="dxa"/>
            <w:vAlign w:val="bottom"/>
            <w:tcBorders>
              <w:bottom w:val="single" w:sz="8" w:color="auto"/>
            </w:tcBorders>
            <w:shd w:val="clear" w:color="auto" w:fill="CCEDFF"/>
          </w:tcPr>
          <w:p>
            <w:pPr>
              <w:spacing w:after="0"/>
              <w:rPr>
                <w:sz w:val="19"/>
                <w:szCs w:val="19"/>
                <w:color w:val="auto"/>
              </w:rPr>
            </w:pPr>
          </w:p>
        </w:tc>
        <w:tc>
          <w:tcPr>
            <w:tcW w:w="13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4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shd w:val="clear" w:color="auto" w:fill="CCEDFF"/>
          </w:tcPr>
          <w:p>
            <w:pPr>
              <w:spacing w:after="0"/>
              <w:rPr>
                <w:sz w:val="19"/>
                <w:szCs w:val="19"/>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23"/>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29"/>
        </w:trPr>
        <w:tc>
          <w:tcPr>
            <w:tcW w:w="390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080" w:type="dxa"/>
            <w:vAlign w:val="bottom"/>
            <w:shd w:val="clear" w:color="auto" w:fill="CCEDFF"/>
          </w:tcPr>
          <w:p>
            <w:pPr>
              <w:spacing w:after="0"/>
              <w:rPr>
                <w:sz w:val="19"/>
                <w:szCs w:val="19"/>
                <w:color w:val="auto"/>
              </w:rPr>
            </w:pPr>
          </w:p>
        </w:tc>
        <w:tc>
          <w:tcPr>
            <w:tcW w:w="76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DFF"/>
          </w:tcPr>
          <w:p>
            <w:pPr>
              <w:spacing w:after="0"/>
              <w:rPr>
                <w:sz w:val="19"/>
                <w:szCs w:val="19"/>
                <w:color w:val="auto"/>
              </w:rPr>
            </w:pPr>
          </w:p>
        </w:tc>
        <w:tc>
          <w:tcPr>
            <w:tcW w:w="144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DFF"/>
          </w:tcPr>
          <w:p>
            <w:pPr>
              <w:spacing w:after="0"/>
              <w:rPr>
                <w:sz w:val="19"/>
                <w:szCs w:val="19"/>
                <w:color w:val="auto"/>
              </w:rPr>
            </w:pPr>
          </w:p>
        </w:tc>
        <w:tc>
          <w:tcPr>
            <w:tcW w:w="154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3"/>
        </w:trPr>
        <w:tc>
          <w:tcPr>
            <w:tcW w:w="39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184"/>
        </w:trPr>
        <w:tc>
          <w:tcPr>
            <w:tcW w:w="3900" w:type="dxa"/>
            <w:vAlign w:val="bottom"/>
            <w:shd w:val="clear" w:color="auto" w:fill="CCEDFF"/>
          </w:tcPr>
          <w:p>
            <w:pPr>
              <w:ind w:left="560"/>
              <w:spacing w:after="0" w:line="184"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1080" w:type="dxa"/>
            <w:vAlign w:val="bottom"/>
            <w:shd w:val="clear" w:color="auto" w:fill="CCEDFF"/>
          </w:tcPr>
          <w:p>
            <w:pPr>
              <w:spacing w:after="0"/>
              <w:rPr>
                <w:sz w:val="16"/>
                <w:szCs w:val="16"/>
                <w:color w:val="auto"/>
              </w:rPr>
            </w:pPr>
          </w:p>
        </w:tc>
        <w:tc>
          <w:tcPr>
            <w:tcW w:w="620" w:type="dxa"/>
            <w:vAlign w:val="bottom"/>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380" w:type="dxa"/>
            <w:vAlign w:val="bottom"/>
            <w:shd w:val="clear" w:color="auto" w:fill="CCEDFF"/>
          </w:tcPr>
          <w:p>
            <w:pPr>
              <w:spacing w:after="0"/>
              <w:rPr>
                <w:sz w:val="16"/>
                <w:szCs w:val="16"/>
                <w:color w:val="auto"/>
              </w:rPr>
            </w:pPr>
          </w:p>
        </w:tc>
        <w:tc>
          <w:tcPr>
            <w:tcW w:w="1300" w:type="dxa"/>
            <w:vAlign w:val="bottom"/>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300" w:type="dxa"/>
            <w:vAlign w:val="bottom"/>
            <w:shd w:val="clear" w:color="auto" w:fill="CCEDFF"/>
          </w:tcPr>
          <w:p>
            <w:pPr>
              <w:spacing w:after="0"/>
              <w:rPr>
                <w:sz w:val="16"/>
                <w:szCs w:val="16"/>
                <w:color w:val="auto"/>
              </w:rPr>
            </w:pPr>
          </w:p>
        </w:tc>
        <w:tc>
          <w:tcPr>
            <w:tcW w:w="1400" w:type="dxa"/>
            <w:vAlign w:val="bottom"/>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1840" w:type="dxa"/>
            <w:vAlign w:val="bottom"/>
            <w:shd w:val="clear" w:color="auto" w:fill="CCEDFF"/>
          </w:tcPr>
          <w:p>
            <w:pPr>
              <w:spacing w:after="0"/>
              <w:rPr>
                <w:sz w:val="16"/>
                <w:szCs w:val="16"/>
                <w:color w:val="auto"/>
              </w:rPr>
            </w:pPr>
          </w:p>
        </w:tc>
      </w:tr>
      <w:tr>
        <w:trPr>
          <w:trHeight w:val="234"/>
        </w:trPr>
        <w:tc>
          <w:tcPr>
            <w:tcW w:w="3900" w:type="dxa"/>
            <w:vAlign w:val="bottom"/>
            <w:shd w:val="clear" w:color="auto" w:fill="CCEDFF"/>
          </w:tcPr>
          <w:p>
            <w:pPr>
              <w:ind w:left="560"/>
              <w:spacing w:after="0"/>
              <w:rPr>
                <w:sz w:val="20"/>
                <w:szCs w:val="20"/>
                <w:color w:val="auto"/>
              </w:rPr>
            </w:pPr>
            <w:r>
              <w:rPr>
                <w:rFonts w:ascii="Times New Roman" w:cs="Times New Roman" w:eastAsia="Times New Roman" w:hAnsi="Times New Roman"/>
                <w:sz w:val="18"/>
                <w:szCs w:val="18"/>
                <w:color w:val="auto"/>
              </w:rPr>
              <w:t>interests</w:t>
            </w:r>
          </w:p>
        </w:tc>
        <w:tc>
          <w:tcPr>
            <w:tcW w:w="1080" w:type="dxa"/>
            <w:vAlign w:val="bottom"/>
            <w:tcBorders>
              <w:bottom w:val="single" w:sz="8" w:color="auto"/>
            </w:tcBorders>
            <w:shd w:val="clear" w:color="auto" w:fill="CCEDFF"/>
          </w:tcPr>
          <w:p>
            <w:pPr>
              <w:spacing w:after="0"/>
              <w:rPr>
                <w:sz w:val="20"/>
                <w:szCs w:val="20"/>
                <w:color w:val="auto"/>
              </w:rPr>
            </w:pPr>
          </w:p>
        </w:tc>
        <w:tc>
          <w:tcPr>
            <w:tcW w:w="6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DFF"/>
          </w:tcPr>
          <w:p>
            <w:pPr>
              <w:spacing w:after="0"/>
              <w:rPr>
                <w:sz w:val="20"/>
                <w:szCs w:val="20"/>
                <w:color w:val="auto"/>
              </w:rPr>
            </w:pPr>
          </w:p>
        </w:tc>
        <w:tc>
          <w:tcPr>
            <w:tcW w:w="380" w:type="dxa"/>
            <w:vAlign w:val="bottom"/>
            <w:tcBorders>
              <w:bottom w:val="single" w:sz="8" w:color="auto"/>
            </w:tcBorders>
            <w:shd w:val="clear" w:color="auto" w:fill="CCEDFF"/>
          </w:tcPr>
          <w:p>
            <w:pPr>
              <w:spacing w:after="0"/>
              <w:rPr>
                <w:sz w:val="20"/>
                <w:szCs w:val="20"/>
                <w:color w:val="auto"/>
              </w:rPr>
            </w:pPr>
          </w:p>
        </w:tc>
        <w:tc>
          <w:tcPr>
            <w:tcW w:w="13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40" w:type="dxa"/>
            <w:vAlign w:val="bottom"/>
            <w:shd w:val="clear" w:color="auto" w:fill="CCEDFF"/>
          </w:tcPr>
          <w:p>
            <w:pPr>
              <w:spacing w:after="0"/>
              <w:rPr>
                <w:sz w:val="20"/>
                <w:szCs w:val="20"/>
                <w:color w:val="auto"/>
              </w:rPr>
            </w:pPr>
          </w:p>
        </w:tc>
        <w:tc>
          <w:tcPr>
            <w:tcW w:w="300" w:type="dxa"/>
            <w:vAlign w:val="bottom"/>
            <w:tcBorders>
              <w:bottom w:val="single" w:sz="8" w:color="auto"/>
            </w:tcBorders>
            <w:shd w:val="clear" w:color="auto" w:fill="CCEDFF"/>
          </w:tcPr>
          <w:p>
            <w:pPr>
              <w:spacing w:after="0"/>
              <w:rPr>
                <w:sz w:val="20"/>
                <w:szCs w:val="20"/>
                <w:color w:val="auto"/>
              </w:rPr>
            </w:pPr>
          </w:p>
        </w:tc>
        <w:tc>
          <w:tcPr>
            <w:tcW w:w="14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shd w:val="clear" w:color="auto" w:fill="CCEDFF"/>
          </w:tcPr>
          <w:p>
            <w:pPr>
              <w:spacing w:after="0"/>
              <w:rPr>
                <w:sz w:val="20"/>
                <w:szCs w:val="20"/>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3"/>
        </w:trPr>
        <w:tc>
          <w:tcPr>
            <w:tcW w:w="39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4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3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2025 and 2024, total revenues were $7.3 million and $23.0 million, respectively, representing a period-over-period decrease of 68.4%, which was primarily due to a decrease in consolidated fund revenues resulting from the deconsolidation of Caliber Hospitality Trust and Caliber Hospitality, LP and its consolidated subsidiaries in March 2024. In addition, Elliot &amp; 51st St LLC (“Elliot”), DT Mesa Holdco II, LLC (“DT Mesa”), and CFIF III were deconsolidated during the year ended December 31, 2024. This decrease, was partially offset by an increase in asset management revenues, primarily driven by an increase in fund management revenues. See the Segment Analysis section below in which revenues are presented on a basis that deconsolidates our consolidated funds. As a result, segment revenues are different than those presented on a consolidated basis in accordance with U.S. GAAP, because these fees are eliminated in consolidation when they are derived from a consolidated fund.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total expenses were $9.9 million and $27.3 million, respectively, representing a period-over-period decrease of 63.9%. The decrease was primarily due to a decrease in consolidated fund expenses which was primarily due to the deconsolidation of Caliber Hospitality Trust, Caliber Hospitality, LP, Elliot, DT Mesa, and CFIF III.</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Platform (Unconsolidated) Results of Operations for the Three Months Ended March 31, 2025 and 2024</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and discussion provide insight into our unconsolidated results of operations of the Platform for the three months ended March 31, 2025 and 2024 (in thousands): Unconsolidated Platform revenues and expenses are presented on a basis that deconsolidates our consolidated funds (intercompany eliminations) and eliminates noncontrolling interest. As a result, unconsolidated Platform revenues are different than those presented on a consolidated basis in accordance with U.S. GAAP, because fee revenue is eliminated in consolidation when it is derived from a consolidated fund and due to the exclusion of the fund revenue recognized by the consolidated funds. Furthermore, unconsolidated Platform expenses are also different than those presented on a consolidated U.S. GAAP basis due to the exclusion of fund expenses that are paid by the consolidated funds. See the Non-GAAP Measures section below for reconciliations of the unconsolidated Platform results to the most comparable U.S. GAAP measure.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66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90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80" w:type="dxa"/>
            <w:vAlign w:val="bottom"/>
            <w:tcBorders>
              <w:top w:val="single" w:sz="8" w:color="auto"/>
            </w:tcBorders>
            <w:shd w:val="clear" w:color="auto" w:fill="CCEDFF"/>
          </w:tcPr>
          <w:p>
            <w:pPr>
              <w:spacing w:after="0"/>
              <w:rPr>
                <w:sz w:val="18"/>
                <w:szCs w:val="18"/>
                <w:color w:val="auto"/>
              </w:rPr>
            </w:pPr>
          </w:p>
        </w:tc>
        <w:tc>
          <w:tcPr>
            <w:tcW w:w="60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380" w:type="dxa"/>
            <w:vAlign w:val="bottom"/>
            <w:tcBorders>
              <w:top w:val="single" w:sz="8" w:color="auto"/>
            </w:tcBorders>
            <w:shd w:val="clear" w:color="auto" w:fill="CCEDFF"/>
          </w:tcPr>
          <w:p>
            <w:pPr>
              <w:spacing w:after="0"/>
              <w:rPr>
                <w:sz w:val="18"/>
                <w:szCs w:val="18"/>
                <w:color w:val="auto"/>
              </w:rPr>
            </w:pPr>
          </w:p>
        </w:tc>
        <w:tc>
          <w:tcPr>
            <w:tcW w:w="132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0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1840" w:type="dxa"/>
            <w:vAlign w:val="bottom"/>
            <w:tcBorders>
              <w:top w:val="single" w:sz="8" w:color="auto"/>
            </w:tcBorders>
            <w:shd w:val="clear" w:color="auto" w:fill="CCEDFF"/>
          </w:tcPr>
          <w:p>
            <w:pPr>
              <w:spacing w:after="0"/>
              <w:rPr>
                <w:sz w:val="18"/>
                <w:szCs w:val="18"/>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08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DFF"/>
          </w:tcPr>
          <w:p>
            <w:pPr>
              <w:spacing w:after="0"/>
              <w:rPr>
                <w:sz w:val="19"/>
                <w:szCs w:val="19"/>
                <w:color w:val="auto"/>
              </w:rPr>
            </w:pPr>
          </w:p>
        </w:tc>
        <w:tc>
          <w:tcPr>
            <w:tcW w:w="380" w:type="dxa"/>
            <w:vAlign w:val="bottom"/>
            <w:tcBorders>
              <w:bottom w:val="single" w:sz="8" w:color="auto"/>
            </w:tcBorders>
            <w:shd w:val="clear" w:color="auto" w:fill="CCEDFF"/>
          </w:tcPr>
          <w:p>
            <w:pPr>
              <w:spacing w:after="0"/>
              <w:rPr>
                <w:sz w:val="19"/>
                <w:szCs w:val="19"/>
                <w:color w:val="auto"/>
              </w:rPr>
            </w:pPr>
          </w:p>
        </w:tc>
        <w:tc>
          <w:tcPr>
            <w:tcW w:w="13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DFF"/>
          </w:tcPr>
          <w:p>
            <w:pPr>
              <w:spacing w:after="0"/>
              <w:rPr>
                <w:sz w:val="19"/>
                <w:szCs w:val="19"/>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23"/>
        </w:trPr>
        <w:tc>
          <w:tcPr>
            <w:tcW w:w="390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40" w:type="dxa"/>
            <w:vAlign w:val="bottom"/>
            <w:tcBorders>
              <w:bottom w:val="single" w:sz="8" w:color="CCED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4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40" w:type="dxa"/>
            <w:vAlign w:val="bottom"/>
            <w:tcBorders>
              <w:bottom w:val="single" w:sz="8" w:color="CCED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7"/>
        </w:trPr>
        <w:tc>
          <w:tcPr>
            <w:tcW w:w="3900" w:type="dxa"/>
            <w:vAlign w:val="bottom"/>
            <w:shd w:val="clear" w:color="auto" w:fill="CCEDFF"/>
          </w:tcPr>
          <w:p>
            <w:pPr>
              <w:spacing w:after="0"/>
              <w:rPr>
                <w:sz w:val="20"/>
                <w:szCs w:val="20"/>
                <w:color w:val="auto"/>
              </w:rPr>
            </w:pPr>
          </w:p>
        </w:tc>
        <w:tc>
          <w:tcPr>
            <w:tcW w:w="1080" w:type="dxa"/>
            <w:vAlign w:val="bottom"/>
            <w:shd w:val="clear" w:color="auto" w:fill="CCEDFF"/>
          </w:tcPr>
          <w:p>
            <w:pPr>
              <w:spacing w:after="0"/>
              <w:rPr>
                <w:sz w:val="20"/>
                <w:szCs w:val="20"/>
                <w:color w:val="auto"/>
              </w:rPr>
            </w:pPr>
          </w:p>
        </w:tc>
        <w:tc>
          <w:tcPr>
            <w:tcW w:w="60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380" w:type="dxa"/>
            <w:vAlign w:val="bottom"/>
            <w:shd w:val="clear" w:color="auto" w:fill="CCEDFF"/>
          </w:tcPr>
          <w:p>
            <w:pPr>
              <w:spacing w:after="0"/>
              <w:rPr>
                <w:sz w:val="20"/>
                <w:szCs w:val="20"/>
                <w:color w:val="auto"/>
              </w:rPr>
            </w:pPr>
          </w:p>
        </w:tc>
        <w:tc>
          <w:tcPr>
            <w:tcW w:w="132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300" w:type="dxa"/>
            <w:vAlign w:val="bottom"/>
            <w:shd w:val="clear" w:color="auto" w:fill="CCEDFF"/>
          </w:tcPr>
          <w:p>
            <w:pPr>
              <w:spacing w:after="0"/>
              <w:rPr>
                <w:sz w:val="20"/>
                <w:szCs w:val="20"/>
                <w:color w:val="auto"/>
              </w:rPr>
            </w:pPr>
          </w:p>
        </w:tc>
        <w:tc>
          <w:tcPr>
            <w:tcW w:w="140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1840" w:type="dxa"/>
            <w:vAlign w:val="bottom"/>
            <w:shd w:val="clear" w:color="auto" w:fill="CCEDFF"/>
          </w:tcPr>
          <w:p>
            <w:pPr>
              <w:spacing w:after="0"/>
              <w:rPr>
                <w:sz w:val="20"/>
                <w:szCs w:val="20"/>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108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08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55.7 %</w:t>
            </w:r>
          </w:p>
        </w:tc>
      </w:tr>
      <w:tr>
        <w:trPr>
          <w:trHeight w:val="229"/>
        </w:trPr>
        <w:tc>
          <w:tcPr>
            <w:tcW w:w="390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Borders>
              <w:bottom w:val="single" w:sz="8" w:color="CCED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D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390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08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40" w:type="dxa"/>
            <w:vAlign w:val="bottom"/>
            <w:shd w:val="clear" w:color="auto" w:fill="CCEDFF"/>
          </w:tcPr>
          <w:p>
            <w:pPr>
              <w:spacing w:after="0"/>
              <w:rPr>
                <w:sz w:val="19"/>
                <w:szCs w:val="19"/>
                <w:color w:val="auto"/>
              </w:rPr>
            </w:pPr>
          </w:p>
        </w:tc>
        <w:tc>
          <w:tcPr>
            <w:tcW w:w="380" w:type="dxa"/>
            <w:vAlign w:val="bottom"/>
            <w:tcBorders>
              <w:bottom w:val="single" w:sz="8" w:color="auto"/>
            </w:tcBorders>
            <w:shd w:val="clear" w:color="auto" w:fill="CCEDFF"/>
          </w:tcPr>
          <w:p>
            <w:pPr>
              <w:spacing w:after="0"/>
              <w:rPr>
                <w:sz w:val="19"/>
                <w:szCs w:val="19"/>
                <w:color w:val="auto"/>
              </w:rPr>
            </w:pPr>
          </w:p>
        </w:tc>
        <w:tc>
          <w:tcPr>
            <w:tcW w:w="13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4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40" w:type="dxa"/>
            <w:vAlign w:val="bottom"/>
            <w:shd w:val="clear" w:color="auto" w:fill="CCEDFF"/>
          </w:tcPr>
          <w:p>
            <w:pPr>
              <w:spacing w:after="0"/>
              <w:rPr>
                <w:sz w:val="19"/>
                <w:szCs w:val="19"/>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50"/>
        </w:trPr>
        <w:tc>
          <w:tcPr>
            <w:tcW w:w="3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29"/>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08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30"/>
        </w:trPr>
        <w:tc>
          <w:tcPr>
            <w:tcW w:w="39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40" w:type="dxa"/>
            <w:vAlign w:val="bottom"/>
            <w:shd w:val="clear" w:color="auto" w:fill="CCEDFF"/>
          </w:tcPr>
          <w:p>
            <w:pPr>
              <w:spacing w:after="0"/>
              <w:rPr>
                <w:sz w:val="19"/>
                <w:szCs w:val="19"/>
                <w:color w:val="auto"/>
              </w:rPr>
            </w:pPr>
          </w:p>
        </w:tc>
        <w:tc>
          <w:tcPr>
            <w:tcW w:w="380" w:type="dxa"/>
            <w:vAlign w:val="bottom"/>
            <w:tcBorders>
              <w:bottom w:val="single" w:sz="8" w:color="auto"/>
            </w:tcBorders>
            <w:shd w:val="clear" w:color="auto" w:fill="CCEDFF"/>
          </w:tcPr>
          <w:p>
            <w:pPr>
              <w:spacing w:after="0"/>
              <w:rPr>
                <w:sz w:val="19"/>
                <w:szCs w:val="19"/>
                <w:color w:val="auto"/>
              </w:rPr>
            </w:pPr>
          </w:p>
        </w:tc>
        <w:tc>
          <w:tcPr>
            <w:tcW w:w="13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4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DFF"/>
          </w:tcPr>
          <w:p>
            <w:pPr>
              <w:spacing w:after="0"/>
              <w:rPr>
                <w:sz w:val="19"/>
                <w:szCs w:val="19"/>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29"/>
        </w:trPr>
        <w:tc>
          <w:tcPr>
            <w:tcW w:w="390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080" w:type="dxa"/>
            <w:vAlign w:val="bottom"/>
            <w:shd w:val="clear" w:color="auto" w:fill="CCEDFF"/>
          </w:tcPr>
          <w:p>
            <w:pPr>
              <w:spacing w:after="0"/>
              <w:rPr>
                <w:sz w:val="19"/>
                <w:szCs w:val="19"/>
                <w:color w:val="auto"/>
              </w:rPr>
            </w:pPr>
          </w:p>
        </w:tc>
        <w:tc>
          <w:tcPr>
            <w:tcW w:w="74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DFF"/>
          </w:tcPr>
          <w:p>
            <w:pPr>
              <w:spacing w:after="0"/>
              <w:rPr>
                <w:sz w:val="19"/>
                <w:szCs w:val="19"/>
                <w:color w:val="auto"/>
              </w:rPr>
            </w:pPr>
          </w:p>
        </w:tc>
        <w:tc>
          <w:tcPr>
            <w:tcW w:w="146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DFF"/>
          </w:tcPr>
          <w:p>
            <w:pPr>
              <w:spacing w:after="0"/>
              <w:rPr>
                <w:sz w:val="19"/>
                <w:szCs w:val="19"/>
                <w:color w:val="auto"/>
              </w:rPr>
            </w:pPr>
          </w:p>
        </w:tc>
        <w:tc>
          <w:tcPr>
            <w:tcW w:w="154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3"/>
        </w:trPr>
        <w:tc>
          <w:tcPr>
            <w:tcW w:w="39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Pr>
          <w:p>
            <w:pPr>
              <w:spacing w:after="0"/>
              <w:rPr>
                <w:sz w:val="19"/>
                <w:szCs w:val="19"/>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0"/>
        </w:trPr>
        <w:tc>
          <w:tcPr>
            <w:tcW w:w="3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and 2024, total revenues were $3.5 million and $4.7 million, respectively, representing a period-over-period decrease of 24.9%. The table below (in thousands) compares the revenues earned for providing services under the Company’s asset management Platform as described in the Revenue Recognition section of Note 2 – Summary of Significant Accounting Policies for the three months ended March 31, 2025, to the revenues earned for the same period in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1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 management</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3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48"/>
        </w:trPr>
        <w:tc>
          <w:tcPr>
            <w:tcW w:w="3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unconsolidated Platform revenue</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fund management fees is related to an increase in managed capital and fees earned from the Caliber Hospitality Trust related to the acquisition of one hotel property. Fund management fees are based on 1.0% to 1.5% of the unreturned capital contributions in each fund and a fund management fee of 0.7% of the Caliber Hospitality Trust’s enterprise value.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development and construction fees is primarily due to a decrease in active development projects from eight projects during the period ended March 2024, to four projects during the comparative period ended March 2025, including two new development projects which saw an increase in development fees related to the achievement of milestones for existing completed development activities.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2025 and 2024, total expenses were $6.1 million and $7.7 million, respectively, representing a period-over-period decrease of 21.2%. The decrease was primarily due to a decrease in payroll and bonus expense due to a decrease in employee headcount offset by an increase in stock-based compensation primarily due to the continued expensing of employee RSU grants over the prerequisite service periods.</w:t>
      </w:r>
    </w:p>
    <w:p>
      <w:pPr>
        <w:spacing w:after="0" w:line="136"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2025 and 2024, other income, net was immaterial and $0.5 million, respectively. The decrease was primarily due to a non-recurring legal settlement in 2024 and a decrease in pursuit costs, partially offset by incremental impairment charges related to certain investments and related party notes receivables.</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2025 and 2024, interest expense was $1.6 million and $1.3 million, respectively. The increase was primarily due to an increase in short-term operating loans outstanding during the three months ended March 31, 2025, offset by a decrease in the average corporate notes principal balance outstanding in the same period in 2024.</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Balance Sheets - </w:t>
      </w:r>
      <w:r>
        <w:rPr>
          <w:rFonts w:ascii="Times New Roman" w:cs="Times New Roman" w:eastAsia="Times New Roman" w:hAnsi="Times New Roman"/>
          <w:sz w:val="18"/>
          <w:szCs w:val="18"/>
          <w:b w:val="1"/>
          <w:bCs w:val="1"/>
          <w:i w:val="1"/>
          <w:iCs w:val="1"/>
          <w:color w:val="000000"/>
        </w:rPr>
        <w:t>Asset Management Platform (Unconsolidated)</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and discussion provide insight into our unconsolidated balance sheets of the asset management Platform as of March 31, 2025 and December 31, 2024. Unconsolidated assets, liabilities and stockholders’ equity are presented on a basis that deconsolidates our consolidated funds (intercompany eliminations). Total assets, total liabilities, and total stockholders’ equity are different than those presented on a consolidated basis in accordance with U.S. GAAP, because certain accounts (including notes receivable, due from/to related parties, and investments in unconsolidated entities) are eliminated in consolidation when they are due from/to consolidated funds. Furthermore, we are required to add to this balance sheet, assets and liabilities and equity of the consolidated funds which are items that are not available to a shareholder of CWD. See the Non-GAAP Measures section below for reconciliations of the unconsolidated results to the most comparable U.S. GAAP measure.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0"/>
                <w:szCs w:val="20"/>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D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300" w:type="dxa"/>
            <w:vAlign w:val="bottom"/>
            <w:shd w:val="clear" w:color="auto" w:fill="CCEDFF"/>
          </w:tcPr>
          <w:p>
            <w:pPr>
              <w:spacing w:after="0"/>
              <w:rPr>
                <w:sz w:val="19"/>
                <w:szCs w:val="19"/>
                <w:color w:val="auto"/>
              </w:rPr>
            </w:pPr>
          </w:p>
        </w:tc>
        <w:tc>
          <w:tcPr>
            <w:tcW w:w="1840" w:type="dxa"/>
            <w:vAlign w:val="bottom"/>
            <w:shd w:val="clear" w:color="auto" w:fill="CCEDFF"/>
          </w:tcPr>
          <w:p>
            <w:pPr>
              <w:spacing w:after="0"/>
              <w:rPr>
                <w:sz w:val="19"/>
                <w:szCs w:val="19"/>
                <w:color w:val="auto"/>
              </w:rPr>
            </w:pPr>
          </w:p>
        </w:tc>
        <w:tc>
          <w:tcPr>
            <w:tcW w:w="1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30"/>
        </w:trPr>
        <w:tc>
          <w:tcPr>
            <w:tcW w:w="68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0" w:type="dxa"/>
            <w:vAlign w:val="bottom"/>
          </w:tcPr>
          <w:p>
            <w:pPr>
              <w:spacing w:after="0"/>
              <w:rPr>
                <w:sz w:val="1"/>
                <w:szCs w:val="1"/>
                <w:color w:val="auto"/>
              </w:rPr>
            </w:pPr>
          </w:p>
        </w:tc>
      </w:tr>
      <w:tr>
        <w:trPr>
          <w:trHeight w:val="229"/>
        </w:trPr>
        <w:tc>
          <w:tcPr>
            <w:tcW w:w="68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30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0" w:type="dxa"/>
            <w:vAlign w:val="bottom"/>
          </w:tcPr>
          <w:p>
            <w:pPr>
              <w:spacing w:after="0"/>
              <w:rPr>
                <w:sz w:val="1"/>
                <w:szCs w:val="1"/>
                <w:color w:val="auto"/>
              </w:rPr>
            </w:pPr>
          </w:p>
        </w:tc>
      </w:tr>
      <w:tr>
        <w:trPr>
          <w:trHeight w:val="229"/>
        </w:trPr>
        <w:tc>
          <w:tcPr>
            <w:tcW w:w="68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30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15,941</w:t>
            </w:r>
          </w:p>
        </w:tc>
        <w:tc>
          <w:tcPr>
            <w:tcW w:w="1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0" w:type="dxa"/>
            <w:vAlign w:val="bottom"/>
          </w:tcPr>
          <w:p>
            <w:pPr>
              <w:spacing w:after="0"/>
              <w:rPr>
                <w:sz w:val="1"/>
                <w:szCs w:val="1"/>
                <w:color w:val="auto"/>
              </w:rPr>
            </w:pPr>
          </w:p>
        </w:tc>
      </w:tr>
      <w:tr>
        <w:trPr>
          <w:trHeight w:val="229"/>
        </w:trPr>
        <w:tc>
          <w:tcPr>
            <w:tcW w:w="68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DFF"/>
          </w:tcPr>
          <w:p>
            <w:pPr>
              <w:spacing w:after="0"/>
              <w:rPr>
                <w:sz w:val="19"/>
                <w:szCs w:val="19"/>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6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55,725</w:t>
            </w:r>
          </w:p>
        </w:tc>
        <w:tc>
          <w:tcPr>
            <w:tcW w:w="16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57,077</w:t>
            </w:r>
          </w:p>
        </w:tc>
        <w:tc>
          <w:tcPr>
            <w:tcW w:w="0" w:type="dxa"/>
            <w:vAlign w:val="bottom"/>
          </w:tcPr>
          <w:p>
            <w:pPr>
              <w:spacing w:after="0"/>
              <w:rPr>
                <w:sz w:val="1"/>
                <w:szCs w:val="1"/>
                <w:color w:val="auto"/>
              </w:rPr>
            </w:pPr>
          </w:p>
        </w:tc>
      </w:tr>
      <w:tr>
        <w:trPr>
          <w:trHeight w:val="236"/>
        </w:trPr>
        <w:tc>
          <w:tcPr>
            <w:tcW w:w="6800" w:type="dxa"/>
            <w:vAlign w:val="bottom"/>
            <w:shd w:val="clear" w:color="auto" w:fill="CCEDFF"/>
          </w:tcPr>
          <w:p>
            <w:pPr>
              <w:spacing w:after="0"/>
              <w:rPr>
                <w:sz w:val="20"/>
                <w:szCs w:val="20"/>
                <w:color w:val="auto"/>
              </w:rPr>
            </w:pPr>
          </w:p>
        </w:tc>
        <w:tc>
          <w:tcPr>
            <w:tcW w:w="300" w:type="dxa"/>
            <w:vAlign w:val="bottom"/>
            <w:shd w:val="clear" w:color="auto" w:fill="CCEDFF"/>
          </w:tcPr>
          <w:p>
            <w:pPr>
              <w:spacing w:after="0"/>
              <w:rPr>
                <w:sz w:val="20"/>
                <w:szCs w:val="20"/>
                <w:color w:val="auto"/>
              </w:rPr>
            </w:pPr>
          </w:p>
        </w:tc>
        <w:tc>
          <w:tcPr>
            <w:tcW w:w="1840" w:type="dxa"/>
            <w:vAlign w:val="bottom"/>
            <w:shd w:val="clear" w:color="auto" w:fill="CCEDFF"/>
          </w:tcPr>
          <w:p>
            <w:pPr>
              <w:spacing w:after="0"/>
              <w:rPr>
                <w:sz w:val="20"/>
                <w:szCs w:val="20"/>
                <w:color w:val="auto"/>
              </w:rPr>
            </w:pPr>
          </w:p>
        </w:tc>
        <w:tc>
          <w:tcPr>
            <w:tcW w:w="160" w:type="dxa"/>
            <w:vAlign w:val="bottom"/>
            <w:shd w:val="clear" w:color="auto" w:fill="CCEDFF"/>
          </w:tcPr>
          <w:p>
            <w:pPr>
              <w:spacing w:after="0"/>
              <w:rPr>
                <w:sz w:val="20"/>
                <w:szCs w:val="20"/>
                <w:color w:val="auto"/>
              </w:rPr>
            </w:pPr>
          </w:p>
        </w:tc>
        <w:tc>
          <w:tcPr>
            <w:tcW w:w="220" w:type="dxa"/>
            <w:vAlign w:val="bottom"/>
            <w:shd w:val="clear" w:color="auto" w:fill="CCEDFF"/>
          </w:tcPr>
          <w:p>
            <w:pPr>
              <w:spacing w:after="0"/>
              <w:rPr>
                <w:sz w:val="20"/>
                <w:szCs w:val="20"/>
                <w:color w:val="auto"/>
              </w:rPr>
            </w:pPr>
          </w:p>
        </w:tc>
        <w:tc>
          <w:tcPr>
            <w:tcW w:w="1920" w:type="dxa"/>
            <w:vAlign w:val="bottom"/>
            <w:shd w:val="clear" w:color="auto" w:fill="CCED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Notes payable, net</w:t>
            </w:r>
          </w:p>
        </w:tc>
        <w:tc>
          <w:tcPr>
            <w:tcW w:w="30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51,555</w:t>
            </w:r>
          </w:p>
        </w:tc>
        <w:tc>
          <w:tcPr>
            <w:tcW w:w="1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50,450</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0" w:type="dxa"/>
            <w:vAlign w:val="bottom"/>
          </w:tcPr>
          <w:p>
            <w:pPr>
              <w:spacing w:after="0"/>
              <w:rPr>
                <w:sz w:val="1"/>
                <w:szCs w:val="1"/>
                <w:color w:val="auto"/>
              </w:rPr>
            </w:pPr>
          </w:p>
        </w:tc>
      </w:tr>
      <w:tr>
        <w:trPr>
          <w:trHeight w:val="230"/>
        </w:trPr>
        <w:tc>
          <w:tcPr>
            <w:tcW w:w="68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30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0" w:type="dxa"/>
            <w:vAlign w:val="bottom"/>
          </w:tcPr>
          <w:p>
            <w:pPr>
              <w:spacing w:after="0"/>
              <w:rPr>
                <w:sz w:val="1"/>
                <w:szCs w:val="1"/>
                <w:color w:val="auto"/>
              </w:rPr>
            </w:pPr>
          </w:p>
        </w:tc>
      </w:tr>
      <w:tr>
        <w:trPr>
          <w:trHeight w:val="230"/>
        </w:trPr>
        <w:tc>
          <w:tcPr>
            <w:tcW w:w="68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DFF"/>
          </w:tcPr>
          <w:p>
            <w:pPr>
              <w:spacing w:after="0"/>
              <w:rPr>
                <w:sz w:val="19"/>
                <w:szCs w:val="19"/>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6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67,089</w:t>
            </w:r>
          </w:p>
        </w:tc>
        <w:tc>
          <w:tcPr>
            <w:tcW w:w="16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65,521</w:t>
            </w:r>
          </w:p>
        </w:tc>
        <w:tc>
          <w:tcPr>
            <w:tcW w:w="0" w:type="dxa"/>
            <w:vAlign w:val="bottom"/>
          </w:tcPr>
          <w:p>
            <w:pPr>
              <w:spacing w:after="0"/>
              <w:rPr>
                <w:sz w:val="1"/>
                <w:szCs w:val="1"/>
                <w:color w:val="auto"/>
              </w:rPr>
            </w:pPr>
          </w:p>
        </w:tc>
      </w:tr>
      <w:tr>
        <w:trPr>
          <w:trHeight w:val="237"/>
        </w:trPr>
        <w:tc>
          <w:tcPr>
            <w:tcW w:w="6800" w:type="dxa"/>
            <w:vAlign w:val="bottom"/>
            <w:shd w:val="clear" w:color="auto" w:fill="CCEDFF"/>
          </w:tcPr>
          <w:p>
            <w:pPr>
              <w:spacing w:after="0"/>
              <w:rPr>
                <w:sz w:val="20"/>
                <w:szCs w:val="20"/>
                <w:color w:val="auto"/>
              </w:rPr>
            </w:pPr>
          </w:p>
        </w:tc>
        <w:tc>
          <w:tcPr>
            <w:tcW w:w="300" w:type="dxa"/>
            <w:vAlign w:val="bottom"/>
            <w:shd w:val="clear" w:color="auto" w:fill="CCEDFF"/>
          </w:tcPr>
          <w:p>
            <w:pPr>
              <w:spacing w:after="0"/>
              <w:rPr>
                <w:sz w:val="20"/>
                <w:szCs w:val="20"/>
                <w:color w:val="auto"/>
              </w:rPr>
            </w:pPr>
          </w:p>
        </w:tc>
        <w:tc>
          <w:tcPr>
            <w:tcW w:w="1840" w:type="dxa"/>
            <w:vAlign w:val="bottom"/>
            <w:shd w:val="clear" w:color="auto" w:fill="CCEDFF"/>
          </w:tcPr>
          <w:p>
            <w:pPr>
              <w:spacing w:after="0"/>
              <w:rPr>
                <w:sz w:val="20"/>
                <w:szCs w:val="20"/>
                <w:color w:val="auto"/>
              </w:rPr>
            </w:pPr>
          </w:p>
        </w:tc>
        <w:tc>
          <w:tcPr>
            <w:tcW w:w="160" w:type="dxa"/>
            <w:vAlign w:val="bottom"/>
            <w:shd w:val="clear" w:color="auto" w:fill="CCEDFF"/>
          </w:tcPr>
          <w:p>
            <w:pPr>
              <w:spacing w:after="0"/>
              <w:rPr>
                <w:sz w:val="20"/>
                <w:szCs w:val="20"/>
                <w:color w:val="auto"/>
              </w:rPr>
            </w:pPr>
          </w:p>
        </w:tc>
        <w:tc>
          <w:tcPr>
            <w:tcW w:w="220" w:type="dxa"/>
            <w:vAlign w:val="bottom"/>
            <w:shd w:val="clear" w:color="auto" w:fill="CCEDFF"/>
          </w:tcPr>
          <w:p>
            <w:pPr>
              <w:spacing w:after="0"/>
              <w:rPr>
                <w:sz w:val="20"/>
                <w:szCs w:val="20"/>
                <w:color w:val="auto"/>
              </w:rPr>
            </w:pPr>
          </w:p>
        </w:tc>
        <w:tc>
          <w:tcPr>
            <w:tcW w:w="1920" w:type="dxa"/>
            <w:vAlign w:val="bottom"/>
            <w:shd w:val="clear" w:color="auto" w:fill="CCED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Stockholders’ (Deficit) Equity</w:t>
            </w: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41,552</w:t>
            </w:r>
          </w:p>
        </w:tc>
        <w:tc>
          <w:tcPr>
            <w:tcW w:w="0" w:type="dxa"/>
            <w:vAlign w:val="bottom"/>
          </w:tcPr>
          <w:p>
            <w:pPr>
              <w:spacing w:after="0"/>
              <w:rPr>
                <w:sz w:val="1"/>
                <w:szCs w:val="1"/>
                <w:color w:val="auto"/>
              </w:rPr>
            </w:pPr>
          </w:p>
        </w:tc>
      </w:tr>
      <w:tr>
        <w:trPr>
          <w:trHeight w:val="230"/>
        </w:trPr>
        <w:tc>
          <w:tcPr>
            <w:tcW w:w="68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shd w:val="clear" w:color="auto" w:fill="CCEDFF"/>
          </w:tcPr>
          <w:p>
            <w:pPr>
              <w:spacing w:after="0"/>
              <w:rPr>
                <w:sz w:val="19"/>
                <w:szCs w:val="19"/>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(54,107)</w:t>
            </w:r>
          </w:p>
        </w:tc>
        <w:tc>
          <w:tcPr>
            <w:tcW w:w="16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(49,997)</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(11,364)</w:t>
            </w:r>
          </w:p>
        </w:tc>
        <w:tc>
          <w:tcPr>
            <w:tcW w:w="16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DFF"/>
            </w:tcBorders>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300" w:type="dxa"/>
            <w:vAlign w:val="bottom"/>
            <w:tcBorders>
              <w:bottom w:val="single" w:sz="8" w:color="auto"/>
            </w:tcBorders>
            <w:shd w:val="clear" w:color="auto" w:fill="CCEDFF"/>
          </w:tcPr>
          <w:p>
            <w:pPr>
              <w:spacing w:after="0"/>
              <w:rPr>
                <w:sz w:val="21"/>
                <w:szCs w:val="21"/>
                <w:color w:val="auto"/>
              </w:rPr>
            </w:pPr>
          </w:p>
        </w:tc>
        <w:tc>
          <w:tcPr>
            <w:tcW w:w="18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55,725</w:t>
            </w:r>
          </w:p>
        </w:tc>
        <w:tc>
          <w:tcPr>
            <w:tcW w:w="16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spacing w:after="0"/>
              <w:rPr>
                <w:sz w:val="21"/>
                <w:szCs w:val="21"/>
                <w:color w:val="auto"/>
              </w:rPr>
            </w:pPr>
          </w:p>
        </w:tc>
        <w:tc>
          <w:tcPr>
            <w:tcW w:w="1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57,077</w:t>
            </w:r>
          </w:p>
        </w:tc>
        <w:tc>
          <w:tcPr>
            <w:tcW w:w="0" w:type="dxa"/>
            <w:vAlign w:val="bottom"/>
          </w:tcPr>
          <w:p>
            <w:pPr>
              <w:spacing w:after="0"/>
              <w:rPr>
                <w:sz w:val="1"/>
                <w:szCs w:val="1"/>
                <w:color w:val="auto"/>
              </w:rPr>
            </w:pPr>
          </w:p>
        </w:tc>
      </w:tr>
      <w:tr>
        <w:trPr>
          <w:trHeight w:val="20"/>
        </w:trPr>
        <w:tc>
          <w:tcPr>
            <w:tcW w:w="680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840" w:type="dxa"/>
            <w:vAlign w:val="bottom"/>
            <w:tcBorders>
              <w:top w:val="single" w:sz="8" w:color="CCEDFF"/>
              <w:bottom w:val="single" w:sz="8" w:color="auto"/>
            </w:tcBorders>
          </w:tcPr>
          <w:p>
            <w:pPr>
              <w:spacing w:after="0" w:line="20" w:lineRule="exact"/>
              <w:rPr>
                <w:sz w:val="1"/>
                <w:szCs w:val="1"/>
                <w:color w:val="auto"/>
              </w:rPr>
            </w:pPr>
          </w:p>
        </w:tc>
        <w:tc>
          <w:tcPr>
            <w:tcW w:w="16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92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investments that are held by our funds are generally considered to be illiquid and have no readily ascertainable market value. We value these investments based on our estimate of their fair value as of the date of determination. We estimate the fair value of our fund’s investments based on several inputs built within forecasting models. The models generally rely on discounted cash flow analysis and other techniques and may include independently sourced market parameters. The material estimates and assumptions used in these models include the timing and expected amounts of cash flows, income and expenses for the property, the appropriateness of discount rates used, overall capitalization rate, and, in some cases, the ability to execute, estimated proceeds and timing of expected sales and financings. Most of our assets utilize the income approach to value the property. Where appropriate, management may obtain additional supporting evidence of values from methods generally utilized in the real estate investment industry, such as appraisal reports and broker price opinion reports.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the underlying factors that led to the change in fair value in the current year, we identify assets that are undervalued and/or underperforming as part of our acquisition strategy. Such assets generally undergo some form of repositioning soon after our acquisition to help drive increased appreciation and operating performance. Once the repositioning is complete, we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focus on increasing the asset’s net operating income, thereby further increasing the value of the asset. By making these below-market acquisitions, adding value through development activities, and increasing free cash flow with proper management all represent a material component to our core business model.</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unique feature of Caliber’s funds is the discretion given to Caliber’s management team to decide when to sell assets and when to hold them. We believe this discretion allows Caliber to avoid selling properties that, while their business plan may have matured, the market will not pay an attractive price in the current environment. Avoiding selling at a time of disruption, such as all of 2020, is critical to preserving the value of our assets, our carried interest, our ongoing revenues, and our clients’ capital. While this is management’s expectation, there can be no assurance these outcomes will occur.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Under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AUM refers to the assets we manage or sponsor. We monitor two types of information with regard to our AUM:</w:t>
      </w:r>
    </w:p>
    <w:p>
      <w:pPr>
        <w:spacing w:after="0" w:line="198" w:lineRule="exact"/>
        <w:rPr>
          <w:sz w:val="20"/>
          <w:szCs w:val="20"/>
          <w:color w:val="auto"/>
        </w:rPr>
      </w:pPr>
    </w:p>
    <w:p>
      <w:pPr>
        <w:jc w:val="both"/>
        <w:ind w:left="660" w:hanging="328"/>
        <w:spacing w:after="0" w:line="256" w:lineRule="auto"/>
        <w:tabs>
          <w:tab w:leader="none" w:pos="6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Capital – we define this as the total capital we fundraise from our customers as investments in our funds. It also includes fundraising into our corporate note program, the proceeds of which were used, in part, to invest in or loan to our funds. We use this information to monitor, among other things, the amount of ‘preferred return’ that would be paid at the time of a distribution and the potential to earn a performance fee over and above the preferred return at the time of the distribution. Our fund management fees are based on a percentage of managed capital or a percentage of assets under management, and monitoring the change and composition of managed capital provides relevant data points for Caliber management to further calculate and predict future earnings.</w:t>
      </w:r>
    </w:p>
    <w:p>
      <w:pPr>
        <w:spacing w:after="0" w:line="146"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(“FV”) AUM – we define this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 As of March 31, 2025, we had total FV AUM of approximately $830.8 million.</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Although we believe we are utilizing generally accepted methodologies for our calculation of Managed Capital and FV AUM, it may differ from our competitors, thereby making these metrics non-comparable to our competitors.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Managed Capital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activity of the managed capital for the three months ended March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Borders>
              <w:bottom w:val="single" w:sz="8" w:color="CCEEFF"/>
            </w:tcBorders>
          </w:tcPr>
          <w:p>
            <w:pPr>
              <w:spacing w:after="0"/>
              <w:rPr>
                <w:sz w:val="20"/>
                <w:szCs w:val="20"/>
                <w:color w:val="auto"/>
              </w:rPr>
            </w:pPr>
          </w:p>
        </w:tc>
        <w:tc>
          <w:tcPr>
            <w:tcW w:w="4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Managed Capital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4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492,542</w:t>
            </w: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Originations</w:t>
            </w:r>
          </w:p>
        </w:tc>
        <w:tc>
          <w:tcPr>
            <w:tcW w:w="4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of capital</w:t>
            </w:r>
          </w:p>
        </w:tc>
        <w:tc>
          <w:tcPr>
            <w:tcW w:w="42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422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495,217</w:t>
            </w:r>
          </w:p>
        </w:tc>
        <w:tc>
          <w:tcPr>
            <w:tcW w:w="0" w:type="dxa"/>
            <w:vAlign w:val="bottom"/>
          </w:tcPr>
          <w:p>
            <w:pPr>
              <w:spacing w:after="0"/>
              <w:rPr>
                <w:sz w:val="1"/>
                <w:szCs w:val="1"/>
                <w:color w:val="auto"/>
              </w:rPr>
            </w:pPr>
          </w:p>
        </w:tc>
      </w:tr>
      <w:tr>
        <w:trPr>
          <w:trHeight w:val="20"/>
        </w:trPr>
        <w:tc>
          <w:tcPr>
            <w:tcW w:w="822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summarizes the activity of the managed capital for the three months ended March 31, 2024 (in thousands):</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00" w:type="dxa"/>
            <w:vAlign w:val="bottom"/>
            <w:tcBorders>
              <w:bottom w:val="single" w:sz="8" w:color="CCEEFF"/>
            </w:tcBorders>
          </w:tcPr>
          <w:p>
            <w:pPr>
              <w:spacing w:after="0"/>
              <w:rPr>
                <w:sz w:val="24"/>
                <w:szCs w:val="24"/>
                <w:color w:val="auto"/>
              </w:rPr>
            </w:pPr>
          </w:p>
        </w:tc>
        <w:tc>
          <w:tcPr>
            <w:tcW w:w="42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Managed Capital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437,625</w:t>
            </w: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Originations</w:t>
            </w:r>
          </w:p>
        </w:tc>
        <w:tc>
          <w:tcPr>
            <w:tcW w:w="4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of capital</w:t>
            </w:r>
          </w:p>
        </w:tc>
        <w:tc>
          <w:tcPr>
            <w:tcW w:w="42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422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453,905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22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400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managed capital for our investment fund portfolios as of March 31, 2025 and December 31, 2024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8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r>
      <w:tr>
        <w:trPr>
          <w:trHeight w:val="229"/>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Hospitality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49,260</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49,260</w:t>
            </w:r>
          </w:p>
        </w:tc>
      </w:tr>
      <w:tr>
        <w:trPr>
          <w:trHeight w:val="230"/>
        </w:trPr>
        <w:tc>
          <w:tcPr>
            <w:tcW w:w="68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Caliber Hospitality Trust</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97,414</w:t>
            </w:r>
          </w:p>
        </w:tc>
      </w:tr>
      <w:tr>
        <w:trPr>
          <w:trHeight w:val="229"/>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96,687</w:t>
            </w:r>
          </w:p>
        </w:tc>
      </w:tr>
      <w:tr>
        <w:trPr>
          <w:trHeight w:val="230"/>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172,125</w:t>
            </w:r>
          </w:p>
        </w:tc>
        <w:tc>
          <w:tcPr>
            <w:tcW w:w="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170,858</w:t>
            </w:r>
          </w:p>
        </w:tc>
      </w:tr>
      <w:tr>
        <w:trPr>
          <w:trHeight w:val="223"/>
        </w:trPr>
        <w:tc>
          <w:tcPr>
            <w:tcW w:w="6820" w:type="dxa"/>
            <w:vAlign w:val="bottom"/>
          </w:tcPr>
          <w:p>
            <w:pPr>
              <w:ind w:left="520"/>
              <w:spacing w:after="0" w:line="223" w:lineRule="exact"/>
              <w:rPr>
                <w:sz w:val="20"/>
                <w:szCs w:val="20"/>
                <w:color w:val="auto"/>
              </w:rPr>
            </w:pPr>
            <w:r>
              <w:rPr>
                <w:rFonts w:ascii="Times New Roman" w:cs="Times New Roman" w:eastAsia="Times New Roman" w:hAnsi="Times New Roman"/>
                <w:sz w:val="18"/>
                <w:szCs w:val="18"/>
                <w:color w:val="auto"/>
              </w:rPr>
              <w:t>Total Real Estate</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417,159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414,219</w:t>
            </w:r>
          </w:p>
        </w:tc>
      </w:tr>
      <w:tr>
        <w:trPr>
          <w:trHeight w:val="27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72,730</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72,351</w:t>
            </w:r>
          </w:p>
        </w:tc>
      </w:tr>
      <w:tr>
        <w:trPr>
          <w:trHeight w:val="270"/>
        </w:trPr>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495,217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492,542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85" w:lineRule="exact"/>
        <w:rPr>
          <w:sz w:val="20"/>
          <w:szCs w:val="20"/>
          <w:color w:val="auto"/>
        </w:rPr>
      </w:pPr>
    </w:p>
    <w:p>
      <w:pPr>
        <w:ind w:left="340" w:hanging="332"/>
        <w:spacing w:after="0" w:line="229"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earns a fund management fee of 0.70% of the Caliber Hospitality Trust’s enterprise value and is reimbursed for certain costs incurred on behalf of the Caliber Hospitality Trust.</w:t>
      </w:r>
    </w:p>
    <w:p>
      <w:pPr>
        <w:spacing w:after="0" w:line="157"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Beginning during the year ended December 31, 2023, the Company includes capital raised from investors in CaliberCos Inc. through corporate note issuances that was further invested in our funds in Managed Capital. As of March 31, 2025, and December 31, 2024, the Company had invested $15.9 million and $20.4 million, respectively, in our funds.</w:t>
      </w:r>
    </w:p>
    <w:p>
      <w:pPr>
        <w:spacing w:after="0" w:line="172" w:lineRule="exact"/>
        <w:rPr>
          <w:rFonts w:ascii="Times New Roman" w:cs="Times New Roman" w:eastAsia="Times New Roman" w:hAnsi="Times New Roman"/>
          <w:sz w:val="23"/>
          <w:szCs w:val="23"/>
          <w:color w:val="auto"/>
          <w:vertAlign w:val="superscript"/>
        </w:rPr>
      </w:pPr>
    </w:p>
    <w:p>
      <w:pPr>
        <w:ind w:left="340" w:right="520" w:hanging="332"/>
        <w:spacing w:after="0" w:line="229" w:lineRule="auto"/>
        <w:tabs>
          <w:tab w:leader="none" w:pos="197"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Credit managed capital represents loans made to Caliber’s investment funds by the Company and our diversified funds. As of March 31, 2025 and December 31, 2024, the Company had loaned $0.4 million to our funds.</w:t>
      </w:r>
    </w:p>
    <w:p>
      <w:pPr>
        <w:spacing w:after="0" w:line="139" w:lineRule="exact"/>
        <w:rPr>
          <w:rFonts w:ascii="Times New Roman" w:cs="Times New Roman" w:eastAsia="Times New Roman" w:hAnsi="Times New Roman"/>
          <w:sz w:val="23"/>
          <w:szCs w:val="23"/>
          <w:color w:val="auto"/>
          <w:vertAlign w:val="superscript"/>
        </w:rPr>
      </w:pPr>
    </w:p>
    <w:p>
      <w:pPr>
        <w:ind w:left="180" w:hanging="172"/>
        <w:spacing w:after="0"/>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managed capital represents undeployed capital held in our diversified funds.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Managed capital activity for Hospitality and the Caliber Hospitality Trust was effectively flat for the three months ended March 31, 2025.</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Managed capital for our residential investment funds increased by $1.9 million during the three months ended March 31, 2025, due to: (i) $1.1 million in capital raised into our residential assets, and (ii) $1.0 million contributed by our diversified funds offset by $0.2 million in return of capital.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Managed capital for our commercial investment funds increased $1.3 million during the three months ended March 31, 2025, due to: (i) $0.6 million in capital raised into our commercial assets and (ii) $0.8 million contributed by our diversified funds offset by offset by $0.2 million in return of capital. The scope of investments included tenant improvements and land development.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our diversified funds had $72.7 million invested in the form of notes receivable with our various real estate investments. The Company had $0.8 million deployed directly into our various real estate investments in the form of notes receivable.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we held $5.3 million of other managed capital, which included a $3.1 million private equity investment in a local start-up business and $2.2 million of undeployed cash and pursuit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FV AUM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table below details the activities that had an impact on our FV AUM, during the three months ended March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FV AUM</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2024</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794,923</w:t>
            </w:r>
          </w:p>
        </w:tc>
      </w:tr>
      <w:tr>
        <w:trPr>
          <w:trHeight w:val="27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acquired</w:t>
            </w:r>
            <w:r>
              <w:rPr>
                <w:rFonts w:ascii="Times New Roman" w:cs="Times New Roman" w:eastAsia="Times New Roman" w:hAnsi="Times New Roman"/>
                <w:sz w:val="23"/>
                <w:szCs w:val="23"/>
                <w:color w:val="auto"/>
                <w:vertAlign w:val="superscript"/>
              </w:rPr>
              <w:t>(1)</w:t>
            </w:r>
          </w:p>
        </w:tc>
        <w:tc>
          <w:tcPr>
            <w:tcW w:w="620" w:type="dxa"/>
            <w:vAlign w:val="bottom"/>
          </w:tcPr>
          <w:p>
            <w:pPr>
              <w:spacing w:after="0"/>
              <w:rPr>
                <w:sz w:val="23"/>
                <w:szCs w:val="23"/>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r>
      <w:tr>
        <w:trPr>
          <w:trHeight w:val="22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net market appreciation</w:t>
            </w:r>
          </w:p>
        </w:tc>
        <w:tc>
          <w:tcPr>
            <w:tcW w:w="6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25,800</w:t>
            </w:r>
          </w:p>
        </w:tc>
      </w:tr>
      <w:tr>
        <w:trPr>
          <w:trHeight w:val="27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w:t>
            </w:r>
            <w:r>
              <w:rPr>
                <w:rFonts w:ascii="Times New Roman" w:cs="Times New Roman" w:eastAsia="Times New Roman" w:hAnsi="Times New Roman"/>
                <w:sz w:val="23"/>
                <w:szCs w:val="23"/>
                <w:color w:val="auto"/>
                <w:vertAlign w:val="superscript"/>
              </w:rPr>
              <w:t>(2)</w:t>
            </w:r>
          </w:p>
        </w:tc>
        <w:tc>
          <w:tcPr>
            <w:tcW w:w="620" w:type="dxa"/>
            <w:vAlign w:val="bottom"/>
          </w:tcPr>
          <w:p>
            <w:pPr>
              <w:spacing w:after="0"/>
              <w:rPr>
                <w:sz w:val="23"/>
                <w:szCs w:val="23"/>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7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(3)</w:t>
            </w:r>
          </w:p>
        </w:tc>
        <w:tc>
          <w:tcPr>
            <w:tcW w:w="620" w:type="dxa"/>
            <w:vAlign w:val="bottom"/>
            <w:tcBorders>
              <w:bottom w:val="single" w:sz="8" w:color="auto"/>
            </w:tcBorders>
            <w:shd w:val="clear" w:color="auto" w:fill="CCEEFF"/>
          </w:tcPr>
          <w:p>
            <w:pPr>
              <w:spacing w:after="0"/>
              <w:rPr>
                <w:sz w:val="23"/>
                <w:szCs w:val="23"/>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as of March 31, 2025</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830,758</w:t>
            </w:r>
          </w:p>
        </w:tc>
      </w:tr>
      <w:tr>
        <w:trPr>
          <w:trHeight w:val="21"/>
        </w:trPr>
        <w:tc>
          <w:tcPr>
            <w:tcW w:w="8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 xml:space="preserve">Our FV AUM increased primarily due to the L.T.D. hotel contribution into the Caliber Hospitality Trust. The table below details the activities that had an impact on our FV AUM, during the </w:t>
      </w:r>
      <w:r>
        <w:rPr>
          <w:rFonts w:ascii="Times New Roman" w:cs="Times New Roman" w:eastAsia="Times New Roman" w:hAnsi="Times New Roman"/>
          <w:sz w:val="18"/>
          <w:szCs w:val="18"/>
          <w:color w:val="000000"/>
        </w:rPr>
        <w:t>three months ended March 31, 2024</w:t>
      </w:r>
      <w:r>
        <w:rPr>
          <w:rFonts w:ascii="Times New Roman" w:cs="Times New Roman" w:eastAsia="Times New Roman" w:hAnsi="Times New Roman"/>
          <w:sz w:val="18"/>
          <w:szCs w:val="18"/>
          <w:color w:val="231F20"/>
        </w:rPr>
        <w:t xml:space="preserv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FV AUM</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741,190</w:t>
            </w:r>
          </w:p>
        </w:tc>
      </w:tr>
      <w:tr>
        <w:trPr>
          <w:trHeight w:val="23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CHT contribution</w:t>
            </w:r>
          </w:p>
        </w:tc>
        <w:tc>
          <w:tcPr>
            <w:tcW w:w="6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29,900</w:t>
            </w:r>
          </w:p>
        </w:tc>
      </w:tr>
      <w:tr>
        <w:trPr>
          <w:trHeight w:val="22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net market appreciation</w:t>
            </w:r>
          </w:p>
        </w:tc>
        <w:tc>
          <w:tcPr>
            <w:tcW w:w="6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10,971</w:t>
            </w:r>
          </w:p>
        </w:tc>
      </w:tr>
      <w:tr>
        <w:trPr>
          <w:trHeight w:val="229"/>
        </w:trPr>
        <w:tc>
          <w:tcPr>
            <w:tcW w:w="82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Assets sold</w:t>
            </w:r>
            <w:r>
              <w:rPr>
                <w:rFonts w:ascii="Times New Roman" w:cs="Times New Roman" w:eastAsia="Times New Roman" w:hAnsi="Times New Roman"/>
                <w:sz w:val="23"/>
                <w:szCs w:val="23"/>
                <w:color w:val="auto"/>
                <w:vertAlign w:val="superscript"/>
              </w:rPr>
              <w:t>(1)</w:t>
            </w:r>
          </w:p>
        </w:tc>
        <w:tc>
          <w:tcPr>
            <w:tcW w:w="6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(12,771)</w:t>
            </w:r>
          </w:p>
        </w:tc>
      </w:tr>
      <w:tr>
        <w:trPr>
          <w:trHeight w:val="27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w:t>
            </w:r>
            <w:r>
              <w:rPr>
                <w:rFonts w:ascii="Times New Roman" w:cs="Times New Roman" w:eastAsia="Times New Roman" w:hAnsi="Times New Roman"/>
                <w:sz w:val="23"/>
                <w:szCs w:val="23"/>
                <w:color w:val="auto"/>
                <w:vertAlign w:val="superscript"/>
              </w:rPr>
              <w:t>(2)</w:t>
            </w:r>
          </w:p>
        </w:tc>
        <w:tc>
          <w:tcPr>
            <w:tcW w:w="620" w:type="dxa"/>
            <w:vAlign w:val="bottom"/>
            <w:shd w:val="clear" w:color="auto" w:fill="CCEEFF"/>
          </w:tcPr>
          <w:p>
            <w:pPr>
              <w:spacing w:after="0"/>
              <w:rPr>
                <w:sz w:val="23"/>
                <w:szCs w:val="23"/>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70"/>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(3)</w:t>
            </w:r>
          </w:p>
        </w:tc>
        <w:tc>
          <w:tcPr>
            <w:tcW w:w="62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March 31, 2024</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766,738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FV AUM of our investment fund portfolios as of March 31, 2025 and December 31, 2024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8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Hospitality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68,400</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68,500</w:t>
            </w:r>
          </w:p>
        </w:tc>
      </w:tr>
      <w:tr>
        <w:trPr>
          <w:trHeight w:val="230"/>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Caliber Hospitality Trust</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244,900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236,800</w:t>
            </w: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161,700</w:t>
            </w:r>
          </w:p>
        </w:tc>
      </w:tr>
      <w:tr>
        <w:trPr>
          <w:trHeight w:val="22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266,300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249,600</w:t>
            </w:r>
          </w:p>
        </w:tc>
      </w:tr>
      <w:tr>
        <w:trPr>
          <w:trHeight w:val="223"/>
        </w:trPr>
        <w:tc>
          <w:tcPr>
            <w:tcW w:w="6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Real Estate</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716,600</w:t>
            </w:r>
          </w:p>
        </w:tc>
      </w:tr>
      <w:tr>
        <w:trPr>
          <w:trHeight w:val="229"/>
        </w:trPr>
        <w:tc>
          <w:tcPr>
            <w:tcW w:w="68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Credit</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72,351</w:t>
            </w:r>
          </w:p>
        </w:tc>
      </w:tr>
      <w:tr>
        <w:trPr>
          <w:trHeight w:val="230"/>
        </w:trPr>
        <w:tc>
          <w:tcPr>
            <w:tcW w:w="68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830,758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794,923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85" w:lineRule="exact"/>
        <w:rPr>
          <w:sz w:val="20"/>
          <w:szCs w:val="20"/>
          <w:color w:val="auto"/>
        </w:rPr>
      </w:pPr>
    </w:p>
    <w:p>
      <w:pPr>
        <w:ind w:left="340" w:hanging="332"/>
        <w:spacing w:after="0" w:line="229"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Assets sold during the three months ended March 31, 2024 include lot sales related to two development assets in Colorado, and one home from our residential fund.</w:t>
      </w:r>
    </w:p>
    <w:p>
      <w:pPr>
        <w:ind w:left="320" w:hanging="312"/>
        <w:spacing w:after="0" w:line="196" w:lineRule="auto"/>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Credit FV AUM represents loans made to Caliber’s investment funds by our diversified credit fund.</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FV AUM represents undeployed capital held in our diversified funds.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Under Development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number of development, redevelopment, construction, and entitlement projects that are underway or are in the planning stages, which we define as AUD. This category includes projects to be built on undeveloped land and projects to be built and constructed on undeveloped lands, which are not yet owned by our funds. Completing these development activities may ultimately result in income-producing assets, assets we may sell to third parties, or both. Completing these development activities may ultimately result in income-producing assets, assets we may sell to third parties, or both. If we complete all AUD at March 31, 2025, up through sale, we estimate the Company could earn up to $87.7 million in performance allocations. As of March 31, 2025, we are actively developing 1,776 multifamily units, 697 single family units, 3.7 million square feet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commercial and industrial, and 3.6 million square feet of office and retail. If all of these projects are brought to completion, the total cost capitalized to these projects, which represents total current estimated costs to complete the development and construction of such projects by us or a third party, is $2.1 billion, which we expect would be funded through a combination of undeployed fund cash, third-party equity, project sales, tax credit financing and similar incentives, and secured debt financing. We are under no obligation to complete these projects and may dispose of any such assets at any time. There can be no assurance that AUD will ultimately be developed or constructed because of the nature of the cost of the approval and development process and market demand for a particular use. In addition, the mix of residential and commercial assets under development may change prior to final development. The development of these assets will require significant additional financing or other sources of funding which may not be available.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We use non-GAAP financial measures to evaluate operating performance, identify trends, formulate financial projections, make strategic decisions, and for other discretionary purposes. We believe that these measures enhance the understanding of ongoing operations and comparability of current results to prior periods and may be useful for investors to analyze our financial performance because they </w:t>
      </w:r>
      <w:r>
        <w:rPr>
          <w:rFonts w:ascii="Times New Roman" w:cs="Times New Roman" w:eastAsia="Times New Roman" w:hAnsi="Times New Roman"/>
          <w:sz w:val="18"/>
          <w:szCs w:val="18"/>
          <w:color w:val="000000"/>
        </w:rPr>
        <w:t>provide investors a view of the performance attributable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CaliberCos Inc</w:t>
      </w:r>
      <w:r>
        <w:rPr>
          <w:rFonts w:ascii="Times New Roman" w:cs="Times New Roman" w:eastAsia="Times New Roman" w:hAnsi="Times New Roman"/>
          <w:sz w:val="18"/>
          <w:szCs w:val="18"/>
          <w:color w:val="231F20"/>
        </w:rPr>
        <w:t>. When analyzing our operating performance, investors should use these measures in addition to, and not as an alternative for, their most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directly comparable financial measure calculated and presented in accordance with U.S. GAAP. Our presentation of non-GAAP measures may not be comparable to similarly identified measures of other companies because not all companies use the same calculations.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Platform or Platform</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52525"/>
        </w:rPr>
        <w:t>Platform refers to the performance of the Caliber asset management platform segment, which generates revenues and expenses from managing our investment portfolio, which does not include any consolidated assets or funds. These activities include asset management, transaction services, and performance allocations. Management believes that this is an important view of the Company because it communicates performance of the Company that would be most useful for understanding the value of CWD.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Earnings and Related Components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Fee-Related Earnings is a supplemental non-GAAP performance measure used to assess our ability to generate profits from fee-based revenues focusing on whether our core revenue streams are sufficient to cover our core operating expenses. Fee-Related Earnings represents the Company’s net income (loss) before income taxes adjusted to exclude depreciation and amortization, stock-based compensation, interest expense and extraordinary or non-recurring revenue and expenses, including performance allocation revenue and gain (loss) on extinguishment of debt, public registration direct costs related to aborted or delayed offerings and our Reg A+ offering, litigation settlements, and expenses recorded to earnings relating to investment deals which were abandoned or closed. Fee-Related Earnings is presented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Distributable Earnings is a supplemental non-GAAP performance measure equal to Fee-Related Earnings plus performance allocation revenue and less interest expenses and provision for income taxes. We believe that Distributable Earnings can be useful as a supplemental performance measure to our GAAP results assessing the amount of earnings available for distribution.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52525"/>
        </w:rPr>
        <w:t>P</w:t>
      </w:r>
      <w:r>
        <w:rPr>
          <w:rFonts w:ascii="Times New Roman" w:cs="Times New Roman" w:eastAsia="Times New Roman" w:hAnsi="Times New Roman"/>
          <w:sz w:val="18"/>
          <w:szCs w:val="18"/>
          <w:b w:val="1"/>
          <w:bCs w:val="1"/>
          <w:i w:val="1"/>
          <w:iCs w:val="1"/>
          <w:color w:val="000000"/>
        </w:rPr>
        <w:t>latform Earnings</w:t>
      </w:r>
    </w:p>
    <w:p>
      <w:pPr>
        <w:spacing w:after="0" w:line="2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Platform Earnings represents the performance of the Caliber asset management platform segment, which generates revenues and expenses from managing our investment portfolio, excluding any consolidated assets or funds.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Earnings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Platform Earnings per Share is calculated as Platform Earnings divided by weighted average CWD common shares outstanding.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Adjusted EBITDA</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Platform Adjusted EBITDA represents the Company’s Distributable Earnings adjusted for interest expense, other income (expense), and provision for income taxes on a basis that deconsolidates our consolidated funds (intercompany eliminations) and eliminates noncontrolling interest. Eliminating the impact of consolidated funds and noncontrolling interest provides investors a view of the performance attributable to the Platform and is consistent with performance models and analysis used by management.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Adjusted EBITDA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Adjusted EBITDA represents the Company’s and the consolidated funds’ earnings before net interest expense, income taxes, depreciation and amortization, further adjusted to exclude stock-based compensation, transaction fees, expenses and other public registration direct costs related to aborted or delayed offerings and our Reg A+ offering, litigation settlements, expenses recorded to earnings relating to investment deals which were abandoned or closed, any other non-cash expenses or losses, as further adjusted for extraordinary or non-recurring items.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Basic and Diluted Earnings Per Share (“EPS”)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Platform Basic and Diluted EPS represents earnings per share generated by the Platform, without reflecting the impact of consolidation. Eliminating the impact of consolidated funds and noncontrolling interest provides investors a view of the performance attributable to the Platform and is consistent with performance models and analysis used by management.</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a reconciliation of net (loss) income attributable to CaliberCos Inc. to Fee-Related Earnings, Distributable Earnings, </w:t>
      </w:r>
      <w:r>
        <w:rPr>
          <w:rFonts w:ascii="Times New Roman" w:cs="Times New Roman" w:eastAsia="Times New Roman" w:hAnsi="Times New Roman"/>
          <w:sz w:val="18"/>
          <w:szCs w:val="18"/>
          <w:color w:val="231F20"/>
        </w:rPr>
        <w:t>Caliber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Adjusted EBITDA, and Consolidated Adjusted EBITDA </w:t>
      </w:r>
      <w:r>
        <w:rPr>
          <w:rFonts w:ascii="Times New Roman" w:cs="Times New Roman" w:eastAsia="Times New Roman" w:hAnsi="Times New Roman"/>
          <w:sz w:val="18"/>
          <w:szCs w:val="18"/>
          <w:color w:val="000000"/>
        </w:rPr>
        <w:t>for the three months ended March 31, 2025 and 2024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7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1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9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9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funds’ impact on fee-related earnings</w:t>
            </w:r>
          </w:p>
        </w:tc>
        <w:tc>
          <w:tcPr>
            <w:tcW w:w="1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1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impairment</w:t>
            </w: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1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9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1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19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funds’ impact on Caliber Adjusted EBITDA</w:t>
            </w:r>
          </w:p>
        </w:tc>
        <w:tc>
          <w:tcPr>
            <w:tcW w:w="19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Platform Adjusted EBITDA</w:t>
            </w: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funds' EBITDA Adjustments</w:t>
            </w:r>
          </w:p>
        </w:tc>
        <w:tc>
          <w:tcPr>
            <w:tcW w:w="19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tc>
        <w:tc>
          <w:tcPr>
            <w:tcW w:w="1900" w:type="dxa"/>
            <w:vAlign w:val="bottom"/>
          </w:tcPr>
          <w:p>
            <w:pPr>
              <w:spacing w:after="0"/>
              <w:rPr>
                <w:sz w:val="19"/>
                <w:szCs w:val="19"/>
                <w:color w:val="auto"/>
              </w:rPr>
            </w:pP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90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50</w:t>
            </w: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49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share and per share amounts in the Platform and Consolidated, basic and diluted earnings per share calculations below have been effected for the Reverse Stock Split, retroactively, for all periods presented.</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Platform revenues, expenses and net income to the most comparable GAAP measure for the three months ended March 31, 2025 and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gridSpan w:val="7"/>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center"/>
              <w:ind w:right="4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20" w:type="dxa"/>
            <w:vAlign w:val="bottom"/>
          </w:tcPr>
          <w:p>
            <w:pPr>
              <w:spacing w:after="0"/>
              <w:rPr>
                <w:sz w:val="14"/>
                <w:szCs w:val="14"/>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2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tcBorders>
              <w:top w:val="single" w:sz="8" w:color="CCEDFF"/>
            </w:tcBorders>
            <w:shd w:val="clear" w:color="auto" w:fill="CCEDFF"/>
          </w:tcPr>
          <w:p>
            <w:pPr>
              <w:spacing w:after="0"/>
              <w:rPr>
                <w:sz w:val="18"/>
                <w:szCs w:val="18"/>
                <w:color w:val="auto"/>
              </w:rPr>
            </w:pPr>
          </w:p>
        </w:tc>
        <w:tc>
          <w:tcPr>
            <w:tcW w:w="320" w:type="dxa"/>
            <w:vAlign w:val="bottom"/>
            <w:tcBorders>
              <w:top w:val="single" w:sz="8" w:color="auto"/>
            </w:tcBorders>
            <w:shd w:val="clear" w:color="auto" w:fill="CCEDFF"/>
          </w:tcPr>
          <w:p>
            <w:pPr>
              <w:spacing w:after="0"/>
              <w:rPr>
                <w:sz w:val="18"/>
                <w:szCs w:val="18"/>
                <w:color w:val="auto"/>
              </w:rPr>
            </w:pPr>
          </w:p>
        </w:tc>
        <w:tc>
          <w:tcPr>
            <w:tcW w:w="142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20" w:type="dxa"/>
            <w:vAlign w:val="bottom"/>
            <w:tcBorders>
              <w:top w:val="single" w:sz="8" w:color="auto"/>
            </w:tcBorders>
            <w:shd w:val="clear" w:color="auto" w:fill="CCEDFF"/>
          </w:tcPr>
          <w:p>
            <w:pPr>
              <w:spacing w:after="0"/>
              <w:rPr>
                <w:sz w:val="18"/>
                <w:szCs w:val="18"/>
                <w:color w:val="auto"/>
              </w:rPr>
            </w:pPr>
          </w:p>
        </w:tc>
        <w:tc>
          <w:tcPr>
            <w:tcW w:w="1500" w:type="dxa"/>
            <w:vAlign w:val="bottom"/>
            <w:tcBorders>
              <w:top w:val="single" w:sz="8" w:color="auto"/>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29"/>
        </w:trPr>
        <w:tc>
          <w:tcPr>
            <w:tcW w:w="496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8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0" w:type="dxa"/>
            <w:vAlign w:val="bottom"/>
          </w:tcPr>
          <w:p>
            <w:pPr>
              <w:spacing w:after="0"/>
              <w:rPr>
                <w:sz w:val="1"/>
                <w:szCs w:val="1"/>
                <w:color w:val="auto"/>
              </w:rPr>
            </w:pPr>
          </w:p>
        </w:tc>
      </w:tr>
      <w:tr>
        <w:trPr>
          <w:trHeight w:val="230"/>
        </w:trPr>
        <w:tc>
          <w:tcPr>
            <w:tcW w:w="496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w:t>
            </w:r>
          </w:p>
        </w:tc>
        <w:tc>
          <w:tcPr>
            <w:tcW w:w="820" w:type="dxa"/>
            <w:vAlign w:val="bottom"/>
            <w:shd w:val="clear" w:color="auto" w:fill="CCEDFF"/>
          </w:tcPr>
          <w:p>
            <w:pPr>
              <w:spacing w:after="0"/>
              <w:rPr>
                <w:sz w:val="19"/>
                <w:szCs w:val="19"/>
                <w:color w:val="auto"/>
              </w:rPr>
            </w:pPr>
          </w:p>
        </w:tc>
        <w:tc>
          <w:tcPr>
            <w:tcW w:w="320" w:type="dxa"/>
            <w:vAlign w:val="bottom"/>
            <w:tcBorders>
              <w:bottom w:val="single" w:sz="8" w:color="auto"/>
            </w:tcBorders>
            <w:shd w:val="clear" w:color="auto" w:fill="CCEDFF"/>
          </w:tcPr>
          <w:p>
            <w:pPr>
              <w:spacing w:after="0"/>
              <w:rPr>
                <w:sz w:val="19"/>
                <w:szCs w:val="19"/>
                <w:color w:val="auto"/>
              </w:rPr>
            </w:pP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tcBorders>
              <w:bottom w:val="single" w:sz="8" w:color="CCED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4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0" w:type="dxa"/>
            <w:vAlign w:val="bottom"/>
          </w:tcPr>
          <w:p>
            <w:pPr>
              <w:spacing w:after="0"/>
              <w:rPr>
                <w:sz w:val="1"/>
                <w:szCs w:val="1"/>
                <w:color w:val="auto"/>
              </w:rPr>
            </w:pPr>
          </w:p>
        </w:tc>
      </w:tr>
      <w:tr>
        <w:trPr>
          <w:trHeight w:val="250"/>
        </w:trPr>
        <w:tc>
          <w:tcPr>
            <w:tcW w:w="4960" w:type="dxa"/>
            <w:vAlign w:val="bottom"/>
            <w:shd w:val="clear" w:color="auto" w:fill="CCEDFF"/>
          </w:tcPr>
          <w:p>
            <w:pPr>
              <w:spacing w:after="0"/>
              <w:rPr>
                <w:sz w:val="21"/>
                <w:szCs w:val="21"/>
                <w:color w:val="auto"/>
              </w:rPr>
            </w:pPr>
          </w:p>
        </w:tc>
        <w:tc>
          <w:tcPr>
            <w:tcW w:w="82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2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00" w:type="dxa"/>
            <w:vAlign w:val="bottom"/>
            <w:shd w:val="clear" w:color="auto" w:fill="CCEDFF"/>
          </w:tcPr>
          <w:p>
            <w:pPr>
              <w:spacing w:after="0"/>
              <w:rPr>
                <w:sz w:val="21"/>
                <w:szCs w:val="21"/>
                <w:color w:val="auto"/>
              </w:rPr>
            </w:pPr>
          </w:p>
        </w:tc>
        <w:tc>
          <w:tcPr>
            <w:tcW w:w="144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20" w:type="dxa"/>
            <w:vAlign w:val="bottom"/>
            <w:shd w:val="clear" w:color="auto" w:fill="CCEDFF"/>
          </w:tcPr>
          <w:p>
            <w:pPr>
              <w:spacing w:after="0"/>
              <w:rPr>
                <w:sz w:val="21"/>
                <w:szCs w:val="21"/>
                <w:color w:val="auto"/>
              </w:rPr>
            </w:pPr>
          </w:p>
        </w:tc>
        <w:tc>
          <w:tcPr>
            <w:tcW w:w="15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8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30"/>
        </w:trPr>
        <w:tc>
          <w:tcPr>
            <w:tcW w:w="496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8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496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8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820" w:type="dxa"/>
            <w:vAlign w:val="bottom"/>
            <w:tcBorders>
              <w:bottom w:val="single" w:sz="8" w:color="CCED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496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820" w:type="dxa"/>
            <w:vAlign w:val="bottom"/>
            <w:shd w:val="clear" w:color="auto" w:fill="CCEDFF"/>
          </w:tcPr>
          <w:p>
            <w:pPr>
              <w:spacing w:after="0"/>
              <w:rPr>
                <w:sz w:val="19"/>
                <w:szCs w:val="19"/>
                <w:color w:val="auto"/>
              </w:rPr>
            </w:pPr>
          </w:p>
        </w:tc>
        <w:tc>
          <w:tcPr>
            <w:tcW w:w="320" w:type="dxa"/>
            <w:vAlign w:val="bottom"/>
            <w:tcBorders>
              <w:bottom w:val="single" w:sz="8" w:color="auto"/>
            </w:tcBorders>
            <w:shd w:val="clear" w:color="auto" w:fill="CCEDFF"/>
          </w:tcPr>
          <w:p>
            <w:pPr>
              <w:spacing w:after="0"/>
              <w:rPr>
                <w:sz w:val="19"/>
                <w:szCs w:val="19"/>
                <w:color w:val="auto"/>
              </w:rPr>
            </w:pP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2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income (loss), net</w:t>
            </w:r>
          </w:p>
        </w:tc>
        <w:tc>
          <w:tcPr>
            <w:tcW w:w="8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496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23"/>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8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30"/>
        </w:trPr>
        <w:tc>
          <w:tcPr>
            <w:tcW w:w="496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30"/>
        </w:trPr>
        <w:tc>
          <w:tcPr>
            <w:tcW w:w="4960" w:type="dxa"/>
            <w:vAlign w:val="bottom"/>
            <w:shd w:val="clear" w:color="auto" w:fill="CCEDFF"/>
          </w:tcPr>
          <w:p>
            <w:pPr>
              <w:ind w:left="5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820" w:type="dxa"/>
            <w:vAlign w:val="bottom"/>
            <w:shd w:val="clear" w:color="auto" w:fill="CCEDFF"/>
          </w:tcPr>
          <w:p>
            <w:pPr>
              <w:spacing w:after="0"/>
              <w:rPr>
                <w:sz w:val="19"/>
                <w:szCs w:val="19"/>
                <w:color w:val="auto"/>
              </w:rPr>
            </w:pPr>
          </w:p>
        </w:tc>
        <w:tc>
          <w:tcPr>
            <w:tcW w:w="320" w:type="dxa"/>
            <w:vAlign w:val="bottom"/>
            <w:tcBorders>
              <w:bottom w:val="single" w:sz="8" w:color="auto"/>
            </w:tcBorders>
            <w:shd w:val="clear" w:color="auto" w:fill="CCEDFF"/>
          </w:tcPr>
          <w:p>
            <w:pPr>
              <w:spacing w:after="0"/>
              <w:rPr>
                <w:sz w:val="19"/>
                <w:szCs w:val="19"/>
                <w:color w:val="auto"/>
              </w:rPr>
            </w:pP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49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income attributable to CaliberCos Inc.</w:t>
            </w:r>
          </w:p>
        </w:tc>
        <w:tc>
          <w:tcPr>
            <w:tcW w:w="8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DFF"/>
            </w:tcBorders>
          </w:tcPr>
          <w:p>
            <w:pPr>
              <w:spacing w:after="0" w:line="20" w:lineRule="exact"/>
              <w:rPr>
                <w:sz w:val="1"/>
                <w:szCs w:val="1"/>
                <w:color w:val="auto"/>
              </w:rPr>
            </w:pPr>
          </w:p>
        </w:tc>
        <w:tc>
          <w:tcPr>
            <w:tcW w:w="820" w:type="dxa"/>
            <w:vAlign w:val="bottom"/>
            <w:tcBorders>
              <w:bottom w:val="single" w:sz="8" w:color="CCED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D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D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60" w:type="dxa"/>
            <w:vAlign w:val="bottom"/>
            <w:tcBorders>
              <w:bottom w:val="single" w:sz="8" w:color="CCEDFF"/>
            </w:tcBorders>
            <w:shd w:val="clear" w:color="auto" w:fill="CCED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Platform loss per share</w:t>
            </w:r>
          </w:p>
        </w:tc>
        <w:tc>
          <w:tcPr>
            <w:tcW w:w="820" w:type="dxa"/>
            <w:vAlign w:val="bottom"/>
            <w:tcBorders>
              <w:bottom w:val="single" w:sz="8" w:color="CCEDFF"/>
            </w:tcBorders>
            <w:shd w:val="clear" w:color="auto" w:fill="CCEDFF"/>
          </w:tcPr>
          <w:p>
            <w:pPr>
              <w:spacing w:after="0"/>
              <w:rPr>
                <w:sz w:val="18"/>
                <w:szCs w:val="18"/>
                <w:color w:val="auto"/>
              </w:rPr>
            </w:pPr>
          </w:p>
        </w:tc>
        <w:tc>
          <w:tcPr>
            <w:tcW w:w="320" w:type="dxa"/>
            <w:vAlign w:val="bottom"/>
            <w:tcBorders>
              <w:bottom w:val="single" w:sz="8" w:color="auto"/>
            </w:tcBorders>
            <w:shd w:val="clear" w:color="auto" w:fill="CCED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bottom w:val="single" w:sz="8" w:color="CCEDFF"/>
            </w:tcBorders>
            <w:shd w:val="clear" w:color="auto" w:fill="CCEDFF"/>
          </w:tcPr>
          <w:p>
            <w:pPr>
              <w:spacing w:after="0"/>
              <w:rPr>
                <w:sz w:val="18"/>
                <w:szCs w:val="18"/>
                <w:color w:val="auto"/>
              </w:rPr>
            </w:pPr>
          </w:p>
        </w:tc>
        <w:tc>
          <w:tcPr>
            <w:tcW w:w="300" w:type="dxa"/>
            <w:vAlign w:val="bottom"/>
            <w:tcBorders>
              <w:bottom w:val="single" w:sz="8" w:color="CCEDFF"/>
            </w:tcBorders>
            <w:shd w:val="clear" w:color="auto" w:fill="CCEDFF"/>
          </w:tcPr>
          <w:p>
            <w:pPr>
              <w:spacing w:after="0"/>
              <w:rPr>
                <w:sz w:val="18"/>
                <w:szCs w:val="18"/>
                <w:color w:val="auto"/>
              </w:rPr>
            </w:pPr>
          </w:p>
        </w:tc>
        <w:tc>
          <w:tcPr>
            <w:tcW w:w="1440" w:type="dxa"/>
            <w:vAlign w:val="bottom"/>
            <w:tcBorders>
              <w:bottom w:val="single" w:sz="8" w:color="CCEDFF"/>
            </w:tcBorders>
            <w:shd w:val="clear" w:color="auto" w:fill="CCEDFF"/>
          </w:tcPr>
          <w:p>
            <w:pPr>
              <w:spacing w:after="0"/>
              <w:rPr>
                <w:sz w:val="18"/>
                <w:szCs w:val="18"/>
                <w:color w:val="auto"/>
              </w:rPr>
            </w:pPr>
          </w:p>
        </w:tc>
        <w:tc>
          <w:tcPr>
            <w:tcW w:w="140" w:type="dxa"/>
            <w:vAlign w:val="bottom"/>
            <w:tcBorders>
              <w:bottom w:val="single" w:sz="8" w:color="CCEDFF"/>
            </w:tcBorders>
            <w:shd w:val="clear" w:color="auto" w:fill="CCEDFF"/>
          </w:tcPr>
          <w:p>
            <w:pPr>
              <w:spacing w:after="0"/>
              <w:rPr>
                <w:sz w:val="18"/>
                <w:szCs w:val="18"/>
                <w:color w:val="auto"/>
              </w:rPr>
            </w:pPr>
          </w:p>
        </w:tc>
        <w:tc>
          <w:tcPr>
            <w:tcW w:w="220" w:type="dxa"/>
            <w:vAlign w:val="bottom"/>
            <w:tcBorders>
              <w:bottom w:val="single" w:sz="8" w:color="auto"/>
            </w:tcBorders>
            <w:shd w:val="clear" w:color="auto" w:fill="CCED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DFF"/>
              <w:bottom w:val="single" w:sz="8" w:color="CCED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2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420" w:type="dxa"/>
            <w:vAlign w:val="bottom"/>
            <w:tcBorders>
              <w:top w:val="single" w:sz="8" w:color="CCEDFF"/>
              <w:bottom w:val="single" w:sz="8" w:color="auto"/>
            </w:tcBorders>
          </w:tcPr>
          <w:p>
            <w:pPr>
              <w:spacing w:after="0" w:line="20" w:lineRule="exact"/>
              <w:rPr>
                <w:sz w:val="1"/>
                <w:szCs w:val="1"/>
                <w:color w:val="auto"/>
              </w:rPr>
            </w:pPr>
          </w:p>
        </w:tc>
        <w:tc>
          <w:tcPr>
            <w:tcW w:w="12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tcBorders>
          </w:tcPr>
          <w:p>
            <w:pPr>
              <w:spacing w:after="0" w:line="20" w:lineRule="exact"/>
              <w:rPr>
                <w:sz w:val="1"/>
                <w:szCs w:val="1"/>
                <w:color w:val="auto"/>
              </w:rPr>
            </w:pPr>
          </w:p>
        </w:tc>
        <w:tc>
          <w:tcPr>
            <w:tcW w:w="144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50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96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82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auto"/>
            </w:tcBorders>
            <w:shd w:val="clear" w:color="auto" w:fill="CCEDFF"/>
          </w:tcPr>
          <w:p>
            <w:pPr>
              <w:spacing w:after="0"/>
              <w:rPr>
                <w:sz w:val="21"/>
                <w:szCs w:val="21"/>
                <w:color w:val="auto"/>
              </w:rPr>
            </w:pP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spacing w:after="0"/>
              <w:rPr>
                <w:sz w:val="21"/>
                <w:szCs w:val="21"/>
                <w:color w:val="auto"/>
              </w:rPr>
            </w:pPr>
          </w:p>
        </w:tc>
        <w:tc>
          <w:tcPr>
            <w:tcW w:w="144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spacing w:after="0"/>
              <w:rPr>
                <w:sz w:val="21"/>
                <w:szCs w:val="21"/>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DFF"/>
            </w:tcBorders>
          </w:tcPr>
          <w:p>
            <w:pPr>
              <w:spacing w:after="0" w:line="20" w:lineRule="exact"/>
              <w:rPr>
                <w:sz w:val="1"/>
                <w:szCs w:val="1"/>
                <w:color w:val="auto"/>
              </w:rPr>
            </w:pPr>
          </w:p>
        </w:tc>
        <w:tc>
          <w:tcPr>
            <w:tcW w:w="820" w:type="dxa"/>
            <w:vAlign w:val="bottom"/>
            <w:tcBorders>
              <w:top w:val="single" w:sz="8" w:color="CCEDFF"/>
              <w:bottom w:val="single" w:sz="8" w:color="CCED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420" w:type="dxa"/>
            <w:vAlign w:val="bottom"/>
            <w:tcBorders>
              <w:top w:val="single" w:sz="8" w:color="CCEDFF"/>
              <w:bottom w:val="single" w:sz="8" w:color="auto"/>
            </w:tcBorders>
          </w:tcPr>
          <w:p>
            <w:pPr>
              <w:spacing w:after="0" w:line="20" w:lineRule="exact"/>
              <w:rPr>
                <w:sz w:val="1"/>
                <w:szCs w:val="1"/>
                <w:color w:val="auto"/>
              </w:rPr>
            </w:pPr>
          </w:p>
        </w:tc>
        <w:tc>
          <w:tcPr>
            <w:tcW w:w="12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tcBorders>
          </w:tcPr>
          <w:p>
            <w:pPr>
              <w:spacing w:after="0" w:line="20" w:lineRule="exact"/>
              <w:rPr>
                <w:sz w:val="1"/>
                <w:szCs w:val="1"/>
                <w:color w:val="auto"/>
              </w:rPr>
            </w:pPr>
          </w:p>
        </w:tc>
        <w:tc>
          <w:tcPr>
            <w:tcW w:w="144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50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496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1280" w:type="dxa"/>
            <w:vAlign w:val="bottom"/>
            <w:tcBorders>
              <w:top w:val="single" w:sz="8" w:color="0000FF"/>
            </w:tcBorders>
          </w:tcPr>
          <w:p>
            <w:pPr>
              <w:spacing w:after="0"/>
              <w:rPr>
                <w:sz w:val="24"/>
                <w:szCs w:val="24"/>
                <w:color w:val="auto"/>
              </w:rPr>
            </w:pPr>
          </w:p>
        </w:tc>
        <w:tc>
          <w:tcPr>
            <w:tcW w:w="4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7"/>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20" w:type="dxa"/>
            <w:vAlign w:val="bottom"/>
          </w:tcPr>
          <w:p>
            <w:pPr>
              <w:spacing w:after="0"/>
              <w:rPr>
                <w:sz w:val="15"/>
                <w:szCs w:val="15"/>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top w:val="single" w:sz="8" w:color="auto"/>
            </w:tcBorders>
            <w:shd w:val="clear" w:color="auto" w:fill="CCEDFF"/>
          </w:tcPr>
          <w:p>
            <w:pPr>
              <w:spacing w:after="0"/>
              <w:rPr>
                <w:sz w:val="18"/>
                <w:szCs w:val="18"/>
                <w:color w:val="auto"/>
              </w:rPr>
            </w:pPr>
          </w:p>
        </w:tc>
        <w:tc>
          <w:tcPr>
            <w:tcW w:w="142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300" w:type="dxa"/>
            <w:vAlign w:val="bottom"/>
            <w:tcBorders>
              <w:top w:val="single" w:sz="8" w:color="auto"/>
            </w:tcBorders>
            <w:shd w:val="clear" w:color="auto" w:fill="CCEDFF"/>
          </w:tcPr>
          <w:p>
            <w:pPr>
              <w:spacing w:after="0"/>
              <w:rPr>
                <w:sz w:val="18"/>
                <w:szCs w:val="18"/>
                <w:color w:val="auto"/>
              </w:rPr>
            </w:pPr>
          </w:p>
        </w:tc>
        <w:tc>
          <w:tcPr>
            <w:tcW w:w="144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20" w:type="dxa"/>
            <w:vAlign w:val="bottom"/>
            <w:tcBorders>
              <w:top w:val="single" w:sz="8" w:color="auto"/>
            </w:tcBorders>
            <w:shd w:val="clear" w:color="auto" w:fill="CCEDFF"/>
          </w:tcPr>
          <w:p>
            <w:pPr>
              <w:spacing w:after="0"/>
              <w:rPr>
                <w:sz w:val="18"/>
                <w:szCs w:val="18"/>
                <w:color w:val="auto"/>
              </w:rPr>
            </w:pPr>
          </w:p>
        </w:tc>
        <w:tc>
          <w:tcPr>
            <w:tcW w:w="1500" w:type="dxa"/>
            <w:vAlign w:val="bottom"/>
            <w:tcBorders>
              <w:top w:val="single" w:sz="8" w:color="auto"/>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w:t>
            </w:r>
          </w:p>
        </w:tc>
        <w:tc>
          <w:tcPr>
            <w:tcW w:w="320" w:type="dxa"/>
            <w:vAlign w:val="bottom"/>
            <w:tcBorders>
              <w:bottom w:val="single" w:sz="8" w:color="auto"/>
            </w:tcBorders>
            <w:shd w:val="clear" w:color="auto" w:fill="CCEDFF"/>
          </w:tcPr>
          <w:p>
            <w:pPr>
              <w:spacing w:after="0"/>
              <w:rPr>
                <w:sz w:val="19"/>
                <w:szCs w:val="19"/>
                <w:color w:val="auto"/>
              </w:rPr>
            </w:pP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D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2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14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22,951</w:t>
            </w:r>
          </w:p>
        </w:tc>
        <w:tc>
          <w:tcPr>
            <w:tcW w:w="0" w:type="dxa"/>
            <w:vAlign w:val="bottom"/>
          </w:tcPr>
          <w:p>
            <w:pPr>
              <w:spacing w:after="0"/>
              <w:rPr>
                <w:sz w:val="1"/>
                <w:szCs w:val="1"/>
                <w:color w:val="auto"/>
              </w:rPr>
            </w:pPr>
          </w:p>
        </w:tc>
      </w:tr>
      <w:tr>
        <w:trPr>
          <w:trHeight w:val="250"/>
        </w:trPr>
        <w:tc>
          <w:tcPr>
            <w:tcW w:w="1280" w:type="dxa"/>
            <w:vAlign w:val="bottom"/>
            <w:shd w:val="clear" w:color="auto" w:fill="CCEDFF"/>
          </w:tcPr>
          <w:p>
            <w:pPr>
              <w:spacing w:after="0"/>
              <w:rPr>
                <w:sz w:val="21"/>
                <w:szCs w:val="21"/>
                <w:color w:val="auto"/>
              </w:rPr>
            </w:pPr>
          </w:p>
        </w:tc>
        <w:tc>
          <w:tcPr>
            <w:tcW w:w="4500" w:type="dxa"/>
            <w:vAlign w:val="bottom"/>
            <w:shd w:val="clear" w:color="auto" w:fill="CCEDFF"/>
          </w:tcPr>
          <w:p>
            <w:pPr>
              <w:spacing w:after="0"/>
              <w:rPr>
                <w:sz w:val="21"/>
                <w:szCs w:val="21"/>
                <w:color w:val="auto"/>
              </w:rPr>
            </w:pPr>
          </w:p>
        </w:tc>
        <w:tc>
          <w:tcPr>
            <w:tcW w:w="320" w:type="dxa"/>
            <w:vAlign w:val="bottom"/>
            <w:shd w:val="clear" w:color="auto" w:fill="CCEDFF"/>
          </w:tcPr>
          <w:p>
            <w:pPr>
              <w:spacing w:after="0"/>
              <w:rPr>
                <w:sz w:val="21"/>
                <w:szCs w:val="21"/>
                <w:color w:val="auto"/>
              </w:rPr>
            </w:pPr>
          </w:p>
        </w:tc>
        <w:tc>
          <w:tcPr>
            <w:tcW w:w="142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300" w:type="dxa"/>
            <w:vAlign w:val="bottom"/>
            <w:shd w:val="clear" w:color="auto" w:fill="CCEDFF"/>
          </w:tcPr>
          <w:p>
            <w:pPr>
              <w:spacing w:after="0"/>
              <w:rPr>
                <w:sz w:val="21"/>
                <w:szCs w:val="21"/>
                <w:color w:val="auto"/>
              </w:rPr>
            </w:pPr>
          </w:p>
        </w:tc>
        <w:tc>
          <w:tcPr>
            <w:tcW w:w="144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20" w:type="dxa"/>
            <w:vAlign w:val="bottom"/>
            <w:shd w:val="clear" w:color="auto" w:fill="CCEDFF"/>
          </w:tcPr>
          <w:p>
            <w:pPr>
              <w:spacing w:after="0"/>
              <w:rPr>
                <w:sz w:val="21"/>
                <w:szCs w:val="21"/>
                <w:color w:val="auto"/>
              </w:rPr>
            </w:pPr>
          </w:p>
        </w:tc>
        <w:tc>
          <w:tcPr>
            <w:tcW w:w="150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0" w:type="dxa"/>
            <w:vAlign w:val="bottom"/>
          </w:tcPr>
          <w:p>
            <w:pPr>
              <w:spacing w:after="0"/>
              <w:rPr>
                <w:sz w:val="1"/>
                <w:szCs w:val="1"/>
                <w:color w:val="auto"/>
              </w:rPr>
            </w:pPr>
          </w:p>
        </w:tc>
      </w:tr>
      <w:tr>
        <w:trPr>
          <w:trHeight w:val="229"/>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D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D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4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0" w:type="dxa"/>
            <w:vAlign w:val="bottom"/>
          </w:tcPr>
          <w:p>
            <w:pPr>
              <w:spacing w:after="0"/>
              <w:rPr>
                <w:sz w:val="1"/>
                <w:szCs w:val="1"/>
                <w:color w:val="auto"/>
              </w:rPr>
            </w:pPr>
          </w:p>
        </w:tc>
      </w:tr>
      <w:tr>
        <w:trPr>
          <w:trHeight w:val="223"/>
        </w:trPr>
        <w:tc>
          <w:tcPr>
            <w:tcW w:w="5780" w:type="dxa"/>
            <w:vAlign w:val="bottom"/>
            <w:gridSpan w:val="2"/>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DFF"/>
          </w:tcPr>
          <w:p>
            <w:pPr>
              <w:spacing w:after="0"/>
              <w:rPr>
                <w:sz w:val="19"/>
                <w:szCs w:val="19"/>
                <w:color w:val="auto"/>
              </w:rPr>
            </w:pP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2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19,586</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9"/>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CEDFF"/>
          </w:tcPr>
          <w:p>
            <w:pPr>
              <w:spacing w:after="0"/>
              <w:rPr>
                <w:sz w:val="19"/>
                <w:szCs w:val="19"/>
                <w:color w:val="auto"/>
              </w:rPr>
            </w:pP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3"/>
        </w:trPr>
        <w:tc>
          <w:tcPr>
            <w:tcW w:w="57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DFF"/>
          </w:tcPr>
          <w:p>
            <w:pPr>
              <w:spacing w:after="0"/>
              <w:rPr>
                <w:sz w:val="19"/>
                <w:szCs w:val="19"/>
                <w:color w:val="auto"/>
              </w:rPr>
            </w:pP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58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5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DFF"/>
          </w:tcPr>
          <w:p>
            <w:pPr>
              <w:ind w:left="5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20" w:type="dxa"/>
            <w:vAlign w:val="bottom"/>
            <w:tcBorders>
              <w:bottom w:val="single" w:sz="8" w:color="auto"/>
            </w:tcBorders>
            <w:shd w:val="clear" w:color="auto" w:fill="CCEDFF"/>
          </w:tcPr>
          <w:p>
            <w:pPr>
              <w:spacing w:after="0"/>
              <w:rPr>
                <w:sz w:val="19"/>
                <w:szCs w:val="19"/>
                <w:color w:val="auto"/>
              </w:rPr>
            </w:pP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23"/>
        </w:trPr>
        <w:tc>
          <w:tcPr>
            <w:tcW w:w="578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DFF"/>
            </w:tcBorders>
          </w:tcPr>
          <w:p>
            <w:pPr>
              <w:spacing w:after="0" w:line="20" w:lineRule="exact"/>
              <w:rPr>
                <w:sz w:val="1"/>
                <w:szCs w:val="1"/>
                <w:color w:val="auto"/>
              </w:rPr>
            </w:pPr>
          </w:p>
        </w:tc>
        <w:tc>
          <w:tcPr>
            <w:tcW w:w="4500" w:type="dxa"/>
            <w:vAlign w:val="bottom"/>
            <w:tcBorders>
              <w:bottom w:val="single" w:sz="8" w:color="CCED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D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D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78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Basic and diluted Platform loss per share</w:t>
            </w:r>
          </w:p>
        </w:tc>
        <w:tc>
          <w:tcPr>
            <w:tcW w:w="32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spacing w:after="0"/>
              <w:rPr>
                <w:sz w:val="21"/>
                <w:szCs w:val="21"/>
                <w:color w:val="auto"/>
              </w:rPr>
            </w:pPr>
          </w:p>
        </w:tc>
        <w:tc>
          <w:tcPr>
            <w:tcW w:w="144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DFF"/>
              <w:bottom w:val="single" w:sz="8" w:color="CCED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420" w:type="dxa"/>
            <w:vAlign w:val="bottom"/>
            <w:tcBorders>
              <w:top w:val="single" w:sz="8" w:color="CCEDFF"/>
              <w:bottom w:val="single" w:sz="8" w:color="auto"/>
            </w:tcBorders>
          </w:tcPr>
          <w:p>
            <w:pPr>
              <w:spacing w:after="0" w:line="20" w:lineRule="exact"/>
              <w:rPr>
                <w:sz w:val="1"/>
                <w:szCs w:val="1"/>
                <w:color w:val="auto"/>
              </w:rPr>
            </w:pPr>
          </w:p>
        </w:tc>
        <w:tc>
          <w:tcPr>
            <w:tcW w:w="12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tcBorders>
          </w:tcPr>
          <w:p>
            <w:pPr>
              <w:spacing w:after="0" w:line="20" w:lineRule="exact"/>
              <w:rPr>
                <w:sz w:val="1"/>
                <w:szCs w:val="1"/>
                <w:color w:val="auto"/>
              </w:rPr>
            </w:pPr>
          </w:p>
        </w:tc>
        <w:tc>
          <w:tcPr>
            <w:tcW w:w="144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50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78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shd w:val="clear" w:color="auto" w:fill="CCEDFF"/>
          </w:tcPr>
          <w:p>
            <w:pPr>
              <w:spacing w:after="0"/>
              <w:rPr>
                <w:sz w:val="21"/>
                <w:szCs w:val="21"/>
                <w:color w:val="auto"/>
              </w:rPr>
            </w:pPr>
          </w:p>
        </w:tc>
        <w:tc>
          <w:tcPr>
            <w:tcW w:w="14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spacing w:after="0"/>
              <w:rPr>
                <w:sz w:val="21"/>
                <w:szCs w:val="21"/>
                <w:color w:val="auto"/>
              </w:rPr>
            </w:pPr>
          </w:p>
        </w:tc>
        <w:tc>
          <w:tcPr>
            <w:tcW w:w="144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spacing w:after="0"/>
              <w:rPr>
                <w:sz w:val="21"/>
                <w:szCs w:val="21"/>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DFF"/>
            </w:tcBorders>
          </w:tcPr>
          <w:p>
            <w:pPr>
              <w:spacing w:after="0" w:line="20" w:lineRule="exact"/>
              <w:rPr>
                <w:sz w:val="1"/>
                <w:szCs w:val="1"/>
                <w:color w:val="auto"/>
              </w:rPr>
            </w:pPr>
          </w:p>
        </w:tc>
        <w:tc>
          <w:tcPr>
            <w:tcW w:w="450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420" w:type="dxa"/>
            <w:vAlign w:val="bottom"/>
            <w:tcBorders>
              <w:top w:val="single" w:sz="8" w:color="CCEDFF"/>
              <w:bottom w:val="single" w:sz="8" w:color="auto"/>
            </w:tcBorders>
          </w:tcPr>
          <w:p>
            <w:pPr>
              <w:spacing w:after="0" w:line="20" w:lineRule="exact"/>
              <w:rPr>
                <w:sz w:val="1"/>
                <w:szCs w:val="1"/>
                <w:color w:val="auto"/>
              </w:rPr>
            </w:pPr>
          </w:p>
        </w:tc>
        <w:tc>
          <w:tcPr>
            <w:tcW w:w="12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tcBorders>
          </w:tcPr>
          <w:p>
            <w:pPr>
              <w:spacing w:after="0" w:line="20" w:lineRule="exact"/>
              <w:rPr>
                <w:sz w:val="1"/>
                <w:szCs w:val="1"/>
                <w:color w:val="auto"/>
              </w:rPr>
            </w:pPr>
          </w:p>
        </w:tc>
        <w:tc>
          <w:tcPr>
            <w:tcW w:w="144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50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2025, the Company had a portfolio of corporate notes, whose composition and characteristics are similar to those reported in prior periods. At March 31, 2025, the portfolio consists of 196 unsecured notes with an aggregate principal balance of $33.2 million, of which $26.1 million of the corporate notes have matured or will mature within the 12-month period subsequent to May 15, 2025. The notes generally have 12-month or 36-month term, with the 12-month note holders having the option to extend for an additional 12-month term.</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Company incurred recurring operating losses and negative cash flow from operations, and could experience additional future operating losses and negative cash flow in the near term, combined with the fact that the Company does not have sufficient cash on hand to satisfy the total of the notes that mature within the next 12 months, these conditions and events raise substantial doubt about the Company’s ability to continue as a going concern. In response to these conditions, management considered the impact of these near-term maturities on the Company.</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evaluated the impact a default of one or many of these notes might have on the Company. As these notes are unsecured, the terms in the agreements do not afford the note holder avenues of recourse in a default that could or would impact the Company adversely in the normal course of business, as the terms lack provisions for rights or claims against the Company’s assets, nor is there a scenario where a default could force liquidation of the Company. Management believes that even in the event of default of one or many of these notes, the Company would be able to negotiate a waiver of the default either through an extension of the maturity or principal repayment schedule.</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satisfy the maturity of these corporate notes, the Company intends to raise $20.0 million of preferred stock series AA financing through its Reg A+ offering, which was qualified on March 12, 2024, and refinance existing 12-month term notes into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its new 36-month term corporate note program. Year to date through May 13, 2025, the Company has successfully refinanced $2.8 million of 12-month term corporate notes into its new 36-month term corporate note program.</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financing actions noted, management continues to execute various plans implemented in the year to address operating losses and near-term maturities or demands for repayment of its notes. Consistent with reported actions taken in prior reporting periods, management plans to continue to i) reduce operating costs, ii) collect all or part of its $8.2 million in receivables, iii) collect all or part of its $15.9 million in investments from its managed funds, iv) increase capital raise through continued expansion of fundraising channels, v) sell or accept investment into its corporate headquarters, vi) place debt on unencumbered assets, and/or vii) generate planned cash from operations.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as part of the execution of our aforementioned plans, the Company collected $0.2 million in notes receivable and $3.5 million in accounts receivable. In addition, the Company has implemented broad-based costs reductions, most notably being further workforce reductions, which are expected to result in annualized cost savings of $1.9 million in compensation and employee benefit expenses.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consideration of the implemented and planned actions, management concluded these plans are not within the Company’s control and therefore cannot be deemed probable. As a result, the Company has concluded that management’s plans do not alleviate substantial doubt about the Company’s ability to continue as a going concern.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funds and the related assets that are acquired or own equity interest in those funds are established as separate legal entities with limited liability. Therefore, the cash flows generated by these entities, whether through operations or financing, are unavailable for general corporate purposes, except as payment to the Company for services performed by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Debt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2025, we have issued and outstanding unsecured promissory notes of $33.2 million with an average outstanding principal balance of $0.2 million, a weighted average interest rate of 10.67%, and maturity dates ranging from July 2023 to March 2028. The purpose of this financing program is to provide the Company with flexible, short-term capital to be used to grow its assets under management and assist funds in a fast-moving acquisition or investment, as well as general corporate purposes. Additionally, the program provides customers of Caliber’s funds access to a short-term lending opportunity. Management actively manages each relationship to determine if the respective customer would like to redeem upon maturity or extend for an additional period of time. This outstanding debt resulted in $0.9 million and $1.1 million of interest expense for the three months ended March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Analysis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below discusses in more detail the Company’s primary sources and uses of cash and primary drivers of cash flows within the Company’s consolidated statements of cash flows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6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72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6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53</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432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assets of our consolidated funds, on a gross basis, can be substantially larger than the assets of our core business and, accordingly could have a substantial effect on the accompanying statements of cash flows. The table below summarizes our consolidated statements of cash flow by activity attributable to the Company and to our consolidated funds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66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the Company's operating activities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the consolidated funds' operating activities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the Company's operating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the Company's investing activities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the consolidated funds' investing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w:t>
            </w: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the Company's investing activities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15,945</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the Company's financing activities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the consolidated funds' financing activities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(6,406)</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the Company's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r>
      <w:tr>
        <w:trPr>
          <w:trHeight w:val="22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11,769</w:t>
            </w:r>
          </w:p>
        </w:tc>
      </w:tr>
      <w:tr>
        <w:trPr>
          <w:trHeight w:val="21"/>
        </w:trPr>
        <w:tc>
          <w:tcPr>
            <w:tcW w:w="5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net cash flows from operating activities are generally comprised of asset management revenues and performance allocations, less cash used for operating expenses, including interest paid on our debt obligations. Net cash flows used in operating activities of the Company increased during the three months ended March 31, 2025 as compared to the same period in 2024. The increase primarily related to increased interest payments related to the Company’s corporate notes and short term loans during the three months ended March 31, 2025, as compared to the same period in 2024. Net cash flows provided by operating activities of the consolidated funds remained relatively constant for the three months ended March 31, 2025, as compared to the same period in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flows used in investing activities of the Company remained relatively constant during the three months ended March 31, 2025, as compared to the same period in 2024. The change in net cash flows used in investing activities of the consolidated funds during the three months ended March 31, 2025, as compared to the net cash used in investing activities of the consolidated funds during the same period in 2024, is primarily due to the deconsolidation of VIEs, offset by a decrease in the investment in real estate assets and an increase in the net proceeds from notes receivable - related parties.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flows provided by financing activities of the Company increased during the three months ended March 31, 2025 as compared to the net cash flows used in financing activities of the Company for the same period in 2024. The increase was primarily due to an increase of $2.7 million of net proceeds on notes payable. The increase in net cash flows used in financing activities of the consolidated funds during the three months ended March 31, 2025, as compared to the net cash flows provided by financing activities during the same period in 2024, is primarily due to a decrease in contributions from noncontrolling interest holders of $6.2 million during the three months ended March 31, 2025 as compared to the same period in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from those estimates, perhaps in adverse ways, and those estimates could be different under different assumptions or conditions.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 of the Company</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affect the Company’s more significant estimates and judgements used in the preparation of our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revenue recognition for the fees the Company earns from providing services under its asset management Platform:</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 of the Caliber Hospitality Trust’s enterprise value and is reimbursed for certain costs incurred on behalf of the Caliber Hospitality Trust. These revenues are included in asset management revenues in the accompanying consolidated statements of operations.</w:t>
      </w:r>
    </w:p>
    <w:p>
      <w:pPr>
        <w:spacing w:after="0" w:line="1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 These revenues are included in asset management revenues in the accompanying consolidated statements of operations.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consolidated statements of operations.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 and are included in asset management revenues in the accompanying consolidated statements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w:t>
      </w:r>
    </w:p>
    <w:p>
      <w:pPr>
        <w:spacing w:after="0" w:line="1" w:lineRule="exact"/>
        <w:rPr>
          <w:sz w:val="20"/>
          <w:szCs w:val="20"/>
          <w:color w:val="auto"/>
        </w:rPr>
      </w:pPr>
    </w:p>
    <w:p>
      <w:pPr>
        <w:jc w:val="both"/>
        <w:ind w:firstLine="8"/>
        <w:spacing w:after="0" w:line="252" w:lineRule="auto"/>
        <w:tabs>
          <w:tab w:leader="none" w:pos="2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asset and liability method in accordance with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The effect on deferred tax assets and liabilities of a change in tax rates is recognized in income in the period that includes the enactment date. Valuation allowances are provided against deferred tax assets when it is more-likely-than-not that some portion or all of the deferred tax assets will not be realized.</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valuation allowance is required to reduce the balance of a deferred tax asset if it is determined that it is more-likely-than-not that all or some portion of the deferred tax asset will not be realized due to the lack of sufficient taxable income or other limitation on the Company’s ability to utilize the loss carryforward.</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the impact of an income tax position, if that position is more-likely-than-not of being sustained on audit, based on the technical merits of the position. Related interest and penalties are classified as income taxes in the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 of Consolidated Funds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affect the consolidated funds’ more significant estimates and judgements used in the preparation of our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Revenues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funds – hospitality revenue</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funds – other revenue</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funds - other revenue primarily consists of rental revenue of $0.1 million and $0.4 million for the three months ended March 31, 2025 and 2024, respectively. Rental revenue includes the revenues generated primarily by the rental operations of the residential (multi-family and single-family) and commercial properties of our consolidated funds.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consolidated funds – other revenue includes interest income, which is generated by a consolidated fund’s lending activity. There was no interest income for the three months ended March 31, 2025. For the three months ended March 31, 2024, there was $1.0 million of interest income. Interest income is recognized on the accrual basis of accounting in accordance with the lending agreements over the term of the respective loan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Expenses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financial instruments is disclosed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risk associated with financial instruments and derivative financial instruments is the risk of loss from adverse changes in market prices or interest rates. Our market risk arises primarily from interest rate risk relating to variable-rate borrowings. To meet our short and long-term liquidity requirements, we borrow funds at a combination of fixed and variable rates. Our interest rate risk management objectives are to limit the impact of interest rate changes on earnings and cash flows and to manage our overall borrowing costs. To achieve these objectives, from time to time, we may enter into interest rate hedge contracts such as swaps, caps, collars, treasury locks, options and forwards in order to mitigate our interest rate risk with respect to various debt instruments. We would not hold or issue these derivative contracts for trading or speculative purposes.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our debt included fixed-rate debt with a fair value and carrying value of $58.1 million and $62.6 million, respectively. Changes in market interest rates on our fixed rate debt impact the fair value of the debt, but they have no impact on interest incurred or cash flow. For instance, if interest rates rise 100 basis points, and the fixed rate debt balance remains constant, we expect the fair value of our debt to decrease, the same way the price of a bond declines as interest rates rise.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our debt included variable-rate debt with a fair value and carrying value of $17.8 million. The sensitivity analysis related to our variable-rate debt assumes an immediate 100 basis point move in interest rates from their March 31, 2025 levels, with all other variables held constant. A 100 basis point increase or decrease in variable interest rates on our variable-rate debt would increase or decrease our interest expense by $0.2 million annually.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revenues are generated from the management, ownership and/or operations of real estate assets located in Alaska, Arizona, Colorado, Kansas, Texas, and Virginia. The Company mitigates the associated risk by:</w:t>
      </w:r>
    </w:p>
    <w:p>
      <w:pPr>
        <w:spacing w:after="0" w:line="121"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asset types, including hospitality, commercial, single-family, multi-family, and self-storage properties;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geographic locations including different markets and sub-markets in which our real estate assets are located;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assets at differing points of stabilization, and in varying states of cash flow optimization; and</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financing relationships with a diversified mix of lenders (differing size and type), including large national banks, local community banks, private equity lenders, and insurance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Securities Exchange Act of 1934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March 31, 2025 and determined that the disclosure controls and procedures were effective at a reasonable assurance level as of that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change occurred in our internal control over financial reporting (as defined in Rules 13a-15(f) and 15d -15(f) of the Exchange Act) during the three months ended March 31, 2025 that has materially affected, or is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 Legal Proceedings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1A. Risk Factors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risk listed below, you should carefully consider the risk factors previously disclosed in the Risk Factors section in the Company’s annual report on Form 10-K filed with the SEC on March 31, 2025. In addition to the risks set forth in our Annual Report on Form 10-K for the year ended December 31, 2024, additional risks and uncertainties not currently known to us or that we currently deem to be immaterial may also materially and adversely affect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 listing of our shares of Class A common stock on Nasdaq.</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Class A common stock is listed on Nasdaq, and we must meet certain financial and liquidity criteria to maintain such listing. If we violate Nasdaq’s listing requirements, or if we fail to meet any of Nasdaq’s listing standards, our Class A common stock may be delisted. In addition, our board of directors may determine that the cost of maintaining our listing on a national securities exchange outweighs the benefits of such listing. A delisting of our Class A common stock from Nasdaq may materially impair our stockholders’ ability to buy and sell our Class A common stock and could have an adverse effect on the market price of, and the efficiency of the trading market for, our Class A common stock. The delisting of our Class A common stock could significantly impair our ability to raise capital and the value of your investment.</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14, 2024, the Company received a notice from Nasdaq notifying the Company that, because the closing bid price for the Company’s Class A common stock had fallen below $1.00 per share for 30 consecutive business days, the Company no longer complies with the minimum bid price requirement for continued listing on the Nasdaq Capital Market under Rule 5550(a)(2) of Nasdaq Listing Rules. Nasdaq’s notice had no immediate effect on the listing of the Company’s Class A common stock on the Nasdaq Capital Market. The Company was provided an initial compliance period of 180 calendar days, or until November 11, 2024, to regain compliance with the minimum bid price requirement. The Company did not regain compliance with the minimum bid price requirement by November 11, 2024; however, on November 12, 2024, the Company received written notification from Nasdaq granting the Company’s request for a 180-day extension to regain compliance with Nasdaq Listing Rule 5550(a)(2). To regain compliance, the closing bid price of the Company’s Class A common stock must meet or exceed $1.00 per share for a minimum of 10 consecutive business days prior to May 12, 2025. On May 2, 2025 the Company effected a 1-for-20 reverse stock split (“Reverse Stock Split”) of its Class A Common Stock and Class B common stock. The Reverse Stock Split is primarily intended to bring the Company into compliance with the $1.00 minimum bid price requirement for maintaining its listing on Nasdaq. There is no guarantee the Company will meet the minimum bid price requirement.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5.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Trading Plans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2025, no director or officer (as defined in Rule 16a-1(f) of the Exchange Act) of the Company adopted or terminated a Rule "10b5-1 trading arrangement" or "non-Rule 10b5-1 trading arrangement", as each term is defined in Item 408(a)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 Index</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12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840" w:type="dxa"/>
            <w:vAlign w:val="bottom"/>
            <w:gridSpan w:val="3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8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Third Amended and Restated Certificate of Incorporation of CaliberCos Inc. (incorporated by reference to Exhibit 3.1 of CaliberCos</w:t>
              </w:r>
            </w:hyperlink>
          </w:p>
        </w:tc>
        <w:tc>
          <w:tcPr>
            <w:tcW w:w="0" w:type="dxa"/>
            <w:vAlign w:val="bottom"/>
          </w:tcPr>
          <w:p>
            <w:pPr>
              <w:spacing w:after="0"/>
              <w:rPr>
                <w:sz w:val="1"/>
                <w:szCs w:val="1"/>
                <w:color w:val="auto"/>
              </w:rPr>
            </w:pPr>
          </w:p>
        </w:tc>
      </w:tr>
      <w:tr>
        <w:trPr>
          <w:trHeight w:val="169"/>
        </w:trPr>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58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Inc.’s Form 8-K filed with the SEC on May 19,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8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Amended and Restated Bylaws of CaliberCos Inc. (incorporated by reference to Exhibit 3.2 of CaliberCos Inc.’s Form 8-K filed with</w:t>
              </w:r>
            </w:hyperlink>
          </w:p>
        </w:tc>
        <w:tc>
          <w:tcPr>
            <w:tcW w:w="0" w:type="dxa"/>
            <w:vAlign w:val="bottom"/>
          </w:tcPr>
          <w:p>
            <w:pPr>
              <w:spacing w:after="0"/>
              <w:rPr>
                <w:sz w:val="1"/>
                <w:szCs w:val="1"/>
                <w:color w:val="auto"/>
              </w:rPr>
            </w:pPr>
          </w:p>
        </w:tc>
      </w:tr>
      <w:tr>
        <w:trPr>
          <w:trHeight w:val="169"/>
        </w:trPr>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the SEC on May 19, 2023)</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Certificate of Designation, Preferences and Rights relating to the Series A Convertible Preferred Stock, dated November 26, 2024</w:t>
              </w:r>
            </w:hyperlink>
          </w:p>
        </w:tc>
        <w:tc>
          <w:tcPr>
            <w:tcW w:w="0" w:type="dxa"/>
            <w:vAlign w:val="bottom"/>
          </w:tcPr>
          <w:p>
            <w:pPr>
              <w:spacing w:after="0"/>
              <w:rPr>
                <w:sz w:val="1"/>
                <w:szCs w:val="1"/>
                <w:color w:val="auto"/>
              </w:rPr>
            </w:pPr>
          </w:p>
        </w:tc>
      </w:tr>
      <w:tr>
        <w:trPr>
          <w:trHeight w:val="169"/>
        </w:trPr>
        <w:tc>
          <w:tcPr>
            <w:tcW w:w="2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2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(incorporated by reference to Exhibit 3.1 of CaliberCos Inc.’s Form 8-K filed with the SEC on December 4, 2024)</w:t>
              </w:r>
            </w:hyperlink>
          </w:p>
        </w:tc>
        <w:tc>
          <w:tcPr>
            <w:tcW w:w="112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4</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Certificate of Designation, Preferences and Rights relating to the Series AA Cumulative Redeemable Preferred Stock, dated March 5,</w:t>
              </w:r>
            </w:hyperlink>
          </w:p>
        </w:tc>
        <w:tc>
          <w:tcPr>
            <w:tcW w:w="0" w:type="dxa"/>
            <w:vAlign w:val="bottom"/>
          </w:tcPr>
          <w:p>
            <w:pPr>
              <w:spacing w:after="0"/>
              <w:rPr>
                <w:sz w:val="1"/>
                <w:szCs w:val="1"/>
                <w:color w:val="auto"/>
              </w:rPr>
            </w:pPr>
          </w:p>
        </w:tc>
      </w:tr>
      <w:tr>
        <w:trPr>
          <w:trHeight w:val="169"/>
        </w:trPr>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2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20245 (incorporated by reference to Exhibit 3.1 of CaliberCos Inc.’s Form 8-K filed with the SEC on March 11, 2025)</w:t>
              </w:r>
            </w:hyperlink>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5</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Certificate of Amendment to the Third Amended and Restated Certificate of Incorporation filed on April 23, 2025 (incorporated by</w:t>
              </w:r>
            </w:hyperlink>
          </w:p>
        </w:tc>
        <w:tc>
          <w:tcPr>
            <w:tcW w:w="0" w:type="dxa"/>
            <w:vAlign w:val="bottom"/>
          </w:tcPr>
          <w:p>
            <w:pPr>
              <w:spacing w:after="0"/>
              <w:rPr>
                <w:sz w:val="1"/>
                <w:szCs w:val="1"/>
                <w:color w:val="auto"/>
              </w:rPr>
            </w:pPr>
          </w:p>
        </w:tc>
      </w:tr>
      <w:tr>
        <w:trPr>
          <w:trHeight w:val="169"/>
        </w:trPr>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reference to Exhibit 3.1 of CaliberCos Inc.’s Form 8-K filed with the SEC on April 25, 2025)</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Description of Securities (incorporated by reference to Exhibit 4.1 of CaliberCos Inc.’s Form 10-K filed with the SEC on March 31,</w:t>
              </w:r>
            </w:hyperlink>
          </w:p>
        </w:tc>
        <w:tc>
          <w:tcPr>
            <w:tcW w:w="0" w:type="dxa"/>
            <w:vAlign w:val="bottom"/>
          </w:tcPr>
          <w:p>
            <w:pPr>
              <w:spacing w:after="0"/>
              <w:rPr>
                <w:sz w:val="1"/>
                <w:szCs w:val="1"/>
                <w:color w:val="auto"/>
              </w:rPr>
            </w:pPr>
          </w:p>
        </w:tc>
      </w:tr>
      <w:tr>
        <w:trPr>
          <w:trHeight w:val="169"/>
        </w:trPr>
        <w:tc>
          <w:tcPr>
            <w:tcW w:w="2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93">
              <w:r>
                <w:rPr>
                  <w:rFonts w:ascii="Times New Roman" w:cs="Times New Roman" w:eastAsia="Times New Roman" w:hAnsi="Times New Roman"/>
                  <w:sz w:val="18"/>
                  <w:szCs w:val="18"/>
                  <w:color w:val="0000FF"/>
                  <w:w w:val="95"/>
                </w:rPr>
                <w:t>2025)</w:t>
              </w:r>
            </w:hyperlink>
          </w:p>
        </w:tc>
        <w:tc>
          <w:tcPr>
            <w:tcW w:w="150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4">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Class A common stock Certificate (incorporated by reference to Exhibit 4.1 to the Registrant’s Registration Statement on Form</w:t>
              </w:r>
            </w:hyperlink>
          </w:p>
        </w:tc>
        <w:tc>
          <w:tcPr>
            <w:tcW w:w="0" w:type="dxa"/>
            <w:vAlign w:val="bottom"/>
          </w:tcPr>
          <w:p>
            <w:pPr>
              <w:spacing w:after="0"/>
              <w:rPr>
                <w:sz w:val="1"/>
                <w:szCs w:val="1"/>
                <w:color w:val="auto"/>
              </w:rPr>
            </w:pPr>
          </w:p>
        </w:tc>
      </w:tr>
      <w:tr>
        <w:trPr>
          <w:trHeight w:val="169"/>
        </w:trPr>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S-1/A, filed with the SEC on October 28, 2022 (File No. 333-267657))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00" w:type="dxa"/>
            <w:vAlign w:val="bottom"/>
            <w:gridSpan w:val="4"/>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Amended and Restated Stockholders’ Agreement dated March 22, 2023, by and among the Company, John C. Loeffler, Jennifer</w:t>
              </w:r>
            </w:hyperlink>
          </w:p>
        </w:tc>
        <w:tc>
          <w:tcPr>
            <w:tcW w:w="62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40" w:type="dxa"/>
            <w:vAlign w:val="bottom"/>
            <w:gridSpan w:val="38"/>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Schrader and Donnie Schrader (incorporated by reference to Exhibit 4.2 to the Registrant’s Registration Statement on Form S-1/A, filed</w:t>
              </w:r>
            </w:hyperlink>
          </w:p>
        </w:tc>
        <w:tc>
          <w:tcPr>
            <w:tcW w:w="0" w:type="dxa"/>
            <w:vAlign w:val="bottom"/>
          </w:tcPr>
          <w:p>
            <w:pPr>
              <w:spacing w:after="0"/>
              <w:rPr>
                <w:sz w:val="1"/>
                <w:szCs w:val="1"/>
                <w:color w:val="auto"/>
              </w:rPr>
            </w:pPr>
          </w:p>
        </w:tc>
      </w:tr>
      <w:tr>
        <w:trPr>
          <w:trHeight w:val="155"/>
        </w:trPr>
        <w:tc>
          <w:tcPr>
            <w:tcW w:w="240" w:type="dxa"/>
            <w:vAlign w:val="bottom"/>
            <w:tcBorders>
              <w:bottom w:val="single" w:sz="8" w:color="0000FF"/>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with the SEC on March 22, 2023 (File No. 333-267657))</w:t>
              </w:r>
            </w:hyperlink>
          </w:p>
        </w:tc>
        <w:tc>
          <w:tcPr>
            <w:tcW w:w="568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0" w:type="dxa"/>
            <w:vAlign w:val="bottom"/>
            <w:gridSpan w:val="3"/>
            <w:vMerge w:val="restart"/>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3.1</w:t>
              </w:r>
            </w:hyperlink>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Stock Purchase Agreement dated September 21, 2018, by and among the Company and Donnie Schrader (incorporated by reference to</w:t>
              </w:r>
            </w:hyperlink>
          </w:p>
        </w:tc>
        <w:tc>
          <w:tcPr>
            <w:tcW w:w="0" w:type="dxa"/>
            <w:vAlign w:val="bottom"/>
          </w:tcPr>
          <w:p>
            <w:pPr>
              <w:spacing w:after="0"/>
              <w:rPr>
                <w:sz w:val="1"/>
                <w:szCs w:val="1"/>
                <w:color w:val="auto"/>
              </w:rPr>
            </w:pPr>
          </w:p>
        </w:tc>
      </w:tr>
      <w:tr>
        <w:trPr>
          <w:trHeight w:val="169"/>
        </w:trPr>
        <w:tc>
          <w:tcPr>
            <w:tcW w:w="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8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Exhibit 3.2 of CaliberCos Inc.’s offering statement on Form 1-A (File No.024-11016), filed with the SEC on June 13, 2019)</w:t>
              </w:r>
            </w:hyperlink>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60" w:type="dxa"/>
            <w:vAlign w:val="bottom"/>
            <w:gridSpan w:val="5"/>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9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Form of Warrant (incorporated by reference to Exhibit 4.1 of CaliberCos Inc.’s Form 8-K filed with the SEC on April 14, 2025)</w:t>
              </w:r>
            </w:hyperlink>
          </w:p>
        </w:tc>
        <w:tc>
          <w:tcPr>
            <w:tcW w:w="64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9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5</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9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Form of Note (incorporated by reference to Exhibit 4.2 of CaliberCos Inc.’s Form 8-K filed with the SEC on April 14, 2025)</w:t>
              </w:r>
            </w:hyperlink>
          </w:p>
        </w:tc>
        <w:tc>
          <w:tcPr>
            <w:tcW w:w="86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6</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Representative’s Warrants (incorporated by reference to Exhibit 4.1 of CaliberCos Inc.’s Form 8-K filed with the SEC on April 17,</w:t>
              </w:r>
            </w:hyperlink>
          </w:p>
        </w:tc>
        <w:tc>
          <w:tcPr>
            <w:tcW w:w="0" w:type="dxa"/>
            <w:vAlign w:val="bottom"/>
          </w:tcPr>
          <w:p>
            <w:pPr>
              <w:spacing w:after="0"/>
              <w:rPr>
                <w:sz w:val="1"/>
                <w:szCs w:val="1"/>
                <w:color w:val="auto"/>
              </w:rPr>
            </w:pPr>
          </w:p>
        </w:tc>
      </w:tr>
      <w:tr>
        <w:trPr>
          <w:trHeight w:val="169"/>
        </w:trPr>
        <w:tc>
          <w:tcPr>
            <w:tcW w:w="2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99">
              <w:r>
                <w:rPr>
                  <w:rFonts w:ascii="Times New Roman" w:cs="Times New Roman" w:eastAsia="Times New Roman" w:hAnsi="Times New Roman"/>
                  <w:sz w:val="18"/>
                  <w:szCs w:val="18"/>
                  <w:color w:val="0000FF"/>
                  <w:w w:val="95"/>
                </w:rPr>
                <w:t>2025)</w:t>
              </w:r>
            </w:hyperlink>
          </w:p>
        </w:tc>
        <w:tc>
          <w:tcPr>
            <w:tcW w:w="150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10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7</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Rights Agreement, dated April 17, 2025, between the Company and Continental Stock Transfer &amp; Trust Company, as rights agent</w:t>
              </w:r>
            </w:hyperlink>
          </w:p>
        </w:tc>
        <w:tc>
          <w:tcPr>
            <w:tcW w:w="0" w:type="dxa"/>
            <w:vAlign w:val="bottom"/>
          </w:tcPr>
          <w:p>
            <w:pPr>
              <w:spacing w:after="0"/>
              <w:rPr>
                <w:sz w:val="1"/>
                <w:szCs w:val="1"/>
                <w:color w:val="auto"/>
              </w:rPr>
            </w:pPr>
          </w:p>
        </w:tc>
      </w:tr>
      <w:tr>
        <w:trPr>
          <w:trHeight w:val="169"/>
        </w:trPr>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36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(incorporated by reference to Exhibit 4.2 of CaliberCos Inc.’s Form 8-K filed with the SEC on April 17, 2025)</w:t>
              </w:r>
            </w:hyperlink>
          </w:p>
        </w:tc>
        <w:tc>
          <w:tcPr>
            <w:tcW w:w="1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60" w:type="dxa"/>
            <w:vAlign w:val="bottom"/>
            <w:gridSpan w:val="5"/>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2"/>
            <w:vMerge w:val="restart"/>
          </w:tcPr>
          <w:p>
            <w:pPr>
              <w:spacing w:after="0"/>
              <w:rPr>
                <w:rFonts w:ascii="Times New Roman" w:cs="Times New Roman" w:eastAsia="Times New Roman" w:hAnsi="Times New Roman"/>
                <w:sz w:val="18"/>
                <w:szCs w:val="18"/>
                <w:color w:val="0000FF"/>
                <w:w w:val="88"/>
              </w:rPr>
            </w:pPr>
            <w:hyperlink r:id="rId101">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1</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Securities Purchase Agreement, dated March 20, 2025, between the Company and the Investor (incorporated by reference to Exhibit</w:t>
              </w:r>
            </w:hyperlink>
          </w:p>
        </w:tc>
        <w:tc>
          <w:tcPr>
            <w:tcW w:w="0" w:type="dxa"/>
            <w:vAlign w:val="bottom"/>
          </w:tcPr>
          <w:p>
            <w:pPr>
              <w:spacing w:after="0"/>
              <w:rPr>
                <w:sz w:val="1"/>
                <w:szCs w:val="1"/>
                <w:color w:val="auto"/>
              </w:rPr>
            </w:pPr>
          </w:p>
        </w:tc>
      </w:tr>
      <w:tr>
        <w:trPr>
          <w:trHeight w:val="169"/>
        </w:trPr>
        <w:tc>
          <w:tcPr>
            <w:tcW w:w="320" w:type="dxa"/>
            <w:vAlign w:val="bottom"/>
            <w:tcBorders>
              <w:bottom w:val="single" w:sz="8" w:color="0000FF"/>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of CaliberCos Inc.’s Form 8-K filed with the SEC on March 26, 2025)</w:t>
              </w:r>
            </w:hyperlink>
          </w:p>
        </w:tc>
        <w:tc>
          <w:tcPr>
            <w:tcW w:w="412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 w:type="dxa"/>
            <w:vAlign w:val="bottom"/>
            <w:gridSpan w:val="2"/>
            <w:vMerge w:val="restart"/>
          </w:tcPr>
          <w:p>
            <w:pPr>
              <w:spacing w:after="0"/>
              <w:rPr>
                <w:rFonts w:ascii="Times New Roman" w:cs="Times New Roman" w:eastAsia="Times New Roman" w:hAnsi="Times New Roman"/>
                <w:sz w:val="18"/>
                <w:szCs w:val="18"/>
                <w:color w:val="0000FF"/>
                <w:w w:val="88"/>
              </w:rPr>
            </w:pPr>
            <w:hyperlink r:id="rId102">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2</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Registration Rights Agreement, dated March 20, 2025, between the Company and the Investor (incorporated by reference to Exhibit</w:t>
              </w:r>
            </w:hyperlink>
          </w:p>
        </w:tc>
        <w:tc>
          <w:tcPr>
            <w:tcW w:w="0" w:type="dxa"/>
            <w:vAlign w:val="bottom"/>
          </w:tcPr>
          <w:p>
            <w:pPr>
              <w:spacing w:after="0"/>
              <w:rPr>
                <w:sz w:val="1"/>
                <w:szCs w:val="1"/>
                <w:color w:val="auto"/>
              </w:rPr>
            </w:pPr>
          </w:p>
        </w:tc>
      </w:tr>
      <w:tr>
        <w:trPr>
          <w:trHeight w:val="169"/>
        </w:trPr>
        <w:tc>
          <w:tcPr>
            <w:tcW w:w="320" w:type="dxa"/>
            <w:vAlign w:val="bottom"/>
            <w:tcBorders>
              <w:bottom w:val="single" w:sz="8" w:color="0000FF"/>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of CaliberCos Inc.’s Form 8-K filed with the SEC on March 26, 2025)</w:t>
              </w:r>
            </w:hyperlink>
          </w:p>
        </w:tc>
        <w:tc>
          <w:tcPr>
            <w:tcW w:w="4100" w:type="dxa"/>
            <w:vAlign w:val="bottom"/>
            <w:tcBorders>
              <w:top w:val="single" w:sz="8" w:color="0000FF"/>
            </w:tcBorders>
            <w:gridSpan w:val="21"/>
          </w:tcPr>
          <w:p>
            <w:pPr>
              <w:spacing w:after="0"/>
              <w:rPr>
                <w:sz w:val="14"/>
                <w:szCs w:val="14"/>
                <w:color w:val="auto"/>
              </w:rPr>
            </w:pPr>
          </w:p>
        </w:tc>
        <w:tc>
          <w:tcPr>
            <w:tcW w:w="40" w:type="dxa"/>
            <w:vAlign w:val="bottom"/>
            <w:gridSpan w:val="2"/>
          </w:tcPr>
          <w:p>
            <w:pPr>
              <w:spacing w:after="0"/>
              <w:rPr>
                <w:sz w:val="14"/>
                <w:szCs w:val="14"/>
                <w:color w:val="auto"/>
              </w:rPr>
            </w:pPr>
          </w:p>
        </w:tc>
        <w:tc>
          <w:tcPr>
            <w:tcW w:w="2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 w:type="dxa"/>
            <w:vAlign w:val="bottom"/>
            <w:gridSpan w:val="2"/>
            <w:vMerge w:val="restart"/>
          </w:tcPr>
          <w:p>
            <w:pPr>
              <w:spacing w:after="0"/>
              <w:rPr>
                <w:rFonts w:ascii="Times New Roman" w:cs="Times New Roman" w:eastAsia="Times New Roman" w:hAnsi="Times New Roman"/>
                <w:sz w:val="18"/>
                <w:szCs w:val="18"/>
                <w:color w:val="0000FF"/>
                <w:w w:val="88"/>
              </w:rPr>
            </w:pPr>
            <w:hyperlink r:id="rId103">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3</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Subsidiary Guarantee dated March 20, 2025, between the Company, the Guarantors (as defined in the Subsidiary Guarantee) and the</w:t>
              </w:r>
            </w:hyperlink>
          </w:p>
        </w:tc>
        <w:tc>
          <w:tcPr>
            <w:tcW w:w="0" w:type="dxa"/>
            <w:vAlign w:val="bottom"/>
          </w:tcPr>
          <w:p>
            <w:pPr>
              <w:spacing w:after="0"/>
              <w:rPr>
                <w:sz w:val="1"/>
                <w:szCs w:val="1"/>
                <w:color w:val="auto"/>
              </w:rPr>
            </w:pPr>
          </w:p>
        </w:tc>
      </w:tr>
      <w:tr>
        <w:trPr>
          <w:trHeight w:val="169"/>
        </w:trPr>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56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Investor (incorporated by reference to Exhibit 10.3 of CaliberCos Inc.’s Form 8-K filed with the SEC on March 26, 2025)</w:t>
              </w:r>
            </w:hyperlink>
          </w:p>
        </w:tc>
        <w:tc>
          <w:tcPr>
            <w:tcW w:w="2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60" w:type="dxa"/>
            <w:vAlign w:val="bottom"/>
            <w:gridSpan w:val="5"/>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2"/>
            <w:vMerge w:val="restart"/>
          </w:tcPr>
          <w:p>
            <w:pPr>
              <w:spacing w:after="0"/>
              <w:rPr>
                <w:rFonts w:ascii="Times New Roman" w:cs="Times New Roman" w:eastAsia="Times New Roman" w:hAnsi="Times New Roman"/>
                <w:sz w:val="18"/>
                <w:szCs w:val="18"/>
                <w:color w:val="0000FF"/>
                <w:w w:val="88"/>
              </w:rPr>
            </w:pPr>
            <w:hyperlink r:id="rId104">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4</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Equity Purchase Agreement, dated March 20, 2025 between the Company and the Investor (incorporated by reference to Exhibit 10.4 of</w:t>
              </w:r>
            </w:hyperlink>
          </w:p>
        </w:tc>
        <w:tc>
          <w:tcPr>
            <w:tcW w:w="0" w:type="dxa"/>
            <w:vAlign w:val="bottom"/>
          </w:tcPr>
          <w:p>
            <w:pPr>
              <w:spacing w:after="0"/>
              <w:rPr>
                <w:sz w:val="1"/>
                <w:szCs w:val="1"/>
                <w:color w:val="auto"/>
              </w:rPr>
            </w:pPr>
          </w:p>
        </w:tc>
      </w:tr>
      <w:tr>
        <w:trPr>
          <w:trHeight w:val="169"/>
        </w:trPr>
        <w:tc>
          <w:tcPr>
            <w:tcW w:w="320" w:type="dxa"/>
            <w:vAlign w:val="bottom"/>
            <w:tcBorders>
              <w:bottom w:val="single" w:sz="8" w:color="0000FF"/>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CaliberCos Inc.’s Form 8-K filed with the SEC on March 26, 2025)</w:t>
              </w:r>
            </w:hyperlink>
          </w:p>
        </w:tc>
        <w:tc>
          <w:tcPr>
            <w:tcW w:w="4960" w:type="dxa"/>
            <w:vAlign w:val="bottom"/>
            <w:tcBorders>
              <w:top w:val="single" w:sz="8" w:color="0000FF"/>
            </w:tcBorders>
            <w:gridSpan w:val="3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 w:type="dxa"/>
            <w:vAlign w:val="bottom"/>
            <w:gridSpan w:val="2"/>
            <w:vMerge w:val="restart"/>
          </w:tcPr>
          <w:p>
            <w:pPr>
              <w:spacing w:after="0"/>
              <w:rPr>
                <w:rFonts w:ascii="Times New Roman" w:cs="Times New Roman" w:eastAsia="Times New Roman" w:hAnsi="Times New Roman"/>
                <w:sz w:val="18"/>
                <w:szCs w:val="18"/>
                <w:color w:val="0000FF"/>
                <w:w w:val="88"/>
              </w:rPr>
            </w:pPr>
            <w:hyperlink r:id="rId105">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5</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Registration Rights Agreement, dated March 20, 2025, between the Company and the Investor (incorporated by reference to Exhibit</w:t>
              </w:r>
            </w:hyperlink>
          </w:p>
        </w:tc>
        <w:tc>
          <w:tcPr>
            <w:tcW w:w="0" w:type="dxa"/>
            <w:vAlign w:val="bottom"/>
          </w:tcPr>
          <w:p>
            <w:pPr>
              <w:spacing w:after="0"/>
              <w:rPr>
                <w:sz w:val="1"/>
                <w:szCs w:val="1"/>
                <w:color w:val="auto"/>
              </w:rPr>
            </w:pPr>
          </w:p>
        </w:tc>
      </w:tr>
      <w:tr>
        <w:trPr>
          <w:trHeight w:val="169"/>
        </w:trPr>
        <w:tc>
          <w:tcPr>
            <w:tcW w:w="320" w:type="dxa"/>
            <w:vAlign w:val="bottom"/>
            <w:tcBorders>
              <w:bottom w:val="single" w:sz="8" w:color="0000FF"/>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5</w:t>
              </w:r>
              <w:r>
                <w:rPr>
                  <w:rFonts w:ascii="Times New Roman" w:cs="Times New Roman" w:eastAsia="Times New Roman" w:hAnsi="Times New Roman"/>
                  <w:sz w:val="18"/>
                  <w:szCs w:val="18"/>
                  <w:color w:val="0000FF"/>
                  <w:w w:val="99"/>
                </w:rPr>
                <w:t xml:space="preserve"> of CaliberCos Inc.’s Form 8-K filed with the SEC on March 26, 2025)</w:t>
              </w:r>
            </w:hyperlink>
          </w:p>
        </w:tc>
        <w:tc>
          <w:tcPr>
            <w:tcW w:w="4100" w:type="dxa"/>
            <w:vAlign w:val="bottom"/>
            <w:tcBorders>
              <w:top w:val="single" w:sz="8" w:color="0000FF"/>
            </w:tcBorders>
            <w:gridSpan w:val="21"/>
          </w:tcPr>
          <w:p>
            <w:pPr>
              <w:spacing w:after="0"/>
              <w:rPr>
                <w:sz w:val="14"/>
                <w:szCs w:val="14"/>
                <w:color w:val="auto"/>
              </w:rPr>
            </w:pPr>
          </w:p>
        </w:tc>
        <w:tc>
          <w:tcPr>
            <w:tcW w:w="3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 w:type="dxa"/>
            <w:vAlign w:val="bottom"/>
            <w:gridSpan w:val="2"/>
            <w:vMerge w:val="restart"/>
          </w:tcPr>
          <w:p>
            <w:pPr>
              <w:spacing w:after="0"/>
              <w:rPr>
                <w:rFonts w:ascii="Times New Roman" w:cs="Times New Roman" w:eastAsia="Times New Roman" w:hAnsi="Times New Roman"/>
                <w:sz w:val="18"/>
                <w:szCs w:val="18"/>
                <w:color w:val="0000FF"/>
                <w:w w:val="88"/>
              </w:rPr>
            </w:pPr>
            <w:hyperlink r:id="rId106">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6</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First Amendment to Equity Purchase Agreement, dated March 20, 2025 between the Company and the Investor (incorporated by</w:t>
              </w:r>
            </w:hyperlink>
          </w:p>
        </w:tc>
        <w:tc>
          <w:tcPr>
            <w:tcW w:w="0" w:type="dxa"/>
            <w:vAlign w:val="bottom"/>
          </w:tcPr>
          <w:p>
            <w:pPr>
              <w:spacing w:after="0"/>
              <w:rPr>
                <w:sz w:val="1"/>
                <w:szCs w:val="1"/>
                <w:color w:val="auto"/>
              </w:rPr>
            </w:pPr>
          </w:p>
        </w:tc>
      </w:tr>
      <w:tr>
        <w:trPr>
          <w:trHeight w:val="169"/>
        </w:trPr>
        <w:tc>
          <w:tcPr>
            <w:tcW w:w="320" w:type="dxa"/>
            <w:vAlign w:val="bottom"/>
            <w:tcBorders>
              <w:bottom w:val="single" w:sz="8" w:color="0000FF"/>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6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reference to Exhibit 10.23 of CaliberCos Inc.’s Form S-1 filed with the SEC on April 14, 2025)</w:t>
              </w:r>
            </w:hyperlink>
          </w:p>
        </w:tc>
        <w:tc>
          <w:tcPr>
            <w:tcW w:w="2420" w:type="dxa"/>
            <w:vAlign w:val="bottom"/>
            <w:tcBorders>
              <w:top w:val="single" w:sz="8" w:color="0000FF"/>
            </w:tcBorders>
            <w:gridSpan w:val="9"/>
          </w:tcPr>
          <w:p>
            <w:pPr>
              <w:spacing w:after="0"/>
              <w:rPr>
                <w:sz w:val="14"/>
                <w:szCs w:val="14"/>
                <w:color w:val="auto"/>
              </w:rPr>
            </w:pPr>
          </w:p>
        </w:tc>
        <w:tc>
          <w:tcPr>
            <w:tcW w:w="56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w:t>
            </w:r>
          </w:p>
        </w:tc>
        <w:tc>
          <w:tcPr>
            <w:tcW w:w="3600" w:type="dxa"/>
            <w:vAlign w:val="bottom"/>
            <w:gridSpan w:val="2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w:t>
            </w:r>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80" w:type="dxa"/>
            <w:vAlign w:val="bottom"/>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60" w:type="dxa"/>
            <w:vAlign w:val="bottom"/>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32.</w:t>
            </w:r>
            <w:r>
              <w:rPr>
                <w:rFonts w:ascii="Times New Roman" w:cs="Times New Roman" w:eastAsia="Times New Roman" w:hAnsi="Times New Roman"/>
                <w:sz w:val="18"/>
                <w:szCs w:val="18"/>
                <w:u w:val="single" w:color="auto"/>
                <w:color w:val="0000FF"/>
                <w:w w:val="96"/>
              </w:rPr>
              <w:t>1**</w:t>
            </w:r>
          </w:p>
        </w:tc>
        <w:tc>
          <w:tcPr>
            <w:tcW w:w="860" w:type="dxa"/>
            <w:vAlign w:val="bottom"/>
          </w:tcPr>
          <w:p>
            <w:pPr>
              <w:spacing w:after="0"/>
              <w:rPr>
                <w:sz w:val="18"/>
                <w:szCs w:val="18"/>
                <w:color w:val="auto"/>
              </w:rPr>
            </w:pPr>
          </w:p>
        </w:tc>
        <w:tc>
          <w:tcPr>
            <w:tcW w:w="98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c>
          <w:tcPr>
            <w:tcW w:w="0" w:type="dxa"/>
            <w:vAlign w:val="bottom"/>
          </w:tcPr>
          <w:p>
            <w:pPr>
              <w:spacing w:after="0"/>
              <w:rPr>
                <w:sz w:val="1"/>
                <w:szCs w:val="1"/>
                <w:color w:val="auto"/>
              </w:rPr>
            </w:pPr>
          </w:p>
        </w:tc>
      </w:tr>
      <w:tr>
        <w:trPr>
          <w:trHeight w:val="210"/>
        </w:trPr>
        <w:tc>
          <w:tcPr>
            <w:tcW w:w="5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32.</w:t>
            </w:r>
            <w:r>
              <w:rPr>
                <w:rFonts w:ascii="Times New Roman" w:cs="Times New Roman" w:eastAsia="Times New Roman" w:hAnsi="Times New Roman"/>
                <w:sz w:val="18"/>
                <w:szCs w:val="18"/>
                <w:u w:val="single" w:color="auto"/>
                <w:color w:val="0000FF"/>
                <w:w w:val="96"/>
              </w:rPr>
              <w:t>2**</w:t>
            </w:r>
          </w:p>
        </w:tc>
        <w:tc>
          <w:tcPr>
            <w:tcW w:w="860" w:type="dxa"/>
            <w:vAlign w:val="bottom"/>
            <w:tcBorders>
              <w:bottom w:val="single" w:sz="8" w:color="0000FF"/>
            </w:tcBorders>
          </w:tcPr>
          <w:p>
            <w:pPr>
              <w:spacing w:after="0"/>
              <w:rPr>
                <w:sz w:val="18"/>
                <w:szCs w:val="18"/>
                <w:color w:val="auto"/>
              </w:rPr>
            </w:pPr>
          </w:p>
        </w:tc>
        <w:tc>
          <w:tcPr>
            <w:tcW w:w="56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w:t>
            </w:r>
          </w:p>
        </w:tc>
        <w:tc>
          <w:tcPr>
            <w:tcW w:w="40" w:type="dxa"/>
            <w:vAlign w:val="bottom"/>
            <w:tcBorders>
              <w:top w:val="single" w:sz="8" w:color="0000FF"/>
            </w:tcBorders>
          </w:tcPr>
          <w:p>
            <w:pPr>
              <w:spacing w:after="0"/>
              <w:rPr>
                <w:sz w:val="18"/>
                <w:szCs w:val="18"/>
                <w:color w:val="auto"/>
              </w:rPr>
            </w:pPr>
          </w:p>
        </w:tc>
        <w:tc>
          <w:tcPr>
            <w:tcW w:w="4120" w:type="dxa"/>
            <w:vAlign w:val="bottom"/>
            <w:gridSpan w:val="29"/>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0" w:type="dxa"/>
            <w:vAlign w:val="bottom"/>
          </w:tcPr>
          <w:p>
            <w:pPr>
              <w:spacing w:after="0"/>
              <w:rPr>
                <w:sz w:val="1"/>
                <w:szCs w:val="1"/>
                <w:color w:val="auto"/>
              </w:rPr>
            </w:pPr>
          </w:p>
        </w:tc>
      </w:tr>
      <w:tr>
        <w:trPr>
          <w:trHeight w:val="230"/>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30"/>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0" w:type="dxa"/>
            <w:vAlign w:val="bottom"/>
          </w:tcPr>
          <w:p>
            <w:pPr>
              <w:spacing w:after="0"/>
              <w:rPr>
                <w:sz w:val="1"/>
                <w:szCs w:val="1"/>
                <w:color w:val="auto"/>
              </w:rPr>
            </w:pPr>
          </w:p>
        </w:tc>
      </w:tr>
      <w:tr>
        <w:trPr>
          <w:trHeight w:val="230"/>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c>
          <w:tcPr>
            <w:tcW w:w="0" w:type="dxa"/>
            <w:vAlign w:val="bottom"/>
          </w:tcPr>
          <w:p>
            <w:pPr>
              <w:spacing w:after="0"/>
              <w:rPr>
                <w:sz w:val="1"/>
                <w:szCs w:val="1"/>
                <w:color w:val="auto"/>
              </w:rPr>
            </w:pPr>
          </w:p>
        </w:tc>
      </w:tr>
      <w:tr>
        <w:trPr>
          <w:trHeight w:val="234"/>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0" w:type="dxa"/>
            <w:vAlign w:val="bottom"/>
          </w:tcPr>
          <w:p>
            <w:pPr>
              <w:spacing w:after="0"/>
              <w:rPr>
                <w:sz w:val="1"/>
                <w:szCs w:val="1"/>
                <w:color w:val="auto"/>
              </w:rPr>
            </w:pPr>
          </w:p>
        </w:tc>
      </w:tr>
    </w:tbl>
    <w:p>
      <w:pPr>
        <w:ind w:left="1380" w:hanging="1354"/>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308610</wp:posOffset>
            </wp:positionV>
            <wp:extent cx="67551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20" w:hanging="497"/>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820" w:hanging="497"/>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50" w:lineRule="exact"/>
        <w:rPr>
          <w:sz w:val="20"/>
          <w:szCs w:val="20"/>
          <w:color w:val="auto"/>
        </w:rPr>
      </w:pPr>
    </w:p>
    <w:p>
      <w:pPr>
        <w:ind w:left="820" w:hanging="49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Quarterly Report on Form 10-Q to be signed on its behalf by the undersigned, thereunto duly authorized, in Scottsdale, Arizona, on May 15, 2025.</w:t>
      </w:r>
    </w:p>
    <w:p>
      <w:pPr>
        <w:spacing w:after="0" w:line="1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229" w:lineRule="exact"/>
        <w:rPr>
          <w:sz w:val="20"/>
          <w:szCs w:val="20"/>
          <w:color w:val="auto"/>
        </w:rPr>
      </w:pPr>
    </w:p>
    <w:tbl>
      <w:tblPr>
        <w:tblLayout w:type="fixed"/>
        <w:tblInd w:w="51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 Loeffler, II</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C. Loeffler, II</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required under the Securities Act of 1933, this Quarterly Report on Form 10-Q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66"/>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 Loeffler, II</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15, 2025</w:t>
            </w:r>
          </w:p>
        </w:tc>
      </w:tr>
      <w:tr>
        <w:trPr>
          <w:trHeight w:val="22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C. Loeffler, II</w:t>
            </w:r>
          </w:p>
        </w:tc>
        <w:tc>
          <w:tcPr>
            <w:tcW w:w="100" w:type="dxa"/>
            <w:vAlign w:val="bottom"/>
          </w:tcPr>
          <w:p>
            <w:pPr>
              <w:spacing w:after="0"/>
              <w:rPr>
                <w:sz w:val="19"/>
                <w:szCs w:val="19"/>
                <w:color w:val="auto"/>
              </w:rPr>
            </w:pPr>
          </w:p>
        </w:tc>
        <w:tc>
          <w:tcPr>
            <w:tcW w:w="616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00" w:type="dxa"/>
            <w:vAlign w:val="bottom"/>
          </w:tcPr>
          <w:p>
            <w:pPr>
              <w:spacing w:after="0"/>
              <w:rPr>
                <w:sz w:val="19"/>
                <w:szCs w:val="19"/>
                <w:color w:val="auto"/>
              </w:rPr>
            </w:pPr>
          </w:p>
        </w:tc>
      </w:tr>
      <w:tr>
        <w:trPr>
          <w:trHeight w:val="481"/>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Jade Leung</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15, 2025</w:t>
            </w:r>
          </w:p>
        </w:tc>
      </w:tr>
      <w:tr>
        <w:trPr>
          <w:trHeight w:val="22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Jade Leung</w:t>
            </w:r>
          </w:p>
        </w:tc>
        <w:tc>
          <w:tcPr>
            <w:tcW w:w="10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81"/>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Schrader</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Vice-Chairperson</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15, 2025</w:t>
            </w:r>
          </w:p>
        </w:tc>
      </w:tr>
      <w:tr>
        <w:trPr>
          <w:trHeight w:val="22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Schrader</w:t>
            </w:r>
          </w:p>
        </w:tc>
        <w:tc>
          <w:tcPr>
            <w:tcW w:w="10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900"/>
        </w:trPr>
        <w:tc>
          <w:tcPr>
            <w:tcW w:w="2980" w:type="dxa"/>
            <w:vAlign w:val="bottom"/>
          </w:tcPr>
          <w:p>
            <w:pPr>
              <w:spacing w:after="0"/>
              <w:rPr>
                <w:sz w:val="24"/>
                <w:szCs w:val="24"/>
                <w:color w:val="auto"/>
              </w:rPr>
            </w:pPr>
          </w:p>
        </w:tc>
        <w:tc>
          <w:tcPr>
            <w:tcW w:w="6160" w:type="dxa"/>
            <w:vAlign w:val="bottom"/>
            <w:gridSpan w:val="2"/>
          </w:tcPr>
          <w:p>
            <w:pPr>
              <w:jc w:val="right"/>
              <w:ind w:right="33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 Loeffler, II, certify that:</w:t>
      </w:r>
    </w:p>
    <w:p>
      <w:pPr>
        <w:spacing w:after="0" w:line="239"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CaliberCos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50"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820" w:val="left"/>
          <w:tab w:leader="none" w:pos="6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15, 2025</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18415</wp:posOffset>
            </wp:positionV>
            <wp:extent cx="25457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8"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John C. Loeffler, II</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Jade Leung, certify that:</w:t>
      </w:r>
    </w:p>
    <w:p>
      <w:pPr>
        <w:spacing w:after="0" w:line="239"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CaliberCos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50"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84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15, 2025</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Jade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18415</wp:posOffset>
            </wp:positionV>
            <wp:extent cx="26142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Jade Leung</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0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CaliberCos Inc. (the “Company”) on Form 10-Q, for the fiscal quarter ended March 31, 2025, as filed with the Securities and Exchange Commission on the date hereof (the “Report”), I, John C. Loeffler, II, Chief Executive Officer of CaliberCos Inc., certify, pursuant to 18 U.S.C. ss.1350, as adopted pursuant to Section 906 of the Sarbanes-Oxley Act of 2002, that, to the best of my knowledge:</w:t>
      </w:r>
    </w:p>
    <w:p>
      <w:pPr>
        <w:spacing w:after="0" w:line="190"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41" w:lineRule="exact"/>
        <w:rPr>
          <w:sz w:val="20"/>
          <w:szCs w:val="20"/>
          <w:color w:val="auto"/>
        </w:rPr>
      </w:pPr>
    </w:p>
    <w:p>
      <w:pPr>
        <w:ind w:left="20"/>
        <w:spacing w:after="0"/>
        <w:tabs>
          <w:tab w:leader="none" w:pos="84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15, 2025</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18415</wp:posOffset>
            </wp:positionV>
            <wp:extent cx="26142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John C. Loeffler, II</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CaliberCos Inc. (the “Company”) on Form 10-Q, for the fiscal quarter ended March 31, 2025, as filed with the Securities and Exchange Commission on the date hereof (the “Report”), I, Jade Leung, Chief Financial Officer of CaliberCos Inc., certify, pursuant to 18 U.S.C. ss.1350, as adopted pursuant to Section 906 of the Sarbanes-Oxley Act of 2002, that, to the best of my knowledge:</w:t>
      </w:r>
    </w:p>
    <w:p>
      <w:pPr>
        <w:spacing w:after="0" w:line="190"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41" w:lineRule="exact"/>
        <w:rPr>
          <w:sz w:val="20"/>
          <w:szCs w:val="20"/>
          <w:color w:val="auto"/>
        </w:rPr>
      </w:pPr>
    </w:p>
    <w:p>
      <w:pPr>
        <w:ind w:left="20"/>
        <w:spacing w:after="0"/>
        <w:tabs>
          <w:tab w:leader="none" w:pos="84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15, 2025</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Jade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18415</wp:posOffset>
            </wp:positionV>
            <wp:extent cx="26142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Jade Leung</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lowerRoman"/>
      <w:start w:val="2"/>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lowerRoman"/>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lowerRoman"/>
      <w:start w:val="2"/>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104"/>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88" Type="http://schemas.openxmlformats.org/officeDocument/2006/relationships/hyperlink" Target="https://www.sec.gov/Archives/edgar/data/1627282/000110465923062737/tm2316200d1_ex3-1.htm" TargetMode="External"/><Relationship Id="rId89" Type="http://schemas.openxmlformats.org/officeDocument/2006/relationships/hyperlink" Target="https://www.sec.gov/Archives/edgar/data/1627282/000110465923062737/tm2316200d1_ex3-2.htm" TargetMode="External"/><Relationship Id="rId90" Type="http://schemas.openxmlformats.org/officeDocument/2006/relationships/hyperlink" Target="https://www.sec.gov/ix?doc=/Archives/edgar/data/0001627282/000162728224000136/cwd-20241126.htm" TargetMode="External"/><Relationship Id="rId91" Type="http://schemas.openxmlformats.org/officeDocument/2006/relationships/hyperlink" Target="https://www.sec.gov/ix?doc=/Archives/edgar/data/0001627282/000162728225000007/cwd-20250305.htm" TargetMode="External"/><Relationship Id="rId92" Type="http://schemas.openxmlformats.org/officeDocument/2006/relationships/hyperlink" Target="https://www.sec.gov/Archives/edgar/data/1627282/000162728225000048/cert_ofxamendmentxrevers.htm" TargetMode="External"/><Relationship Id="rId93" Type="http://schemas.openxmlformats.org/officeDocument/2006/relationships/hyperlink" Target="https://www.sec.gov/Archives/edgar/data/1627282/000162728225000028/exhibit41-descriptionofsec.htm" TargetMode="External"/><Relationship Id="rId94" Type="http://schemas.openxmlformats.org/officeDocument/2006/relationships/hyperlink" Target="https://www.sec.gov/Archives/edgar/data/1627282/000110465922112555/tm2228946d1_ex4-1.htm" TargetMode="External"/><Relationship Id="rId95" Type="http://schemas.openxmlformats.org/officeDocument/2006/relationships/hyperlink" Target="https://www.sec.gov/Archives/edgar/data/1627282/000110465923035668/tm2230806d13_ex4-2.htm" TargetMode="External"/><Relationship Id="rId96" Type="http://schemas.openxmlformats.org/officeDocument/2006/relationships/hyperlink" Target="https://www.sec.gov/Archives/edgar/data/1627282/000114420419030743/tv515450_ex3-2.htm" TargetMode="External"/><Relationship Id="rId97" Type="http://schemas.openxmlformats.org/officeDocument/2006/relationships/hyperlink" Target="https://www.sec.gov/Archives/edgar/data/1627282/000110465925034317/tm2512134d1_ex4-1.htm" TargetMode="External"/><Relationship Id="rId98" Type="http://schemas.openxmlformats.org/officeDocument/2006/relationships/hyperlink" Target="https://www.sec.gov/Archives/edgar/data/1627282/000110465925034317/tm2512134d1_ex4-2.htm" TargetMode="External"/><Relationship Id="rId99" Type="http://schemas.openxmlformats.org/officeDocument/2006/relationships/hyperlink" Target="https://www.sec.gov/Archives/edgar/data/1627282/000110465925035972/tm2512544d2_ex4-1.htm" TargetMode="External"/><Relationship Id="rId100" Type="http://schemas.openxmlformats.org/officeDocument/2006/relationships/hyperlink" Target="https://www.sec.gov/Archives/edgar/data/1627282/000110465925035972/tm2512544d2_ex4-2.htm" TargetMode="External"/><Relationship Id="rId101" Type="http://schemas.openxmlformats.org/officeDocument/2006/relationships/hyperlink" Target="https://www.sec.gov/Archives/edgar/data/1627282/000162728225000020/exhibit101securitiespurc.htm" TargetMode="External"/><Relationship Id="rId102" Type="http://schemas.openxmlformats.org/officeDocument/2006/relationships/hyperlink" Target="https://www.sec.gov/Archives/edgar/data/1627282/000162728225000020/exhibit102registrationri.htm" TargetMode="External"/><Relationship Id="rId103" Type="http://schemas.openxmlformats.org/officeDocument/2006/relationships/hyperlink" Target="https://www.sec.gov/Archives/edgar/data/1627282/000162728225000020/exhibit103subsidiaryguar.htm" TargetMode="External"/><Relationship Id="rId104" Type="http://schemas.openxmlformats.org/officeDocument/2006/relationships/hyperlink" Target="https://www.sec.gov/Archives/edgar/data/1627282/000162728225000020/exhibit104equitypurchase.htm" TargetMode="External"/><Relationship Id="rId105" Type="http://schemas.openxmlformats.org/officeDocument/2006/relationships/hyperlink" Target="https://www.sec.gov/Archives/edgar/data/1627282/000162728225000020/exhibit105registrationri.htm" TargetMode="External"/><Relationship Id="rId106" Type="http://schemas.openxmlformats.org/officeDocument/2006/relationships/hyperlink" Target="https://www.sec.gov/Archives/edgar/data/1627282/000110465925034727/tm2512244d1_ex1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2025-05-15T16:26:33Z</dcterms:created>
  <dcterms:modified xsi:type="dcterms:W3CDTF">2025-05-15T16:26:33Z</dcterms:modified>
</cp:coreProperties>
</file>