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603250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629285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58" w:lineRule="exact"/>
        <w:rPr>
          <w:sz w:val="24"/>
          <w:szCs w:val="24"/>
          <w:color w:val="auto"/>
        </w:rPr>
      </w:pPr>
    </w:p>
    <w:p>
      <w:pPr>
        <w:ind w:left="3920" w:right="1040" w:hanging="3894"/>
        <w:spacing w:after="0" w:line="367" w:lineRule="auto"/>
        <w:tabs>
          <w:tab w:leader="none" w:pos="1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 w:lineRule="exact"/>
        <w:rPr>
          <w:rFonts w:ascii="Wingdings" w:cs="Wingdings" w:eastAsia="Wingdings" w:hAnsi="Wingdings"/>
          <w:sz w:val="18"/>
          <w:szCs w:val="18"/>
          <w:b w:val="1"/>
          <w:bCs w:val="1"/>
          <w:color w:val="auto"/>
        </w:rPr>
      </w:pPr>
    </w:p>
    <w:p>
      <w:pPr>
        <w:ind w:left="5480"/>
        <w:spacing w:after="0"/>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3420" w:right="880" w:hanging="3394"/>
        <w:spacing w:after="0" w:line="367" w:lineRule="auto"/>
        <w:tabs>
          <w:tab w:leader="none" w:pos="1201"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1" w:lineRule="exact"/>
        <w:rPr>
          <w:rFonts w:ascii="Wingdings" w:cs="Wingdings" w:eastAsia="Wingdings" w:hAnsi="Wingdings"/>
          <w:sz w:val="18"/>
          <w:szCs w:val="18"/>
          <w:b w:val="1"/>
          <w:bCs w:val="1"/>
          <w:color w:val="auto"/>
        </w:rPr>
      </w:pPr>
    </w:p>
    <w:p>
      <w:pPr>
        <w:ind w:left="4260"/>
        <w:spacing w:after="0"/>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Commission file number 001-41703</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CALIBERCOS INC.</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238"/>
        </w:trPr>
        <w:tc>
          <w:tcPr>
            <w:tcW w:w="5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40" w:type="dxa"/>
            <w:vAlign w:val="bottom"/>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47-2426901</w:t>
            </w:r>
          </w:p>
        </w:tc>
      </w:tr>
      <w:tr>
        <w:trPr>
          <w:trHeight w:val="27"/>
        </w:trPr>
        <w:tc>
          <w:tcPr>
            <w:tcW w:w="5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5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51"/>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8901 E. Mountain View Rd. Ste. 150 Scottsdale, AZ</w:t>
            </w:r>
          </w:p>
        </w:tc>
        <w:tc>
          <w:tcPr>
            <w:tcW w:w="240" w:type="dxa"/>
            <w:vAlign w:val="bottom"/>
          </w:tcPr>
          <w:p>
            <w:pPr>
              <w:spacing w:after="0"/>
              <w:rPr>
                <w:sz w:val="24"/>
                <w:szCs w:val="24"/>
                <w:color w:val="auto"/>
              </w:rPr>
            </w:pPr>
          </w:p>
        </w:tc>
        <w:tc>
          <w:tcPr>
            <w:tcW w:w="5440" w:type="dxa"/>
            <w:vAlign w:val="bottom"/>
            <w:tcBorders>
              <w:bottom w:val="single" w:sz="8" w:color="auto"/>
            </w:tcBorders>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rPr>
              <w:t>85258</w:t>
            </w:r>
          </w:p>
        </w:tc>
      </w:tr>
      <w:tr>
        <w:trPr>
          <w:trHeight w:val="237"/>
        </w:trPr>
        <w:tc>
          <w:tcPr>
            <w:tcW w:w="5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(480) 295-7600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wp:posOffset>
            </wp:positionH>
            <wp:positionV relativeFrom="paragraph">
              <wp:posOffset>36830</wp:posOffset>
            </wp:positionV>
            <wp:extent cx="7054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30" w:type="dxa"/>
        <w:tblCellMar>
          <w:top w:w="0" w:type="dxa"/>
          <w:left w:w="0" w:type="dxa"/>
          <w:bottom w:w="0" w:type="dxa"/>
          <w:right w:w="0" w:type="dxa"/>
        </w:tblCellMar>
      </w:tblPr>
      <w:tr>
        <w:trPr>
          <w:trHeight w:val="243"/>
        </w:trPr>
        <w:tc>
          <w:tcPr>
            <w:tcW w:w="47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CWD</w:t>
            </w:r>
          </w:p>
        </w:tc>
        <w:tc>
          <w:tcPr>
            <w:tcW w:w="4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319" w:lineRule="exact"/>
        <w:rPr>
          <w:sz w:val="24"/>
          <w:szCs w:val="24"/>
          <w:color w:val="auto"/>
        </w:rPr>
      </w:pPr>
    </w:p>
    <w:p>
      <w:pPr>
        <w:ind w:right="1660"/>
        <w:spacing w:after="0" w:line="397" w:lineRule="auto"/>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53" w:lineRule="exact"/>
        <w:rPr>
          <w:sz w:val="24"/>
          <w:szCs w:val="24"/>
          <w:color w:val="auto"/>
        </w:rPr>
      </w:pPr>
    </w:p>
    <w:tbl>
      <w:tblPr>
        <w:tblLayout w:type="fixed"/>
        <w:tblInd w:w="260" w:type="dxa"/>
        <w:tblCellMar>
          <w:top w:w="0" w:type="dxa"/>
          <w:left w:w="0" w:type="dxa"/>
          <w:bottom w:w="0" w:type="dxa"/>
          <w:right w:w="0" w:type="dxa"/>
        </w:tblCellMar>
      </w:tblP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8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7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2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80" w:type="dxa"/>
            <w:vAlign w:val="bottom"/>
          </w:tcPr>
          <w:p>
            <w:pPr>
              <w:ind w:left="1580"/>
              <w:spacing w:after="0"/>
              <w:rPr>
                <w:sz w:val="20"/>
                <w:szCs w:val="20"/>
                <w:color w:val="auto"/>
              </w:rPr>
            </w:pPr>
            <w:r>
              <w:rPr>
                <w:rFonts w:ascii="Wingdings" w:cs="Wingdings" w:eastAsia="Wingdings" w:hAnsi="Wingdings"/>
                <w:sz w:val="18"/>
                <w:szCs w:val="18"/>
                <w:b w:val="1"/>
                <w:bCs w:val="1"/>
                <w:color w:val="auto"/>
              </w:rPr>
              <w:t>x</w:t>
            </w: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80" w:type="dxa"/>
            <w:vAlign w:val="bottom"/>
          </w:tcPr>
          <w:p>
            <w:pPr>
              <w:jc w:val="right"/>
              <w:spacing w:after="0"/>
              <w:rPr>
                <w:sz w:val="20"/>
                <w:szCs w:val="20"/>
                <w:color w:val="auto"/>
              </w:rPr>
            </w:pPr>
            <w:r>
              <w:rPr>
                <w:rFonts w:ascii="Wingdings" w:cs="Wingdings" w:eastAsia="Wingdings" w:hAnsi="Wingdings"/>
                <w:sz w:val="18"/>
                <w:szCs w:val="18"/>
                <w:b w:val="1"/>
                <w:bCs w:val="1"/>
                <w:color w:val="auto"/>
              </w:rPr>
              <w:t>x</w:t>
            </w:r>
          </w:p>
        </w:tc>
      </w:tr>
      <w:tr>
        <w:trPr>
          <w:trHeight w:val="234"/>
        </w:trPr>
        <w:tc>
          <w:tcPr>
            <w:tcW w:w="3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80" w:type="dxa"/>
            <w:vAlign w:val="bottom"/>
          </w:tcPr>
          <w:p>
            <w:pPr>
              <w:jc w:val="right"/>
              <w:spacing w:after="0"/>
              <w:rPr>
                <w:sz w:val="20"/>
                <w:szCs w:val="20"/>
                <w:color w:val="auto"/>
              </w:rPr>
            </w:pPr>
            <w:r>
              <w:rPr>
                <w:rFonts w:ascii="Wingdings" w:cs="Wingdings" w:eastAsia="Wingdings" w:hAnsi="Wingdings"/>
                <w:sz w:val="18"/>
                <w:szCs w:val="18"/>
                <w:b w:val="1"/>
                <w:bCs w:val="1"/>
                <w:color w:val="auto"/>
              </w:rPr>
              <w:t>x</w:t>
            </w:r>
          </w:p>
        </w:tc>
      </w:tr>
    </w:tbl>
    <w:p>
      <w:pPr>
        <w:spacing w:after="0" w:line="200" w:lineRule="exact"/>
        <w:rPr>
          <w:sz w:val="24"/>
          <w:szCs w:val="24"/>
          <w:color w:val="auto"/>
        </w:rPr>
      </w:pPr>
    </w:p>
    <w:p>
      <w:pPr>
        <w:spacing w:after="0" w:line="22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ectPr>
          <w:pgSz w:w="11900" w:h="16838" w:orient="portrait"/>
          <w:cols w:equalWidth="0" w:num="1">
            <w:col w:w="11240"/>
          </w:cols>
          <w:pgMar w:left="320" w:top="1172" w:right="339" w:bottom="177" w:gutter="0" w:footer="0" w:header="0"/>
        </w:sectPr>
      </w:pPr>
    </w:p>
    <w:bookmarkStart w:id="1" w:name="page2"/>
    <w:bookmarkEnd w:id="1"/>
    <w:p>
      <w:pPr>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based on the closing price of the Class A Common Stock on The Nasdaq Capital Market on June 30, 2024, was approximately $9.2 million.</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23,312,373 shares of common stock, comprised of 15,895,959 shares of Class A Common Stock and 7,416,414 shares of Class B Common Stock of CaliberCos Inc. as of 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1087120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234315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259715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60" w:type="dxa"/>
            <w:vAlign w:val="bottom"/>
            <w:gridSpan w:val="8"/>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gridSpan w:val="10"/>
          </w:tcPr>
          <w:p>
            <w:pPr>
              <w:jc w:val="center"/>
              <w:ind w:left="6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Forward-Looking Statements</w:t>
            </w:r>
          </w:p>
        </w:tc>
        <w:tc>
          <w:tcPr>
            <w:tcW w:w="1240" w:type="dxa"/>
            <w:vAlign w:val="bottom"/>
            <w:gridSpan w:val="6"/>
            <w:shd w:val="clear" w:color="auto" w:fill="CFF0FC"/>
          </w:tcPr>
          <w:p>
            <w:pPr>
              <w:jc w:val="center"/>
              <w:ind w:left="971"/>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960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1. Business</w:t>
            </w:r>
          </w:p>
        </w:tc>
        <w:tc>
          <w:tcPr>
            <w:tcW w:w="1240" w:type="dxa"/>
            <w:vAlign w:val="bottom"/>
            <w:gridSpan w:val="6"/>
            <w:shd w:val="clear" w:color="auto" w:fill="CFF0FC"/>
          </w:tcPr>
          <w:p>
            <w:pPr>
              <w:jc w:val="center"/>
              <w:ind w:left="971"/>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1280" w:type="dxa"/>
            <w:vAlign w:val="bottom"/>
            <w:gridSpan w:val="7"/>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10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1B. Unresolved Staff Comments</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29</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1C. Cybersecurity</w:t>
            </w:r>
          </w:p>
        </w:tc>
        <w:tc>
          <w:tcPr>
            <w:tcW w:w="1280" w:type="dxa"/>
            <w:vAlign w:val="bottom"/>
            <w:gridSpan w:val="7"/>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29</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2. Properties</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31</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3. Legal Proceedings</w:t>
            </w:r>
          </w:p>
        </w:tc>
        <w:tc>
          <w:tcPr>
            <w:tcW w:w="1280" w:type="dxa"/>
            <w:vAlign w:val="bottom"/>
            <w:gridSpan w:val="7"/>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31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31</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960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5. Market for Registrant's Common Equity, Related Stockholder Matters and Issuer Purchases of Equity Securities</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32</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8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540" w:type="dxa"/>
            <w:vAlign w:val="bottom"/>
            <w:tcBorders>
              <w:top w:val="single" w:sz="8" w:color="0000FF"/>
            </w:tcBorders>
            <w:shd w:val="clear" w:color="auto" w:fill="CFF0FC"/>
          </w:tcPr>
          <w:p>
            <w:pPr>
              <w:spacing w:after="0" w:line="20" w:lineRule="exact"/>
              <w:rPr>
                <w:sz w:val="1"/>
                <w:szCs w:val="1"/>
                <w:color w:val="auto"/>
              </w:rPr>
            </w:pPr>
          </w:p>
        </w:tc>
        <w:tc>
          <w:tcPr>
            <w:tcW w:w="9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72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0000FF"/>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6. Reserved</w:t>
            </w:r>
          </w:p>
        </w:tc>
        <w:tc>
          <w:tcPr>
            <w:tcW w:w="1280" w:type="dxa"/>
            <w:vAlign w:val="bottom"/>
            <w:gridSpan w:val="7"/>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32</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8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540" w:type="dxa"/>
            <w:vAlign w:val="bottom"/>
            <w:tcBorders>
              <w:top w:val="single" w:sz="8" w:color="0000FF"/>
            </w:tcBorders>
            <w:shd w:val="clear" w:color="auto" w:fill="CFF0FC"/>
          </w:tcPr>
          <w:p>
            <w:pPr>
              <w:spacing w:after="0" w:line="20" w:lineRule="exact"/>
              <w:rPr>
                <w:sz w:val="1"/>
                <w:szCs w:val="1"/>
                <w:color w:val="auto"/>
              </w:rPr>
            </w:pPr>
          </w:p>
        </w:tc>
        <w:tc>
          <w:tcPr>
            <w:tcW w:w="9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1280" w:type="dxa"/>
            <w:vAlign w:val="bottom"/>
            <w:gridSpan w:val="7"/>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52</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53</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Disclosures</w:t>
            </w:r>
          </w:p>
        </w:tc>
        <w:tc>
          <w:tcPr>
            <w:tcW w:w="1280" w:type="dxa"/>
            <w:vAlign w:val="bottom"/>
            <w:gridSpan w:val="7"/>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53</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9A. Controls and Procedures</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53</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9B. Other Information</w:t>
            </w:r>
          </w:p>
        </w:tc>
        <w:tc>
          <w:tcPr>
            <w:tcW w:w="1280" w:type="dxa"/>
            <w:vAlign w:val="bottom"/>
            <w:gridSpan w:val="7"/>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54</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9C. Disclosure Regarding Foreign Jurisdiction That Prevent Inspections</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54</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8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960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55</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8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11. Executive Compensation</w:t>
            </w:r>
          </w:p>
        </w:tc>
        <w:tc>
          <w:tcPr>
            <w:tcW w:w="1280" w:type="dxa"/>
            <w:vAlign w:val="bottom"/>
            <w:gridSpan w:val="7"/>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61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12. Security Ownership of Certain Beneficial Owner and Management and Related Stockholder Matters</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66</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8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540" w:type="dxa"/>
            <w:vAlign w:val="bottom"/>
            <w:tcBorders>
              <w:top w:val="single" w:sz="8" w:color="0000FF"/>
            </w:tcBorders>
            <w:shd w:val="clear" w:color="auto" w:fill="CFF0FC"/>
          </w:tcPr>
          <w:p>
            <w:pPr>
              <w:spacing w:after="0" w:line="20" w:lineRule="exact"/>
              <w:rPr>
                <w:sz w:val="1"/>
                <w:szCs w:val="1"/>
                <w:color w:val="auto"/>
              </w:rPr>
            </w:pPr>
          </w:p>
        </w:tc>
        <w:tc>
          <w:tcPr>
            <w:tcW w:w="9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72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1280" w:type="dxa"/>
            <w:vAlign w:val="bottom"/>
            <w:gridSpan w:val="7"/>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68</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14. Principal Accounting Fees and Services</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72</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960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15. Exhibits, Financial Statement Schedules</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74</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16. Form 10-K Summary</w:t>
            </w:r>
          </w:p>
        </w:tc>
        <w:tc>
          <w:tcPr>
            <w:tcW w:w="1280" w:type="dxa"/>
            <w:vAlign w:val="bottom"/>
            <w:gridSpan w:val="7"/>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76</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77</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Index to Consolidated Financial Statements</w:t>
            </w:r>
          </w:p>
        </w:tc>
        <w:tc>
          <w:tcPr>
            <w:tcW w:w="1000" w:type="dxa"/>
            <w:vAlign w:val="bottom"/>
          </w:tcPr>
          <w:p>
            <w:pPr>
              <w:spacing w:after="0"/>
              <w:rPr>
                <w:sz w:val="16"/>
                <w:szCs w:val="16"/>
                <w:color w:val="auto"/>
              </w:rPr>
            </w:pPr>
          </w:p>
        </w:tc>
        <w:tc>
          <w:tcPr>
            <w:tcW w:w="580" w:type="dxa"/>
            <w:vAlign w:val="bottom"/>
            <w:gridSpan w:val="8"/>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3051F2"/>
              </w:rPr>
              <w:t>F-1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63"/>
        </w:trPr>
        <w:tc>
          <w:tcPr>
            <w:tcW w:w="40" w:type="dxa"/>
            <w:vAlign w:val="bottom"/>
          </w:tcPr>
          <w:p>
            <w:pPr>
              <w:spacing w:after="0"/>
              <w:rPr>
                <w:sz w:val="24"/>
                <w:szCs w:val="24"/>
                <w:color w:val="auto"/>
              </w:rPr>
            </w:pPr>
          </w:p>
        </w:tc>
        <w:tc>
          <w:tcPr>
            <w:tcW w:w="3140" w:type="dxa"/>
            <w:vAlign w:val="bottom"/>
            <w:tcBorders>
              <w:top w:val="single" w:sz="8" w:color="0000FF"/>
            </w:tcBorders>
            <w:gridSpan w:val="15"/>
          </w:tcPr>
          <w:p>
            <w:pPr>
              <w:spacing w:after="0"/>
              <w:rPr>
                <w:sz w:val="24"/>
                <w:szCs w:val="24"/>
                <w:color w:val="auto"/>
              </w:rPr>
            </w:pPr>
          </w:p>
        </w:tc>
        <w:tc>
          <w:tcPr>
            <w:tcW w:w="2960" w:type="dxa"/>
            <w:vAlign w:val="bottom"/>
            <w:gridSpan w:val="7"/>
          </w:tcPr>
          <w:p>
            <w:pPr>
              <w:jc w:val="right"/>
              <w:ind w:right="48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Forward-Looking Statements</w:t>
      </w:r>
    </w:p>
    <w:p>
      <w:pPr>
        <w:spacing w:after="0" w:line="254"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 this report, the term “Company” refers to CaliberCos Inc. and its wholly-owned subsidiaries. The “Consolidated Funds” refers to the Companies consolidated variable interest entities. The “Consolidated Company”, “Caliber”, “we”, “us”, and “our” refers to the Company and the Consolidated Funds collectively.</w:t>
      </w:r>
    </w:p>
    <w:p>
      <w:pPr>
        <w:spacing w:after="0" w:line="189"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This annual report on Form 10-K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spacing w:after="0" w:line="21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size of our market opportunities;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ind w:left="660" w:hanging="328"/>
        <w:spacing w:after="0" w:line="21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new markets, manage our growth expansion and comply with any applicable laws and regulations;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from our market competitors;</w:t>
      </w:r>
    </w:p>
    <w:p>
      <w:pPr>
        <w:ind w:left="660" w:hanging="328"/>
        <w:spacing w:after="0" w:line="23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or breach in security of, our information technology systems and resultant interruptions in service and any related impact on our reputation;</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employees and key personnel;</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government regulation affecting our business;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economic conditions;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cash equivalents to meet our liquidity needs and service our indebtedness; 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legal or administrative proceedings.</w:t>
      </w:r>
    </w:p>
    <w:p>
      <w:pPr>
        <w:spacing w:after="0" w:line="219" w:lineRule="exact"/>
        <w:rPr>
          <w:sz w:val="20"/>
          <w:szCs w:val="20"/>
          <w:color w:val="auto"/>
        </w:rPr>
      </w:pPr>
    </w:p>
    <w:p>
      <w:pPr>
        <w:jc w:val="both"/>
        <w:ind w:right="20" w:firstLine="324"/>
        <w:spacing w:after="0" w:line="245" w:lineRule="auto"/>
        <w:rPr>
          <w:sz w:val="20"/>
          <w:szCs w:val="20"/>
          <w:color w:val="auto"/>
        </w:rPr>
      </w:pPr>
      <w:r>
        <w:rPr>
          <w:rFonts w:ascii="Times New Roman" w:cs="Times New Roman" w:eastAsia="Times New Roman" w:hAnsi="Times New Roman"/>
          <w:sz w:val="18"/>
          <w:szCs w:val="18"/>
          <w:color w:val="auto"/>
        </w:rPr>
        <w:t>In addition, in this report, the words “believe,” “may,” “will,”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report may not occur and actual results could differ materially from those anticipated or implied in the forward-looking statements.</w:t>
      </w:r>
    </w:p>
    <w:p>
      <w:pPr>
        <w:spacing w:after="0" w:line="194"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report.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20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D1C1D"/>
        </w:rPr>
        <w:t>PART 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8"/>
          <w:szCs w:val="18"/>
          <w:color w:val="auto"/>
        </w:rPr>
        <w:t>Over the past 16 years, Caliber has emerged as a leading real estate asset management firm, with more than $2.9 billion in Managed Assets. Caliber’s business is focused on a singular objective, to make money in all market conditions by managing and developing attractive multi-family residential,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hospitality, and multi-tenant industrial assets. Caliber serves financial professionals, family office investors, and high net worth investors, through its real</w:t>
      </w:r>
    </w:p>
    <w:p>
      <w:pPr>
        <w:spacing w:after="0" w:line="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estate fund products focused on generating value growth, income, and tax advantages. Caliber competes in the broad market for alternative investments, a fast-growing segment of the global investment market.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For Multi-Family Residential &amp; Multi-Tenant Industrial assets, Caliber is regionally focused on growth-oriented markets; namely Arizona, Colorado &amp;</w:t>
      </w:r>
    </w:p>
    <w:p>
      <w:pPr>
        <w:spacing w:after="0" w:line="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Texas. For its Hospitality platform, Caliber is investing through the United States with a specific focus on markets that have experience population growth and job growth in the last 5 years.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competitive advantage is driven by several elements of the Caliber platform:</w:t>
      </w:r>
    </w:p>
    <w:p>
      <w:pPr>
        <w:spacing w:after="0" w:line="185" w:lineRule="exact"/>
        <w:rPr>
          <w:sz w:val="20"/>
          <w:szCs w:val="20"/>
          <w:color w:val="auto"/>
        </w:rPr>
      </w:pPr>
    </w:p>
    <w:p>
      <w:pPr>
        <w:ind w:left="660" w:hanging="323"/>
        <w:spacing w:after="0" w:line="261" w:lineRule="auto"/>
        <w:rPr>
          <w:sz w:val="20"/>
          <w:szCs w:val="20"/>
          <w:color w:val="auto"/>
        </w:rPr>
      </w:pPr>
      <w:r>
        <w:rPr>
          <w:rFonts w:ascii="Times New Roman" w:cs="Times New Roman" w:eastAsia="Times New Roman" w:hAnsi="Times New Roman"/>
          <w:sz w:val="18"/>
          <w:szCs w:val="18"/>
          <w:color w:val="auto"/>
        </w:rPr>
        <w:t>1.) The combination of an institutional-grade investment management platform combined with boutique, middle-market fund sizes and real estate projects.</w:t>
      </w:r>
    </w:p>
    <w:p>
      <w:pPr>
        <w:ind w:left="340"/>
        <w:spacing w:after="0"/>
        <w:rPr>
          <w:sz w:val="20"/>
          <w:szCs w:val="20"/>
          <w:color w:val="auto"/>
        </w:rPr>
      </w:pPr>
      <w:r>
        <w:rPr>
          <w:rFonts w:ascii="Times New Roman" w:cs="Times New Roman" w:eastAsia="Times New Roman" w:hAnsi="Times New Roman"/>
          <w:sz w:val="18"/>
          <w:szCs w:val="18"/>
          <w:color w:val="auto"/>
        </w:rPr>
        <w:t>2.)  Our in-house shared services group, which offers Caliber greater control over our real estate and visibility to find future investment opportunities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Our in-house fundraising infrastructure, allowing Caliber to serve a broad range of investors and institutions.</w:t>
      </w:r>
    </w:p>
    <w:p>
      <w:pPr>
        <w:spacing w:after="0" w:line="207" w:lineRule="exact"/>
        <w:rPr>
          <w:sz w:val="20"/>
          <w:szCs w:val="20"/>
          <w:color w:val="auto"/>
        </w:rPr>
      </w:pPr>
    </w:p>
    <w:p>
      <w:pPr>
        <w:jc w:val="both"/>
        <w:ind w:firstLine="324"/>
        <w:spacing w:after="0" w:line="323" w:lineRule="auto"/>
        <w:rPr>
          <w:sz w:val="20"/>
          <w:szCs w:val="20"/>
          <w:color w:val="auto"/>
        </w:rPr>
      </w:pPr>
      <w:r>
        <w:rPr>
          <w:rFonts w:ascii="Times New Roman" w:cs="Times New Roman" w:eastAsia="Times New Roman" w:hAnsi="Times New Roman"/>
          <w:sz w:val="17"/>
          <w:szCs w:val="17"/>
          <w:color w:val="auto"/>
        </w:rPr>
        <w:t>Caliber defines middle-market in two ways. The first, by the size of the investments, We typically pursue – projects between $5.0 million and $50.0 million per asset. The second, by the size of the investment funds. We offer, typically $200.0 million for a multi-asset discretionary fund and $5.0 million to</w:t>
      </w:r>
    </w:p>
    <w:p>
      <w:pPr>
        <w:jc w:val="both"/>
        <w:spacing w:after="0" w:line="282" w:lineRule="auto"/>
        <w:rPr>
          <w:sz w:val="20"/>
          <w:szCs w:val="20"/>
          <w:color w:val="auto"/>
        </w:rPr>
      </w:pPr>
      <w:r>
        <w:rPr>
          <w:rFonts w:ascii="Times New Roman" w:cs="Times New Roman" w:eastAsia="Times New Roman" w:hAnsi="Times New Roman"/>
          <w:sz w:val="18"/>
          <w:szCs w:val="18"/>
          <w:color w:val="auto"/>
        </w:rPr>
        <w:t>$20 million for a syndication. In addition, Caliber is building the Caliber Hospitality Trust (CHT), a middle-market hotel investment company utilizing the UPREIT strategy with expectations that CHT will become a listed company when its assets under management (“AUM”) exceeds $1.0 billion.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an alternative asset manager, we offer a full suite of support services and employ a vertically integrated approach to investment management. Our asset management activities are complemented with transaction and advisory services including development and construction management, acquisition and disposition expertise, and fund formation, which we believe differentiate us from other asset management firms. We earn the following fees from providing these services under our asset management platform (the “Platform”):</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Revenues</w:t>
      </w:r>
    </w:p>
    <w:p>
      <w:pPr>
        <w:spacing w:after="0" w:line="202" w:lineRule="exact"/>
        <w:rPr>
          <w:sz w:val="20"/>
          <w:szCs w:val="20"/>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&amp; Offering (“O&amp;O”) fees include fund set-up fees and are a one-time fee earned during the initial formation, administration, and set-up of fund products we distribute and manage. These fees are recognized at the point in time when the performance under the contract is complete.</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(as defined in Note 3 – VIEs), the Company earns a fund management fee of 0.7% of the Caliber Hospitality Trust’s enterprise value and is reimbursed for certain costs incurred on behalf of the Caliber Hospitality Trust.</w:t>
      </w:r>
    </w:p>
    <w:p>
      <w:pPr>
        <w:spacing w:after="0" w:line="14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guaranteeing certain loans, representing a performance obligation that the Company satisfies over time.</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development revenues are generally based on two fee-based contracts, which are up to 6% on a combined basis. The first, a real estate development contract that provides for up to 4.0% of the total expected costs of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development and is paid for services performed by Caliber Development, LLC as the principal developer of Caliber projects. These services may</w:t>
      </w:r>
    </w:p>
    <w:p>
      <w:pPr>
        <w:spacing w:after="0" w:line="36"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18"/>
          <w:szCs w:val="18"/>
          <w:color w:val="auto"/>
        </w:rPr>
        <w:t>include obtaining new entitlements or zoning changes and managing and supervising third-party developers. The second, a construction management contract that provides for up to to 4.0% of the total expected costs of the construction project for services provided managing general contractors with respect to the construction of the properties owned by the funds.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construction management fee revenue is recognized over time as the performance obligations are satisfied.</w:t>
      </w:r>
    </w:p>
    <w:p>
      <w:pPr>
        <w:spacing w:after="0" w:line="157"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fees are earned at a point in time at fixed rates for services performed related to acquisitions, dispositions, leasing, and financing transactions.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 Allocations</w:t>
      </w:r>
    </w:p>
    <w:p>
      <w:pPr>
        <w:spacing w:after="0" w:line="202" w:lineRule="exact"/>
        <w:rPr>
          <w:sz w:val="20"/>
          <w:szCs w:val="20"/>
          <w:color w:val="auto"/>
        </w:rPr>
      </w:pPr>
    </w:p>
    <w:p>
      <w:pPr>
        <w:jc w:val="both"/>
        <w:ind w:left="660" w:hanging="328"/>
        <w:spacing w:after="0" w:line="25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w:t>
      </w:r>
    </w:p>
    <w:p>
      <w:pPr>
        <w:spacing w:after="0" w:line="1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$2.9 billion in Managed Assets, which is comprised of AUM and Assets Under Development (“AUD”). We have a number of development, redevelopment, construction, and entitlement projects that are underway or are in the planning stages, which we define as AUD. This category includes projects to be built on undeveloped land and projects to be built and constructed on undeveloped lands, which are not yet owned by our funds but are under contract to purchase. Completing these development activities may ultimately result in income-producing assets, assets we may sell to third parties, or both. If we complete all AUD at December 31, 2024, up through sale, we estimate the Company could earn $89.0 million in performance allocations. As of December 31, 2024, we are actively developing 1,796 multifamily units, 697 single family units, 3.7 million square feet of commercial and industrial, and 3.5 million square feet of office and retail. If all of these projects are brought to completion, the total cost capitalized to these projects, which represents total current estimated costs to complete the development and construction of such projects by us or a third party, is $2.1 billion, which we expect would be funded through a combination of undeployed fund cash, third-party equity, project sales, tax credit financing and similar incentives, and secured debt financing.</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under no obligation to complete these projects and may dispose of any such assets at any time. There can be no assurance that AUD will ultimately be developed or constructed because of the nature of the cost of the approval and development process and market demand for a particular use. In addition, the mix of residential and commercial assets under development may change prior to final development. The development of these assets will require significant additional financing or other sources of funding, which may not be available. Similarly, there can be no assurance that performance allocations associated with our Managed Assets will be realized because our total costs to complete a project could change. In addition, the price we might obtain upon selling the investment at some point in the future could be different than our projections.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Process and Risk Management</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maintain a rigorous investment process across all our funds. Each fund has investment policies and procedures that generally contain investment parameters and requirements, such as limitations relating to the types of assets, industries or geographic regions in which the fund will invest. An investment committee reviews and evaluates investment opportunities in a framework that includes a qualitative and quantitative assessment of the key opportunities and risks of investments.</w:t>
      </w:r>
    </w:p>
    <w:p>
      <w:pPr>
        <w:spacing w:after="0" w:line="1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investment professionals are responsible for the full life cycle of an investment, from evaluation, through execution, to exit. Investment professionals generally submit investment opportunities for review and approval by our investment committee. The investment committee is comprised of executives and senior leaders of the Company. When evaluating investment opportunities, the investment committee may consider, without limitation and depending on the nature of the investment and its strategy, the quality of the asset in which the fund proposes to invest, likely exit strategies, factors that could reduce the value of the asset at exit, and a range of economic and interest rate environments, macroeconomic trends in the relevant geographic region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industry and the quality of the asset’s business operations. Our investment committee also incorporates, to the extent appropriate, environmental, social and governance (“ESG”) factors into the investment decision-making process.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Existing investments are reviewed and monitored on a regular basis by investment and asset management professionals. In addition, our investment professionals and asset managers work directly with our portfolio companies’ directors, executives and managers to drive operational efficiencies and growth.</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Capital Invested In and Alongside Our Investment Funds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further align our interests with those of investors in our investment funds, we have invested our own capital and that of certain of our personnel in the investment funds that we sponsor and manage. Minimum general partner capital commitments to our investment funds are determined separately with respect to each of our investment funds and, generally, are less than 5% of the limited partner commitments of any particular fund. We determine whether to make general partner capital commitments to our funds in excess of the minimum required commitments based on, among other things, our anticipated liquidity, working capital and other capital needs.</w:t>
      </w:r>
    </w:p>
    <w:p>
      <w:pPr>
        <w:spacing w:after="0" w:line="1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Caliber has $28.6 million invested alongside our Fund Investors in the form of equity positions, short term loans, and receivables. This represents 5.8% of Managed Capital of $492.5 million.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Investors in many of our funds also receive the opportunity to make additional “co-investments” with the investment funds. Our employees, as well as Caliber itself, also have the opportunity to make investments, in or alongside our funds and other vehicles we manage, in some instances without being subject to management fees, carried interest or incentive fees. In certain cases, limited partner investors may pay additional management fees or carried interest in connection with such co-investments.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real estate asset management industry is intensely competitive. We compete primarily on a regional, industry and asset class basis.</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face competition both in the pursuit of fund investors and investment opportunities. Generally, our competition varies across business lines, geographies, and financial markets. We compete for outside investors based on a variety of factors, including investment performance, investor perception of investment managers’ drive, focus and alignment of interest, quality of service provided to and duration of relationship with investors, business reputation, and the level of fees and expenses charged for services.</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compete for investment opportunities based on a variety of factors, including breadth of market coverage and relationships, access to capital, transaction execution skills, the range of products and services offered, innovation, and price.</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compete with real estate funds, specialized funds, hedge fund sponsors, financial institutions, private equity funds, corporate buyers, and other parties. Many of these competitors are substantially larger and have considerably greater financial, technical, and marketing resources than are available to us. Many of these competitors have similar investment objectives to ours, which may create additional competition for investment opportunities. Some of these competitors may also have a lower cost of capital and access to funding sources that are not available to us, which may create competitive disadvantages for us with respect to investment opportunities. In addition, some of these competitors may have higher risk tolerances, different risk assessments or lower return thresholds, which could allow them to consider a wider variety of investments and to bid more aggressively than us for investments that we want to make. Corporate buyers may be able to achieve synergistic cost savings with regard to an investment that may provide them with a competitive advantage in bidding for an investment.</w:t>
      </w:r>
    </w:p>
    <w:p>
      <w:pPr>
        <w:spacing w:after="0" w:line="15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alternative investment industry is highly competitive. Many of our competitors have greater financial resources and a broader market presence than we do. We compete with respect to:</w:t>
      </w:r>
    </w:p>
    <w:p>
      <w:pPr>
        <w:spacing w:after="0" w:line="121" w:lineRule="exact"/>
        <w:rPr>
          <w:sz w:val="20"/>
          <w:szCs w:val="20"/>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fee structures on our asset management services; and</w:t>
      </w:r>
    </w:p>
    <w:p>
      <w:pPr>
        <w:spacing w:after="0" w:line="198"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Diversification of our revenue stream across the deal continuum, including asset management revenues which include brokerage fees on buying and selling assets, construction management fees on repositioning assets, fund set up fees for the initial formation, administration, and set-up of fund products we distribute and manage.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Strategy and Competitive Strengths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manage and administer investment vehicles that allow investors to diversify their holdings into asset classes that would not be readily accessible to them otherwise. We typically distribute cash to fund investors where there is either: (i) sufficient distributable cash derived from the income of our investments (rents, etc.) or (ii) a capital event, such as a sale of an asset or a cash-out refinance. Caliber’s approach is to offer investors, and their wealth managers, products managed by a team aligned with their success. We believe our competitive strengths include:</w:t>
      </w:r>
    </w:p>
    <w:p>
      <w:pPr>
        <w:spacing w:after="0" w:line="135" w:lineRule="exact"/>
        <w:rPr>
          <w:sz w:val="20"/>
          <w:szCs w:val="20"/>
          <w:color w:val="auto"/>
        </w:rPr>
      </w:pPr>
    </w:p>
    <w:p>
      <w:pPr>
        <w:jc w:val="both"/>
        <w:ind w:left="660" w:hanging="328"/>
        <w:spacing w:after="0" w:line="26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Extensive relationship and sourcing network. </w:t>
      </w:r>
      <w:r>
        <w:rPr>
          <w:rFonts w:ascii="Times New Roman" w:cs="Times New Roman" w:eastAsia="Times New Roman" w:hAnsi="Times New Roman"/>
          <w:sz w:val="18"/>
          <w:szCs w:val="18"/>
          <w:color w:val="auto"/>
        </w:rPr>
        <w:t>We leverage our relationships in order to source deals for our funds. In addition, our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extensive relationships with major industry participants in each of the markets in which we currently operate. Their local presence and reputation in these markets enables them to cultivate key relationships with major holders of property inventory, in particular, financial institutions, throughout the real estate community.</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Targeted market opportunities. </w:t>
      </w:r>
      <w:r>
        <w:rPr>
          <w:rFonts w:ascii="Times New Roman" w:cs="Times New Roman" w:eastAsia="Times New Roman" w:hAnsi="Times New Roman"/>
          <w:sz w:val="18"/>
          <w:szCs w:val="18"/>
          <w:color w:val="auto"/>
        </w:rPr>
        <w:t>We primarily focus on business and investment-friendly markets that have a long-term trend of population growth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income improvement, in particular focus on Alaska, Arizona, Colorado, Kansas, Texas, and Virginia. We generally avoid engaging in direct competition in over-regulated and saturated markets.</w:t>
      </w:r>
    </w:p>
    <w:p>
      <w:pPr>
        <w:spacing w:after="0" w:line="143"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Structuring expertise and speed of execution. </w:t>
      </w:r>
      <w:r>
        <w:rPr>
          <w:rFonts w:ascii="Times New Roman" w:cs="Times New Roman" w:eastAsia="Times New Roman" w:hAnsi="Times New Roman"/>
          <w:sz w:val="18"/>
          <w:szCs w:val="18"/>
          <w:color w:val="auto"/>
        </w:rPr>
        <w:t>We believe we have developed a reputation of being able to quickly execute, as well as originate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creatively structure acquisitions, dispositions and financing transactions. We have experience in a variety of investment strategies, including direct property investments, joint ventures, participating loans and investments in performing and non-performing mortgages with the objective of long-term ownership.</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Vertically integrated platform for operational enhancement. </w:t>
      </w:r>
      <w:r>
        <w:rPr>
          <w:rFonts w:ascii="Times New Roman" w:cs="Times New Roman" w:eastAsia="Times New Roman" w:hAnsi="Times New Roman"/>
          <w:sz w:val="18"/>
          <w:szCs w:val="18"/>
          <w:color w:val="auto"/>
        </w:rPr>
        <w:t>We believe in a hands-on approach to real estate investing and possess local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expertise in brokerage, development management, and investment sales, which we believe enable us to invest successfully in select submarkets. Our goal is to optimize the use of in-house services for high margin, low volume tasks while using third-party services for high volume, low margin tasks.</w:t>
      </w:r>
    </w:p>
    <w:p>
      <w:pPr>
        <w:spacing w:after="0" w:line="135"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Focus on the middle market. </w:t>
      </w:r>
      <w:r>
        <w:rPr>
          <w:rFonts w:ascii="Times New Roman" w:cs="Times New Roman" w:eastAsia="Times New Roman" w:hAnsi="Times New Roman"/>
          <w:sz w:val="18"/>
          <w:szCs w:val="18"/>
          <w:color w:val="auto"/>
        </w:rPr>
        <w:t>We believe our focus on middle market opportunities offers our investors significant alternatives to active,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investing. This focus has allowed us to offer a diversified range of alternative investment opportunities, particularly for accredited investors.</w:t>
      </w:r>
    </w:p>
    <w:p>
      <w:pPr>
        <w:spacing w:after="0" w:line="127"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 protection and investment discipline. </w:t>
      </w:r>
      <w:r>
        <w:rPr>
          <w:rFonts w:ascii="Times New Roman" w:cs="Times New Roman" w:eastAsia="Times New Roman" w:hAnsi="Times New Roman"/>
          <w:sz w:val="18"/>
          <w:szCs w:val="18"/>
          <w:color w:val="auto"/>
        </w:rPr>
        <w:t>We underwrite our investments based upon an examination of investment economics and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understanding of market dynamics and risk management strategies. We conduct an in-depth sensitivity analysis on each of our fund investments. This analysis applies various economic scenarios that include, where appropriate, changes to rental rates, absorption periods, operating expenses, interest rates, exit values and holding periods.</w:t>
      </w:r>
    </w:p>
    <w:p>
      <w:pPr>
        <w:spacing w:after="0" w:line="1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aim to continue building wealth for our investors by expanding our business with the following strategies:</w:t>
      </w:r>
    </w:p>
    <w:p>
      <w:pPr>
        <w:spacing w:after="0" w:line="194" w:lineRule="exact"/>
        <w:rPr>
          <w:sz w:val="20"/>
          <w:szCs w:val="20"/>
          <w:color w:val="auto"/>
        </w:rPr>
      </w:pPr>
    </w:p>
    <w:p>
      <w:pPr>
        <w:jc w:val="both"/>
        <w:ind w:left="660" w:hanging="328"/>
        <w:spacing w:after="0" w:line="26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Organic growth with our existing high net worth investor base. </w:t>
      </w:r>
      <w:r>
        <w:rPr>
          <w:rFonts w:ascii="Times New Roman" w:cs="Times New Roman" w:eastAsia="Times New Roman" w:hAnsi="Times New Roman"/>
          <w:sz w:val="18"/>
          <w:szCs w:val="18"/>
          <w:color w:val="auto"/>
        </w:rPr>
        <w:t>We estimate that we currently service less than 1.0% of the current high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worth investor base in the United States. Using our established direct sales method, we intend to attract additional high net worth individuals to expand our number of customers and our assets under management.</w:t>
      </w:r>
    </w:p>
    <w:p>
      <w:pPr>
        <w:spacing w:after="0" w:line="13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Expansion into additional distribution channels</w:t>
      </w:r>
      <w:r>
        <w:rPr>
          <w:rFonts w:ascii="Times New Roman" w:cs="Times New Roman" w:eastAsia="Times New Roman" w:hAnsi="Times New Roman"/>
          <w:sz w:val="18"/>
          <w:szCs w:val="18"/>
          <w:color w:val="auto"/>
        </w:rPr>
        <w:t>. We intend to expand Caliber’s recent, early success in accessing institutional channels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further expanding our fundraising activities directed to registered investment advisers (RIA), broker-dealers, family offices, and boutique institutions.</w:t>
      </w:r>
    </w:p>
    <w:p>
      <w:pPr>
        <w:spacing w:after="0" w:line="13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New funds and platforms. </w:t>
      </w:r>
      <w:r>
        <w:rPr>
          <w:rFonts w:ascii="Times New Roman" w:cs="Times New Roman" w:eastAsia="Times New Roman" w:hAnsi="Times New Roman"/>
          <w:sz w:val="18"/>
          <w:szCs w:val="18"/>
          <w:color w:val="auto"/>
        </w:rPr>
        <w:t>We intend to grow our assets under management (“AUM”) by expanding the number of available funds and platforms.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will look for complementary products and vehicles that utilize our existing vertically integrated infrastructure to allow us to continue to capture attractive risk-adjusted returns. These areas of investment could include private debt, venture capital and private equity. We expect these new funds and platforms will attract new investors, in addition to leveraging our existing investor base.</w:t>
      </w:r>
    </w:p>
    <w:p>
      <w:pPr>
        <w:spacing w:after="0" w:line="14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UPREIT Strategies. </w:t>
      </w:r>
      <w:r>
        <w:rPr>
          <w:rFonts w:ascii="Times New Roman" w:cs="Times New Roman" w:eastAsia="Times New Roman" w:hAnsi="Times New Roman"/>
          <w:sz w:val="18"/>
          <w:szCs w:val="18"/>
          <w:color w:val="auto"/>
        </w:rPr>
        <w:t>We intend to utilize the UPREIT structure, starting with CHT, to grow our AUM through tax-efficient asset acquisitions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can be completed primarily in shares in the UPREIT we manage instead of traditional cash debt and equity. We expect to leverage the operating infrastructure of Caliber as an external advisor to the UPREIT entity(s) we manage to avoid duplicating costs of running additional public companies.</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Accretive acquisitions</w:t>
      </w:r>
      <w:r>
        <w:rPr>
          <w:rFonts w:ascii="Times New Roman" w:cs="Times New Roman" w:eastAsia="Times New Roman" w:hAnsi="Times New Roman"/>
          <w:sz w:val="18"/>
          <w:szCs w:val="18"/>
          <w:color w:val="auto"/>
        </w:rPr>
        <w:t>. We plan to evaluate potential accretive acquisition opportunities to further grow our business. These acquisitions could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opportunities to expand our distribution capabilities, product offerings or geographic reach.</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Caliber is committed to operating according to our core principles:</w:t>
      </w:r>
    </w:p>
    <w:p>
      <w:pPr>
        <w:spacing w:after="0" w:line="20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Authenticity &amp; Transparency</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Vision &amp; Agility</w:t>
      </w:r>
    </w:p>
    <w:p>
      <w:pPr>
        <w:spacing w:after="0" w:line="17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Compassion &amp; Service</w:t>
      </w:r>
    </w:p>
    <w:p>
      <w:pPr>
        <w:spacing w:after="0" w:line="17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employees are integral to Caliber’s culture and our primary real estate objective, to produce and manage real estate investments that Caliber insiders own and invest in. Our employees adhere to Caliber’s core principles leading to our continued success as an organization. Our professionals have decades of institutional experience in commercial, real estate, capital markets, alternative investments, and mergers and acquisitions. We give our employees the opportunities to develop their skills and encourage them to collaborate to achieve success.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we had 81 employees. None of our employees are currently covered by a collective bargaining agreement.</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Talent Acquisition, Development and Retention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face intense competition for qualified personnel. We believe the talent of our employees, in association with our rigorous investment process, has supported our growth and investment performance over the past decade. We are focused on hiring, training, and developing the skills and careers of our people. We provide opportunities for growth and development for our employees and support their personal and professional goals in an effort to retain the most talented individuals.</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opportunities we provide in conjunction with our reputation is what we believe makes us an attractive employer. We seek to retain and incentivize the performance of our employees through our compensation structure. We enter into non-competition and non-solicitation agreements with certain employees.</w:t>
      </w:r>
    </w:p>
    <w:p>
      <w:pPr>
        <w:spacing w:after="0" w:line="14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believe Caliber offers a differentiated platform for employees to join our business as one of the only boutique, publicly listed real estate asset manages in the United States.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8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compensation strategy is designed to attract qualified talent, retain team members, and stay competitive within the talent market. Caliber continually evaluates our compensation structure to ensure it aligns with the market and continues to be an attractive component of joining our team. Compensation includes incentives for individual performance as well as overall success in meeting the Company’s goals. We believe these additional incentives encourage team members to perform at a high level.</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provide our team members with competitive health and retirement offerings, as well as a variety of quality-of-life benefits, including flexible time-off, an employee assistance program at no cost to the employee, a Company match for retirement plan contribution, tuition reimbursement, and overall support for well-being and family planning resources.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Compliance Matters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businesses, as well as the financial services industry generally, are subject to extensive regulation, including periodic examinations, by governmental agencies and self-regulatory organizations or exchanges in the jurisdictions in which we operate relating to, among other things, anti-money laundering laws, and privacy laws with respect to client information, and some of our funds invest in businesses that operate in highly regulated industries. Each of the regulatory bodies with jurisdiction over us oversee many aspects of financial services, including the authority to grant, and in specific circumstances to revoke, permissions to engage in particular activities. Any failure to comply with these rules and regulations could expose us to liability and/or reputational damage. The SEC and various self-regulatory organizations, state securities regulators, and international securities regulators have in recent years increased their regulatory activities, including regulation, examination, and enforcement in respect of asset management firms. Additional legislation, increasing regulatory oversight of fundraising activities, changes 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rules promulgated by self-regulatory organizations or exchanges or changes in the interpretation or enforcement of existing laws and rules may directly affect our mode of operation and profitability.</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intend to continue to conduct our operations so that neither we nor any subsidiaries we own nor ones we may establish will be required to register as an investment company under the Investment Company Act of 1940, as amended (“Investment Company Act”). The loss of our exclusion from regulation pursuant to the Investment Company Act could require us to restructure our operations, sell certain of our assets, or abstain from the purchase of certain assets, which could have an adverse effect on our financial condition and results of operations. If we were deemed an “investment company” under the Investment Company Act, applicable restrictions could make it impractical for us to continue our business as conducted and could have a material adverse effect on our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Website and Available Information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1D1C1D"/>
        </w:rPr>
        <w:t>We file annual, quarterly and current reports; proxy and information statements and other information with the SEC. We also make our annual report on Form 10-K, quarterly reports on Form 10-Q, current reports on Form 8-K and all related amendments, available free of charge through our website at www.caliberco.com as soon as reasonably practical after they have been filed with the SEC. We also provide to anyone, without charge, copies of the documents upon written request. Requests should be directed to the attention of the Corporate Secretary at our address on the cover page of this Form 10-K.</w:t>
      </w:r>
    </w:p>
    <w:p>
      <w:pPr>
        <w:spacing w:after="0" w:line="1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1D1C1D"/>
        </w:rPr>
        <w:t>We are an electronic filer. The SEC maintains an internet website at www.sec.gov that contains reports, proxy and information statements and other information regarding issuers, such as us, that file electronically with the SEC.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1A. Risk Factors</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and investors should carefully consider the following risk factors, as well as the other information in this Annual Report on Form 10-K, in evaluating the Company and our business. If any of the following risks actually occurs, our business, results of operations and financial condition could be materially adversely affected. In this case, the trading price of our Class A common stock would likely decline, and investors might lose part or all their investment in our Class A common stock.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8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in large part on our ability to raise capital for our funds from investors. If we were unable to raise such capital, we may be unable to grow our asset management revenues. The inability to deploy such capital into investments, may materially reduce our revenues and cash flows and adversely affect our financial condition.</w:t>
      </w:r>
    </w:p>
    <w:p>
      <w:pPr>
        <w:spacing w:after="0" w:line="1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depend on the capital markets to grow our assets under management, (“AUM”) and we depend on third-party equity and debt financings to acquire properties for our funds. We intend to continue to raise a significant amount of equity and debt to acquire various alternative investments for our funds in the ordinary course of our business. Our debt financing depends on a combination of seller financing, the assumption of existing loans, government agencies, and financial institutions. We depend on equity financing from equity partners, which may include public or private companies, pension funds, family offices, financial institutions, endowments, high net worth individuals, and money managers. Our access to capital funding for our funds is uncertain. Our inability to raise additional capital for our funds on terms reasonably acceptable to us could jeopardize the future growth of our business.</w:t>
      </w:r>
    </w:p>
    <w:p>
      <w:pPr>
        <w:spacing w:after="0" w:line="14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ability to raise capital from investors in our funds depends on several factors, including many that are outside our control. Investors may downsize their investment allocations to alternative asset managers, including private funds and hedge funds, to rebalance a disproportionate weighting of their overall investment portfolio among asset classes. Poor performance of our funds could also make it more difficult for us to raise new capital. Our investors and potential investors continually assess our funds’ performance independently and relative to market benchmarks and our competitors, and our ability to raise capital for existing and future funds depends on our funds’ performance. The financial markets are affected by many factors, such as U.S. and foreign economic conditions and general trends in business and finance that are beyond our control, which could be adversely affected by changes in the equity or debt marketplaces, unanticipated changes in currency exchange rates, interest rates, inflation rates, the yield curve, financial crises, changes in regulation, war, terrorism, natural disasters and other factors that are difficult to predict. The markets continue to be affected by inflation in the United States, global health pandemics, the imposition of sanctions and the escalation of hostilities between Russia and Ukraine and the Israel-Hamas conflict. In the event that the U.S. or international financial markets suffer a severe or prolonged downturn or increased volatility, our funds’ investments may lose value and investors may choose to withdraw assets from our funds and use the assets to pay expenses or transfer them to investments that they perceive to be more secure, such as bank deposits and Treasury securities. If economic and market conditions deteriorate, we may be unable to raise sufficient capital to support the investment activities of future funds. If we are unable to successfully raise capital, our revenues and cash flows would be reduced, and our financial condition would be adversely affected.</w:t>
      </w:r>
    </w:p>
    <w:p>
      <w:pPr>
        <w:spacing w:after="0" w:line="15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prevailing interest rates may reduce our profitability, and we may not be able to adequately anticipate and respond to changes in market interest rates.</w:t>
      </w:r>
    </w:p>
    <w:p>
      <w:pPr>
        <w:spacing w:after="0" w:line="13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our funds’ assets are monetary in nature and subject to risk from changes in interest rates. Our earnings and cash flows depend to a great extent upon the difference between the interest our funds pay on loans and borrowings and the value of fixed-rate debt investments made by our funds. Depending on the terms and maturities of our assets and liabilities, a significant change in interest rates could have a material adverse effect on our profitability. In addition, rising interest rates, coupled with periods of significant equity and credit market volatility may potentially make it more difficult for us to find attractive opportunities for our funds to exit and realize value from their existing investments.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Interest rates remained at relatively low levels on a historical basis and the U.S. Federal Reserve maintained the federal funds target range at 0.0% to 0.25% for much of 2020 and 2021. The Federal Reserve raised interest rates by an aggregate of 525 basis points from January 1, 2022 through September 18, 2024. Subsequently, the Federal Reserve decreased the federal funds rate by 50 basis points in September 2024, by 25 basis points in November 2024 and by 25 basis points in December 2024, resulting in a target rate range of 4.25% to 4.50% at December 31, 2024. Additionally, the current geopolitical environment in Europe provides yet another layer of uncertainty around the actions that the Federal Reserve might take. Market interest rates are affected by many factors outside of our control, including governmental monetary policies, domestic and international economic conditions, inflation, deflation, recession, changes in unemployment, the money supply, international disorder and instability in domestic and foreign financial markets. Rising interest rates create downward pressure on the price of real estate, increase the cost and reduce the availability of debt financing for the transactions our funds pursue and decrease the value of fixed-rate debt investments made by our funds, each of which may have an adverse impact on our business.</w:t>
      </w:r>
    </w:p>
    <w:p>
      <w:pPr>
        <w:spacing w:after="0" w:line="16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Increased costs of borrowing could also cause us to reconsider the purchase of certain real estate assets, the terms of any such purchase or the mix of debt and equity we employ in connection with such purchase. Such issues are expected to be more prevalent in a continued rising interest rate environment. A higher interest rate environment may lead to a significant contraction or weakening in the market for debt financing or have other adverse changes relating to the terms of debt financing (such as, for example, higher equity requirements and/or more restrictive covenants), particularly in the area of acquisition financings for private equity and real estate transactions, which could have a material adverse impact on our business. In a rising interest rate environment, the financing of acquisitions or the operations of our funds’ portfolio companies with debt may also become less attractive due to the cost of capital or limitations on the deductibility of corporate interest expense. If our funds are unable to obtain committed debt financing for potential acquisitions, can only obtain debt financing at an increased interest rate or on unfavorable terms, or the ability to deduct corporate interest expense is substantially limited, our funds may face increased competition from strategic buyers of assets who may have an overall lower cost of capital or the ability to benefit from a higher amount of cost savings following an acquisition, or may have difficulty completing otherwise profitable acquisitions or may generate profits that are lower than would otherwise be the case, each of which could lead to a decrease in our revenues.</w:t>
      </w:r>
    </w:p>
    <w:p>
      <w:pPr>
        <w:spacing w:after="0" w:line="1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if our funds are unable to obtain committed debt financing for potential acquisitions or can only obtain debt financing at an increased interest rate or on unfavorable terms, this would require us to employ a higher mix of equity to acquire real estate assets. The cost of equity in a rising interest rate environment may also become more expensive, and we may be required to offer a higher rate of return on equity in order to finance such assets. This in turn would adversely affect our profitability from such assets. While to date our funds’ borrowing costs have not substantially increased, as rates continue to increase, our ability to use leverage as a financing tool or to pass along any increased costs of borrowing or financing will become more difficult, all of which could have an adverse effect on our profitability.</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Inflation can have an adverse impact on our business and on our customers.</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Inflation risk is the risk that the value of assets or income from investments will be worth less in the future as inflation decreases the value of money. The annual inflation rate in the United States increased to 9.1% in June 2022, the highest rate since November 1981, but decreased to 2.9% in December 2024. As a result, from January 1, 2022 through September 18, 2024, the Federal Reserve increased the federal funds rate by 525 basis points. Subsequently, the Federal Reserve decreased the federal funds rate by 50 basis points in September 2024, by 25 basis points in November 2024 and by 25 basis points in December 2024, resulting in a target rate range of 4.25% to 4.50% at December 31, 2024.For project execution, inflation has increased the cost of nearly all building materials and labor types, increasing the cost of construction and renovation of our funds’ assets. Furthermore, third parties we do business with, such as developers and contractors, are also affected by inflation and the rising costs of goods and services used in their businesses. A significant and continued increase in interest rates and inflation would be expected to have a negative impact on their ability to do business with us, which would affect our profitability.</w:t>
      </w:r>
    </w:p>
    <w:p>
      <w:pPr>
        <w:spacing w:after="0" w:line="144"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trade policies and tariffs imposed by the United States government and the governments of other nations may have a material adverse effect on our business and results of operations.</w:t>
      </w:r>
    </w:p>
    <w:p>
      <w:pPr>
        <w:spacing w:after="0" w:line="11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Effective March 4, 2025, the U.S. administration imposed a 20% tariff on all imports from China, a 25% tariff on all imports from Mexico, and a 25% tariff on most imports from Canada, with a 10% tariff on energy imports. At this time, the overall impact on our business related to these tariffs remains uncertain and depends on multiple factors, including the duration and potential expansion of current tariffs, future changes to tariff rates, scope, or enforcement, retaliatory measures by impacted trade partners, inflationary effects and broader macroeconomic responses, and the effectiveness of our responses in managing these challenges. We cannot predict if, and to what extent, there will be changes to international trade agreements or the resulting impact of any such changes on our business operations. We are closely monitoring this evolving situation and evaluating our responses. However, there can be no assurance that we will be able to fully mitigate the impact of such tariffs or trade restrictions.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14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(“Silvergate Capital”), and then on May 1, 2023, First Republic Bank,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any financial institution that is placed into receivership by the FDIC may be unable to access undrawn amounts thereunder. Although we are not a borrower or party to any such instruments with SVB, Signature Bank, First Republic Bank or any other financial institution currently in receivership, if any of our lenders or counterparties to any such instruments were to be placed into receivership, we may be unable to access such funds.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Signature Bank or First Republic Bank credit agreements and arrangements, and third parties such as beneficiaries of letters of credit (among others), may experience direct impacts from the closures of SVB, Signature Bank and First Republic Bank and uncertainty remains over liquidity concerns in the broader financial services industry. Similar impacts have occurred in the past, such as during the 2008-2010 financial crisis. We hold no deposits or securities with SVB, Signature Bank, First Republic Bank or Silvergate Capital.</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decline in the pace of growth or size of investment made by our funds may adversely affect our revenues.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Revenues we derive from our asset management and related services are driven in part by the pace at which our funds make investments and the size of those investments. A decline in the pace or the size of such investments may reduce our revenues. The pace of our investments could decline due to, among other factors, the market environment for private equity transactions, which has at times been characterized by relatively high prices, and such market changes make the deployment of capital more difficult. In addition, many other factors could cause a decline in the pace of investment, including the inability of our investment professionals to identify attractive investment opportunities, competition for such opportunities among other potential acquirers, decreased availability of capital on attractive terms, and our failure to consummate identified investment opportunities because of business, regulatory or legal complexities or uncertainty and adverse developments in the U.S. or global economy or financial markets. In addition, if our funds are unable to deploy capital at a pace that is sufficient to offset the pace of realizations, our fee revenues could decrease.</w:t>
      </w:r>
    </w:p>
    <w:p>
      <w:pPr>
        <w:spacing w:after="0" w:line="16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earnings, net income, and cash flows can all vary materially, which may make it difficult for us to achieve steady earnings growth on a quarterly basis and may cause the price of our Class A common stock to decline.</w:t>
      </w:r>
    </w:p>
    <w:p>
      <w:pPr>
        <w:spacing w:after="0" w:line="11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in the past and may in the future experience fluctuations in our results, including our revenue and net income, from quarter to quarter due to a number of other factors, including timing of realizations, changes in the amount of distributions or interest paid in respect of investments, changes in our operating expenses, the degree to which we encounter competition and general economic and market conditions. Achieving steady growth in net income and cash flow on a quarterly basis may be difficult, which could in turn lead to large adverse movements or general increased volatility in the price of our Class A common stock. We also do not provide any guidance regarding our expected quarterly and annual operating results. The lack of near term guidance may affect the expectations of public market analysts and could cause increased volatility in our Class A common stock price.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incurred operating losses and negative operating cash flows for the year ended December 31, 2024, and may incur operating losses and negative cash flows in future periods. In response to these conditions, and the absence of sufficient cash to satisfy the debt obligations referenced below under the risk factor “We have an amount of total liabilities which may be considered significant for a company of our size which could adversely affect our financial condition and our ability to react to changes in our business”, management plans to i) negotiate extensions of such loans or refinance such debt, ii) obtain new financing, iii) reduce operating costs, iv) collect receivables and return investments from our Consolidated Funds, and/or v) increase capital raise through continued expansion of fundraising channels.</w:t>
      </w:r>
    </w:p>
    <w:p>
      <w:pPr>
        <w:spacing w:after="0" w:line="160"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revenue, net income, and cash flows can all vary materially due to performance allocations (income earned with respect to our carried interest is recorded as performance allocations) in any fiscal period. Performance allocations depend on our funds’ performance and opportunities for realizing gains, which may be limited. Our cash flow may fluctuate significantly due to the fact that we receive performance allocations from our carry funds only when portfolio companies make distributions in excess of preferred return hurdles, or when investments are realized and achieve a minimum preferred return. It takes a substantial period of time to identify attractive investment opportunities, to raise all the funds needed to make an investment, to manage the performance of the investment, and then to realize the cash value (or other proceeds) of an investment through a sale, public offering, recapitalization or other exit. Even if an investment proves to be profitable, it may be several years before any profits can be realized in cash (or other proceeds). We cannot predict with certainty exactly when, or if, any performance allocations will or may occur.</w:t>
      </w:r>
    </w:p>
    <w:p>
      <w:pPr>
        <w:spacing w:after="0" w:line="1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upon the realization of a profitable investment by any of our funds and prior to our receiving any performance allocations in respect of that investment, 100% of the net proceeds from such realization must generally be paid to the investors in that fund until they have achieved a certain return on all realized investments by that fund. A particular realization event may have a significant impact on our results for that particular quarter that may not be replicated in subsequent quarters. We recognize revenue on investments in our investment funds based on our allocable share of realized gains (or losses) reported by such investment funds, and a decline in gains, or an increase in losses, would adversely affect our revenue and possibly cash flow, which could further increase the volatility of our quarterly results. Because our carry funds have preferred return thresholds to investors that need to be met prior to our receiving any performance allocations, substantial declines in the carrying value of the investment portfolios of a fund can significantly delay or eliminate any performance allocations paid to us in respect of that fund since the value of the assets in the fund would need to recover to their aggregate cost basis plus the preferred return over time before we would be entitled to receive any performance allocations from that fund.</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timing and receipt of performance allocations also varies with the life cycle of our funds. During periods in which a relatively large portion of our assets under management are attributable to funds and investments in their “optimized” period, our funds would make larger distributions than in the fundraising or investment periods that precede the optimized period. During periods in which a significant portion of our assets under management is attributable to funds that are not in their optimized periods, we may receive substantially lower performance allocations.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could lose part or all of our investments, which could have a material adverse effect on our financial condition and results of operations.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is an inherent risk that we could lose all or part of our investment in certain assets. Our investments are generally illiquid, which may affect our ability to change our asset mix in response to changes in economic and other conditions. The value of our investments can also be diminished by:</w:t>
      </w:r>
    </w:p>
    <w:p>
      <w:pPr>
        <w:spacing w:after="0" w:line="121" w:lineRule="exact"/>
        <w:rPr>
          <w:sz w:val="20"/>
          <w:szCs w:val="20"/>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unrest, acts of war and terrorism and acts of God, including earthquakes, hurricanes, and other natural disasters (which may result in uninsured or underinsured losses);</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present or future legislation (including environmental regulation, changes in laws concerning foreign ownership of property, changes in tax rates, changes in zoning laws and laws requiring upgrades to accommodate disabled persons) and the cost of compliance with these types of legislation; and</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relating to claims, to the extent insurance is not available or is inadequate.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 amount of total liabilities which may be considered significant for a company of our size which could adversely affect our financial condition and our ability to react to changes in our business.</w:t>
      </w:r>
    </w:p>
    <w:p>
      <w:pPr>
        <w:spacing w:after="0" w:line="13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had individual corporate notes aggregating $32.8 million at December 31, 2024, for which the maturity dates of the majority of these notes are within the 12-month period subsequent to when the financial statements for the year ended December 31, 2024 were issued. We currently do not have sufficient cash on hand to satisfy such obligations.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this is an amount of total liabilities which may be considered significant for a company of our size and current revenue base. Our substantial total liabilities could have important consequences to us. For example, it could:</w:t>
      </w:r>
    </w:p>
    <w:p>
      <w:pPr>
        <w:spacing w:after="0" w:line="121" w:lineRule="exact"/>
        <w:rPr>
          <w:sz w:val="20"/>
          <w:szCs w:val="20"/>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flows from operations to make payments on our debt, which would reduce the availability of our cash flows from operations to fund working capital, capital expenditures or other general corporate purposes;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 including interest rate fluctuations;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to our competitors with proportionately less debt for their size;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existing debt or borrow additional funds in the future;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changing conditions in our business; and</w:t>
      </w:r>
    </w:p>
    <w:p>
      <w:pPr>
        <w:spacing w:after="0" w:line="184"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react to competitive pressures or make it difficult for us to carry out capital spending that is necessary or important to our growth strategy.</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of the foregoing impacts of our substantial total liabilities could have a material adverse effect on our business, financial condition and results of operations.</w:t>
      </w:r>
    </w:p>
    <w:p>
      <w:pPr>
        <w:spacing w:after="0" w:line="131" w:lineRule="exact"/>
        <w:rPr>
          <w:sz w:val="20"/>
          <w:szCs w:val="20"/>
          <w:color w:val="auto"/>
        </w:rPr>
      </w:pPr>
    </w:p>
    <w:p>
      <w:pPr>
        <w:jc w:val="both"/>
        <w:ind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debt or refinance our obligations and may be forced to take other actions to satisfy our obligations under such indebtedness, which may not be successful.</w:t>
      </w:r>
    </w:p>
    <w:p>
      <w:pPr>
        <w:spacing w:after="0" w:line="11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require cash to (a) provide capital to facilitate the growth of our existing businesses, (b) co-investment into our funds, if any, (c) service our debt and (d) pay operating expenses and other obligations as they arise. There is no guarantee that in the future we will generate enough working capital to support our business. Our ability to repay our total liabilities, including our ability to make scheduled payments on our debt or to refinance our obligations under our debt agreements, will depend on our financial and operating performance, which, in turn, will be subject to prevailing economic and competitive conditions and to the financial and business risk factors we face as described in this section, many of which may be beyond our control. If the global economy and conditions in the financing markets worsen, our fund investment performance could suffer, resulting in, for example, the payment of less or no performance allocations to us. This could materially and adversely affect the amount of cash we have on hand.</w:t>
      </w:r>
    </w:p>
    <w:p>
      <w:pPr>
        <w:spacing w:after="0" w:line="14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repay our total liabilities, including the ability to fund our debt service obligations, we may be forced to reduce or delay capital expenditures or planned growth objectives, seek to obtain additional equity capital or restructure our debt. We may also need additional cash resources in the future if we find and wish to pursue opportunities for investment, acquisition, capital expenditures or similar actions. If we determine that our cash requirements exceed the amount of cash and cash equivalents we have on hand at the time, we may seek to issue additional equity or debt securities or obtain credit facilities. If we issue additional equity securities to raise funds, whether to existing investors or others, the ownership percentage of our existing stockholders would be reduced. New investors may demand rights, preferences, or privileges senior to those of existing holders of common stock. We may also be limited as to the amount of funds we can raise pursuant to SEC rules and the continued listing requirements of Nasdaq.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the future, our cash flows and capital resources may not be sufficient for payments of interest on and principal of our debt, and such alternative measures may not be successful and may not permit us to meet scheduled debt service obligations. In addition, the recent worldwide credit crisis could make it more difficult for us to repay our total liabilities, including the ability to refinance our debt on favorable terms, or at all. In the absence of positive operating results and/or sufficient cash resources, we may be required to dispose of material assets to repay our total liabilities, including the ability to meet our debt service obligations. We may not be able to consummate those sales, or, if we do, we will not control the timing of the sales or whether the proceeds that we realize will be adequate to repay our total liabilities, including the ability to meet debt service obligations when due.</w:t>
      </w:r>
    </w:p>
    <w:p>
      <w:pPr>
        <w:spacing w:after="0" w:line="156"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historical returns attributable to our funds should not be considered as indicative of the future results of our funds or of our future results or of any returns expected on an investment in our Class A common stock.</w:t>
      </w:r>
    </w:p>
    <w:p>
      <w:pPr>
        <w:spacing w:after="0" w:line="11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investment in our Class A common stock is not an investment in any of our funds. You should not conclude that positive performance of our funds will necessarily result in positive returns on an investment in our Class A common stock. The historical performance of our funds is relevant to us primarily insofar as it is indicative of asset management revenues and performance allocations we have earned in the past and may earn in the future and our reputation and ability to raise new funds.</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the historical returns of our funds may not be indicative of any future returns of these or from any future funds we may raise due to several factors including:</w:t>
      </w:r>
    </w:p>
    <w:p>
      <w:pPr>
        <w:spacing w:after="0" w:line="135" w:lineRule="exact"/>
        <w:rPr>
          <w:sz w:val="20"/>
          <w:szCs w:val="20"/>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during previous periods may have been more favorable for generating positive performance than the market conditions we may experience in the future;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funds’ returns may have previously benefited from investment opportunities and general market conditions that may not recur, and we may not be able to achieve the same returns or profitable investment opportunities or deploy capital as quickly.</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risks and may face liabilities and damage to our professional reputation as a result of investment decisions on behalf of investors in our funds.</w:t>
      </w:r>
    </w:p>
    <w:p>
      <w:pPr>
        <w:spacing w:after="0" w:line="13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make investment decisions on behalf of investors in our funds that could result in substantial losses. This may subject us to the risk of legal liabilities or actions alleging negligent misconduct, breach of fiduciary duty, or breach of contract. Further, we may be subject to third-party litigation arising from allegations that we improperly exercised control or influence over portfolio investments.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and other legal liabilities could have a material adverse effect on our businesses, financial condition, our results of operations, or cause reputational harm to us, which could harm our businesses. We depend, to a large extent, on our business relationships and our reputation for integrity and professional services to attract and retain investors and to pursue investment opportunities for our funds. As a result, allegations of improper conduct by private litigants or regulators, whether the ultimate outcome is favorable or unfavorable to us, as well as negative publicity and press speculation about us, our investment activities, or the investment industry in general, whether or not valid, may harm our reputation, which may be damaging to our businesses.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Actions of any joint venture partners that we may have could reduce the returns on joint venture investments.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times we enter joint ventures or partnerships to acquire and develop properties. Such investments may involve risks not otherwise present with other methods of investment, including:</w:t>
      </w:r>
    </w:p>
    <w:p>
      <w:pPr>
        <w:spacing w:after="0" w:line="12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co-venturer, or partner in an investment could become insolvent or bankrupt;</w:t>
      </w:r>
    </w:p>
    <w:p>
      <w:pPr>
        <w:spacing w:after="0" w:line="18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co-venturer, or partner may at any time have economic or business interests or goals that are or that become inconsistent with our business interests or goals;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co-venturer, or partner may be in a position to take action contrary to our instructions, requests or our policies or objectives; or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disputes between us and our co-venturer, or partner, may result in litigation or arbitration that would increase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of the above might subject a property to liabilities in excess of those contemplated and thus reduce our returns on that investment.</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third parties to operate and to develop certain of our properties may harm our business.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some instances, we rely on third-party property managers and hotel operators to manage our properties. These third parties are directly responsible for the day-to-day operation of our properties with limited supervision by us, and they often have potentially significant decision-making authority with respect to those properties. These third parties may fail to manage our properties effectively or in accordance with their agreements with us, may be negligent in their performance and may engage in criminal or fraudulent activity. If any of these events occur, we could incur losses or face liabilities from the loss or injury to our property or to persons at our properties. In addition, disputes may arise between us and these third-party managers and operators, and we may incur significant expenses to resolve those disputes or terminate the relevant agreement with these third parties and locate and engage competent and cost-effective service providers to operate and manage the relevant properties.</w:t>
      </w:r>
    </w:p>
    <w:p>
      <w:pPr>
        <w:spacing w:after="0" w:line="1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are also parties to hotel management agreements. If any of these events occur, our relationships with any franchisors may be damaged, we may be in breach of our franchise agreement, and we could incur liabilities resulting from loss or injury to our property or to persons at our properties. From time to time, disputes may arise between us and our third-party managers regarding their performance or compliance with the terms of the hotel management agreements, which in turn could adversely affect us. If we are unable to resolve such disputes through discussions and negotiations, we may choose to terminate our management agreement, litigate the dispute or submit the matter to third-party dispute resolution, the expense of which may be material and the outcome of which may harm our business, operating results or prospects.</w:t>
      </w:r>
    </w:p>
    <w:p>
      <w:pPr>
        <w:spacing w:after="0" w:line="15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relevant tax laws, regulations, treaties, or an adverse interpretation of these items by tax authorities could adversely impact our effective tax rate and tax liability.</w:t>
      </w:r>
    </w:p>
    <w:p>
      <w:pPr>
        <w:spacing w:after="0" w:line="11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effective tax rate and tax liability is based on the application of current income tax laws, regulations and treaties. These laws, regulations and treaties are complex, and the manner which they apply to us and our funds is sometimes open to interpretation. Significant management judgment is required in determining our provision for income taxes, our deferred tax assets and liabilities and any valuation allowance recorded against our net deferred tax assets. Although management believes its application of current laws, regulations and treaties to be correct and sustainable upon examination by the tax authorities, the tax authorities could challenge our interpretation resulting in additional tax liability or adjustment to our income tax provision that could increase our effective tax rate. In particular, changes in legislation or regulation relating to opportunity zones could adversely affect our ability to form new opportunity zone funds or to acquire assets for our existing opportunity zone funds, thereby diminishing our ability to generate revenue from those activities.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exist between our Company and related parties.</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Conflicts of interest exist and may arise in the future as a result of the relationships between our Company and its affiliates and divisions and our officers, directors and owners, on the one hand, and our funds and its investors, on the other hand. We earn fees from our funds, including our carried interest which value is a direct result from the performance of our funds. There may be instances where the interests of our funds and the investors in such funds diverge from those of our Company which could result in conflicts of interest. In resolving these conflicts, our board of directors and executive officers have a fiduciary duty to our stockholders. In addition, as we operate as a fund manager through a wholly owned subsidiary, our Company has a fiduciary duty to investors in the funds we manage. Unless the resolution of a conflict is specifically provided for in the operating agreements of such funds, our board of directors may consider a wide range of factors they determine to be in good faith when resolving a conflict. An independent third party is not required to evaluate the resolution. As a result of the foregoing, there may be instances where any such conflicts are resolved in a manner which favors the interests of our funds and their investors over our stockholders.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activities may adversely affect the return on our funds’ investments.</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When managing our exposure to market risks, we may (on our own behalf or on behalf of our funds) from time to time use forward contracts, options, swaps, caps, collars and floors, or pursue other strategies or use other forms of derivative instruments to limit our exposure to changes in the relative values of investments that may result from market developments, including changes in prevailing interest rates, currency exchange rates and commodity prices. The success of any hedging or other derivative transactions generally will depend on our ability to correctly predict market changes, the degree of correlation between price movements of a derivative instrument, the position being hedged, the creditworthiness of the counterparty and other factors. As a result, while we may enter into a transaction in order to reduce our exposure to market risks, the transaction may result in poorer overall investment performance than if it had not been executed. Such transactions may also limit the opportunity for gain if the value of a hedged position increases.</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such hedging arrangements may reduce certain risks, such arrangements themselves may entail certain other risks. These arrangements may require the posting of cash collateral at a time when a fund has insufficient cash or illiquid assets such that the posting of the cash is either impossible or requires the sale of assets at prices that do not reflect their underlying value. Moreover, these hedging arrangements may generate significant transaction costs, including potential tax costs, that reduce the returns generated by a fund. Finally, the Commodity Futures Trading Commission (the “CFTC”) may in the future require certain foreign exchange products to be subject to mandatory clearing, which could increase the cost of entering into currency hedges.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real estate funds are subject to the risks inherent in the ownership, development, and operation of real estate.</w:t>
      </w:r>
    </w:p>
    <w:p>
      <w:pPr>
        <w:spacing w:after="0" w:line="20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Investments in our real estate funds will be subject to the risks inherent in the ownership and operation of real estate and real estate-related businesses and assets, including the deterioration of real estate fundamentals. These risks include, but are not limited to, those associated with the burdens of ownership of real property, general and local economic conditions, changes in supply of and demand for competing properties in an area (as a result, for instance, of overbuilding), fluctuations in the average occupancy and room rates for hotel properties, operating income, the financial resources of tenants, changes in building, environmental, zoning and other laws, casualty or condemnation losses, energy and supply shortages, various uninsured or uninsurable risks, natural disasters, climate change related risks (including climate-related transition risks and acute and chronic physical risks), changes in government regulations (such as rent control), changes in real property tax rates, changes in income tax rates, changes in interest rates, the reduced availability of mortgage funds which may render the sale or refinancing of properties difficult or impracticable, increased mortgage defaults, increases in borrowing rates, changes to the taxation of business entities and the deductibility of corporate interest expense, negative developments in the economy that depress travel activity, environmental liabilities, contingent liabilities on disposition of assets, acts of god, terrorist attacks, war and other factors that are beyond our control. In addition, if our real estate funds acquire direct or indirect interests in undeveloped land or underdeveloped real property, which may often be non-income producing, they will be subject to the risks normally associated with such assets and development activities, including risks relating to the availability and timely receipt of zoning and other regulatory or environmental approvals, the cost and timely completion of construction (including risks beyond the control of our fund, such as weather, labor conditions, or material shortages), and the availability of both construction and permanent financing with favorable terms. In addition, our real estate funds may also make investments in residential real estate projects and/or otherwise participate in financing opportunities relating to residential real estate assets or portfolios thereof from time to time, which may be more susceptible to adverse changes in prevailing economic and/or market conditions and present additional risks relative to the ownership and operation of commercial real estate assets.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 by our investment funds may rank junior to investments made by others.</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most cases, the companies in which our investment funds invest will have indebtedness or equity securities or may be permitted to incur indebtedness or to issue equity securities that rank senior to our investment. By their terms, such instruments may provide that their holders are entitled to receive payments of dividends, interest or principal on or before the dates on which payments are to be made in respect of our investment. Also, in the event of insolvency, liquidation, dissolution, reorganization or bankruptcy of a company in which an investment is made, holders of securities ranking senior to our investment would typically be entitled to receive payment in full before distributions could be made in respect of our investment. After repaying senior security holders, the company may not have any remaining assets to use for repaying amounts owed in respect of our investment. To the extent that any assets remain, holders of claims that rank equally with our investment would be entitled to share on an equal and ratable basis in distributions that are made out of those assets. Also, during periods of financial distress or following an insolvency, the ability of our investment funds to influence a company’s affairs and to take actions to protect their investments may be substantially less than that of the senior creditors.</w:t>
      </w:r>
    </w:p>
    <w:p>
      <w:pPr>
        <w:spacing w:after="0" w:line="144"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Rapid growth of our businesses may be difficult to sustain and may place significant demands on our administrative, operational, and financial resources.</w:t>
      </w:r>
    </w:p>
    <w:p>
      <w:pPr>
        <w:spacing w:after="0" w:line="11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assets under management have grown significantly in the past, and we are pursuing further growth in the near future, both organically and through acquisitions. Our rapid growth has placed, and planned growth, if successful, will continue to place, significant demands on our legal, accounting and operational infrastructure, and has increased expenses. The complexity of these demands, and the expense required to address them, is a function not simply of the amount by which our assets under management has grown, but of the growth in the variety and complexity of, as well as the differences in strategy between, our different funds. In addition, we are required to continuously develop our systems and infrastructure in response to the increasing sophistication of the investment management market and legal, accounting, regulatory, and tax developments.</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future growth will depend in part on our ability to maintain an operating platform and management system sufficient to address our growth and will require us to incur significant additional expenses and to commit additional senior management and operational resources.</w:t>
      </w:r>
    </w:p>
    <w:p>
      <w:pPr>
        <w:spacing w:after="0" w:line="117"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founders, senior professionals, and other key personnel, and our ability to retain them and attract additional qualified personnel is critical to our success and our growth prospects.</w:t>
      </w:r>
    </w:p>
    <w:p>
      <w:pPr>
        <w:spacing w:after="0" w:line="11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depend on the diligence, skill, judgment, business contacts and personal reputations of our founders, senior professionals and other key personnel. Our future success will depend upon our ability to attract and retain senior professionals and other personnel. Our executives have built highly regarded reputations in the alternative investment industry. Our executives attract business opportunities and assist both in negotiations with lenders and potential joint venture partners and in the representation of large and institutional clients. If we lost their services, our relationships with lenders, joint ventures, and clients would diminish significantly.</w:t>
      </w:r>
    </w:p>
    <w:p>
      <w:pPr>
        <w:spacing w:after="0" w:line="1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some of our officers have strong regional reputations, and they aid in attracting business, identifying opportunities, and negotiating for us and on behalf of our clients. As we continue to grow, our success will largely depend on our ability to attract and retain qualified personnel in all areas of business. We may be unable to continue to hire and retain a sufficient number of qualified personnel to support or keep pace with our planned growth.</w:t>
      </w:r>
    </w:p>
    <w:p>
      <w:pPr>
        <w:spacing w:after="0" w:line="13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into new investment strategies, geographic markets and businesses, each of which may result in additional risks and uncertainties in our businesses.</w:t>
      </w:r>
    </w:p>
    <w:p>
      <w:pPr>
        <w:spacing w:after="0" w:line="11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intend, if market conditions warrant, to grow our businesses by increasing assets under management in existing businesses and expanding into new investment strategies, geographic markets and businesses. We may pursue growth through acquisitions of critical business partners or other strategic initiatives, which may include entering into new lines of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Attempts to expand our businesses involve a number of special risks, including some or all of the following:</w:t>
      </w:r>
    </w:p>
    <w:p>
      <w:pPr>
        <w:spacing w:after="0" w:line="19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investment of capital and other resources;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our core businesses;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liabilities in any acquired business;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our ongoing businesses;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markets or lines of business in which we may have limited or no experience;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demands on our operational and management systems and controls;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additional regulatory requirements;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 in investor concentration; and</w:t>
      </w:r>
    </w:p>
    <w:p>
      <w:pPr>
        <w:spacing w:after="0" w:line="18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broadening of our geographic footprint, increasing the risks associated with conducting operations in certain jurisdictions where we currently have no experience.</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Entry into certain lines of business may subject us to new laws and regulations with which we are not familiar, or from which we are currently exempt, and may lead to increased litigation and regulatory risk. If a new business does not generate sufficient revenues or if we are unable to efficiently manage our expanded operations, our results of operations will be adversely affected. Our strategic initiatives may include joint ventures, in which case we will be subject to additional risks and uncertainties in that we may be dependent upon, and subject to liability, losses or reputational damage relating to systems, controls and personnel that are not under our control. Because we have not yet identified these potential new investment strategies, geographic markets or lines of business, we cannot identify all of the specific risks we may face and the potential adverse consequences on us and their investment that may result from any attempted expansion.</w:t>
      </w:r>
    </w:p>
    <w:p>
      <w:pPr>
        <w:spacing w:after="0" w:line="14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competing with companies in the asset management industry and alternative investment industries, some of which may have substantially greater resources than we do.</w:t>
      </w:r>
    </w:p>
    <w:p>
      <w:pPr>
        <w:spacing w:after="0" w:line="11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asset management industry and alternative investment industries are intensely competitive. We compete primarily on a regional, industry, and asset class basis.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face competition both in the pursuit of fund investors and investment opportunities. Generally, our competition varies across business lines, geographies, and financial markets. We compete for outside investors based on a variety of factors, including investment performance, investor perception of investment managers’ drive, focus and alignment of interest, quality of service provided to and duration of relationship with investors, business reputation, and the level of fees and expenses charged for services.</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compete for investment opportunities based on a variety of factors, including breadth of market coverage and relationships, access to capital, transaction execution skills, the range of products and services offered, innovation, and price.</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compete with real estate funds, specialized funds, hedge fund sponsors, financial institutions, private equity funds, corporate buyers, and other parties. Many of these competitors are substantially larger and have considerably greater financial, technical, and marketing resources than are available to us. Many of these competitors have similar investment objectives to ours, which may create additional competition for investment opportunities. Some of these competitors may also have a lower cost of capital and access to funding sources that are not available to us, which may create competitive disadvantages for us with respect to investment opportunities. In addition, some of these competitors may have higher risk tolerances, different risk assessments or lower return thresholds, which could allow them to consider a wider variety of investments and to bid more aggressively than us for investments that we want to make. Corporate buyers may be able to achieve synergistic cost savings with regard to an investment that may provide them with a competitive advantage in bidding for an investment.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and protect our intellectual property, or if third parties assert that we infringe their intellectual property rights, our business could suffer.</w:t>
      </w:r>
    </w:p>
    <w:p>
      <w:pPr>
        <w:spacing w:after="0" w:line="13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depends, in part, on our ability to identify and protect proprietary information and other intellectual property such as our client lists and information and business methods. We rely on a combination of trade secrets, confidentiality policies, non-disclosure and other contractual arrangements and copyright and trademark laws to protect our intellectual property rights. However, we may not adequately protect these rights, and their disclosure to, or use by, third parties may harm our competitive position. Our inability to detect unauthorized use of, or to take appropriate or timely steps to enforce, our intellectual property rights may harm our business.</w:t>
      </w:r>
    </w:p>
    <w:p>
      <w:pPr>
        <w:spacing w:after="0" w:line="14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Also, third parties may claim that our business operations infringe on their intellectual property rights. These claims may harm our reputation, cost us money to defend, distract the attention of our management and prevent us from offering some services.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Confidential intellectual property is increasingly stored or carried on mobile devices, such as laptop computers, which increases the risk of inadvertent disclosure where the mobile devices are lost or stolen and the information has not been adequately safeguarded or encrypted. This also makes it easier for someone with access to our systems, or someone who gains unauthorized access, to steal information and use it to our disadvantage. Advances in technology, which permit increasingly large amounts of information to be stored on mobile devices or on third-party “cloud” servers, may exacerbate these risks.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Security risks and attacks are common, increasing globally, and may result in significant liabilities.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and our internal corporate information technology systems have in the past been, and will in the future be, subject to cybersecurity-attacks, credential stuffing, account takeover attacks, denial or degradation of service attacks, phishing attacks, ransomware attacks, malicious software programs, supply chain attacks, and other cybersecurity security risks (collectively, “cybersecurity risks”). Further, we engage service providers to store and otherwise process some of our and our investor’s data, including sensitive and personal information, and these service providers are also targets of cybersecurity risks.</w:t>
      </w:r>
    </w:p>
    <w:p>
      <w:pPr>
        <w:spacing w:after="0" w:line="14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Cybersecurity risks have been increasing in frequency and sophistication globally and may be accompanied by demands for payment in exchange for resolution, restoration of functionality, or return of data. Sources of cybersecurity risks range from individuals to sophisticated organizations, including state-sponsored actors and organizations. These attackers use a wide variety of methods to exploit vulnerabilities and gain access to corporate assets, including networks, information, or credentials. The types and methods of cybersecurity risks are constantly evolving and becoming more complex, and we may not be able to detect, combat, or successfully defend against all cybersecurity risks. Attackers initiating cybersecurity risks may gain access to our corporate assets. Vulnerabilities in our infrastructure or the success of any cybersecurity attacker against us may not be discovered in a timely fashion or at all, and the impact may be exacerbated the longer they remain undetected. While we utilize security measures and architecture designed to protect the integrity of our business and corporate information technology environment, we remain subject to ongoing and evolving cybersecurity risks, and we anticipate that we will need to continue expending resources in an effort to protect against cybersecurity risks. There is a risk that we may not be able to deploy, allocate, or retain sufficient resources to keep pace with the persistent and evolving cybersecurity threat landscape.</w:t>
      </w:r>
    </w:p>
    <w:p>
      <w:pPr>
        <w:spacing w:after="0" w:line="16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Moreover, several of our employees work remotely, and many of our vendors and other third parties we engage utilize remote workers in various jurisdictions throughout the world, which may increase the risk of and susceptibility to cybersecurity risks. We cannot guarantee that remote work environments and electronic connections to our work environment and information technology systems have the same security profile as those deployed in our physical offices.</w:t>
      </w:r>
    </w:p>
    <w:p>
      <w:pPr>
        <w:spacing w:after="0" w:line="1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our ability to monitor the data security of our vendors is limited, and bad actors may successfully circumvent our vendors’ security measures, resulting in the unauthorized access to, or misuse, disclosure, loss, or destruction of our Company and/or our investor’s data. Any actual or perceived failure by us or our vendors to prevent or defend against cybersecurity risks, actual or perceived vulnerabilities or unauthorized access to corporate data or systems may lead to claims against us and may result in significant data loss, significant costs and liabilities, and could reduce our revenue, harm our reputation, and compromise our competitive position.</w:t>
      </w:r>
    </w:p>
    <w:p>
      <w:pPr>
        <w:spacing w:after="0" w:line="139"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sufficiently secure our business and services may result in unauthorized access to investor data, a negative impact on our investor attraction and retention, and significant liabilities.</w:t>
      </w:r>
    </w:p>
    <w:p>
      <w:pPr>
        <w:spacing w:after="0" w:line="13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business systems and services involve the storage, transmission, and processing of our Company and investors’ sensitive and proprietary information. Our failure to sufficiently secure our business and services may result in unauthorized access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investor data, a negative impact on our investor attraction and retention, and significant liabilities. Even if our security measures are appropriately engineered and implemented to secure our business and services against external risks, we may be subject to inadvertent disclosures because of inappropriate employee actions or system misconfigurations. Unauthorized use of or access to investor data could result in the loss and/or compromise of our or our investors’ sensitive information, which could lead to litigation, regulatory investigations and claims, indemnity obligations, reputational harm, and other liabilities.</w:t>
      </w:r>
    </w:p>
    <w:p>
      <w:pPr>
        <w:spacing w:after="0" w:line="1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agreements with third parties, including investors, contain contractual commitments related to our information security practices and data privacy compliance. If we experience an incident that triggers a breach of these contractual commitments, we could be exposed to significant liability or cancellation of service under these agreements. The damages payable to the counterparty could be substantial and create loss of business. There can be no assurance that any limitation of liability provisions in our contracts will be enforceable or adequate or will otherwise protect us from these liabilities or damages with respect to any claim.</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Many U.S. and foreign laws and regulations require companies to provide notice of data security breaches or incidents involving certain types of personal data. Security compromises experienced by competitors and others may lead to public disclosures, leading to widespread negative publicity. Such a security compromise in our industry, whether actual or perceived, could harm our reputation; erode investor confidence and negatively affect our ability to attract new investors; cause existing investors to divest, any or all of which could adversely affect our business and operating results. Even the perception of inadequate security may damage our reputation and negatively impact our ability to win new investors and retain existing investors.</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we could be required to expend significant capital and other resources to investigate and address any actual or suspected data security incident or breach. We cannot be sure that insurers will not deny coverage as to any claim, and some security breaches may be outside the scope of our coverage, including if they are considered force majeure events. Security breaches may result in increased costs for cybersecurity insurance and could have an adverse effect on our business, operating results, and financial condition.</w:t>
      </w:r>
    </w:p>
    <w:p>
      <w:pPr>
        <w:spacing w:after="0" w:line="149"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various cloud service providers operated by third parties, and any service outages, delays, or disruptions in these operations could harm our business and operating results.</w:t>
      </w:r>
    </w:p>
    <w:p>
      <w:pPr>
        <w:spacing w:after="0" w:line="11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our business we use various cloud service providers (“Cloud Providers”) operated by third parties. As a result, we are vulnerable to service interruptions, delays, and outages attributable to their platforms. Our Cloud Providers may experience events such as natural disasters, fires, power loss, telecommunications failures, or similar events. The systems, infrastructure, and services of our Cloud Providers may also be subject to human or software errors, viruses, cybersecurity risks, fraud, spikes in usage, break-ins, sabotage, acts of vandalism, acts of terrorism, and other misconduct. The occurrence of any of the foregoing events could result in lengthy interruptions or delays in and may impact us via service outages and noncompliance with our contractual obligations or business requirements.</w:t>
      </w:r>
    </w:p>
    <w:p>
      <w:pPr>
        <w:spacing w:after="0" w:line="1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we have experienced in the past, and may experience in the future, periodic interruptions, delays, and outages in service and availability with our Cloud Providers due to a variety of factors, including Internet connectivity failures, infrastructure changes, human or software errors, website hosting disruptions, and capacity constraints.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 over financial reporting in the future, investors may lose confidence in the accuracy and completeness of our financial reports and the market price of our Class A common stock may decline.</w:t>
      </w:r>
    </w:p>
    <w:p>
      <w:pPr>
        <w:spacing w:after="0" w:line="13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In addition, in the future, we will be required to furnish a report by management on the effectiveness of our internal control over financial reporting pursuant to Section 404(a) of the Sarbanes-Oxley Act beginning with our annual report on Form 10-K for the fiscal year ending December 31, 2024. We are in the process of designing, implementing, and testing our internal control over financial reporting required to comply with this obligation, which is time consuming, costly, and complicated. In addition, our independent registered public accounting firm may be required to attest to the effectiveness of our internal control over financial reporting beginning with our annual report on Form 10-K following the date on which we are no longer an “emerging growth company,” which may be up to five full years following the date of our initial public offering. If we identify material weaknesses in our internal control over financial reporting, if we are unable to comply with the requirements of Section 404 in a timely manner or assert that our internal control over financial reporting is not effective, or if our independent registered public accounting firm is unable to express an opinion as to the effectiveness of our internal control over financial reporting when required, investors may lose confidence in the accuracy and completeness of our financial reports and the market price of our Class A common stock could be negatively affected, and we could become subject to investigations by the stock exchange on which our securities are listed, the Securities and Exchange Commission, or other regulatory authorities, which could require additional financial and management resources.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8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consolidation of investment funds or operating businesses of our portfolio companies could make it more difficult to understand the operating performance of the Company and could create operational risks for the Company.</w:t>
      </w:r>
    </w:p>
    <w:p>
      <w:pPr>
        <w:spacing w:after="0" w:line="13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applicable generally accepted accounting principles in the United States of America (“U.S. GAAP”), we may be required to consolidate certain of our funds, limited liability companies, partnerships or operating businesses if we determine that these entities are variable interest entities (“VIEs”) and where we determine that the Company is the primary beneficiary of the VIE. The consolidation of such entities could make it difficult for an investor to differentiate the assets, liabilities, and results of operations of the Company apart from the assets, liabilities, and results of operations of the consolidated VIEs. The assets of the consolidated VIEs are not available to meet our liquidity requirements. As of December 31, 2024 and 2023, total assets of our consolidated VIEs reflected in our consolidated balance sheets were $53.3 million and $258.4 million, respectively, and as of December 31, 2024 and 2023, total liabilities of our consolidated VIEs reflected in our consolidated balance sheets were $33.1 million and $169.9 million, respectively.</w:t>
      </w:r>
    </w:p>
    <w:p>
      <w:pPr>
        <w:spacing w:after="0" w:line="14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have an exclusive forum for adjudication of disputes provision which limits the forum to the Delaware Court of Chancery for certain stockholder litigation matters actions against the Company, which may limit an investor’s ability to seek what they regard as a favorable judicial forum for disputes with the Company or its directors, officers, employees, or stockholders.</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Section 7.06(a) of Article VII of our Bylaws dictates that, unless we consent in writing to the selection of an alternative forum, the Delaware Court of Chancery (or, if the Delaware Court of Chancery does not have jurisdiction, the federal district court for the State of Delaware) is, to the fullest extent permitted by law, the sole and exclusive forum for certain actions including derivative action or proceeding brought on behalf of the Company; an action asserting a breach of fiduciary duty owed by an officer, director, employee or to the stockholders of the Company; any claim arising under Delaware corporate law, our amended and restated certificate of incorporation or our amended and restated bylaws; and any action asserting a claim governed by the internal affairs doctrine. Any person or entity purchasing or otherwise acquiring any interest in shares of capital stock of the Company shall be deemed to have notice of and consented to the provisions of Section 7.06 of Article VII of our Bylaws.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However, Section 7.06(a) of Article VII of our Bylaws will not apply to suits brought to enforce any liability or duty created by the Securities Exchange Act of 1934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Furthermore, unless the Company consents in writing to the selection of an alternative forum, the federal district courts of the United States of America will be the exclusive forum for the resolution of any complaint asserting a cause of action arising under the Securities Act of 1933, as amended (the “Securities Act”), or the rules and regulations promulgated thereunder. We note, however, that Section 22 of the Securities Act creates concurrent jurisdiction for federal and state courts over all suits brought to enforce any duty or liability created by the Securities Act or the rules and regulations thereunder. There is uncertainty as to whether a court would enforce this provision and that investors cannot waive compliance with the federal securities laws and the rules and regulations thereunder.</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Delaware corporation is allowed to mandate in its corporate governance documents a chosen forum for the resolution of state law-based stockholder class actions, derivative suits and other intra-corporate disputes. With respect to such state law claims, the Company’s management believes limiting state law-based claims to Delaware will provide the most appropriate outcomes as the risk of another forum misapplying Delaware law is avoided, Delaware courts have a well-developed body of case law and limiting the forum will preclude costly and duplicative litigation and avoids the risk of inconsistent outcomes. Additionally, Delaware Chancery Courts can typically resolve disputes on an accelerated schedule when compared to other forums.</w:t>
      </w:r>
    </w:p>
    <w:p>
      <w:pPr>
        <w:spacing w:after="0" w:line="14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choice of forum provisions contained in the Company’s Bylaws may limit a stockholder’s ability to bring a claim in a judicial forum that it finds favorable for disputes with the Company or any of its directors, officers, other employees or stockholders, which may discourage lawsuits with respect to such claims. Alternatively, the enforceability of similar choice of forum provisions in other issuers’ bylaws and certificates of incorporation has been challenged in legal proceedings, and it is possible that in connection with any applicable action brought against the Company, a court could find the choice of forum provisions contained in the Company’s Bylaws to be inapplicable or unenforceable in such action. As a result, the Company could incur additional costs associated with resolving such actions in other jurisdictions, which could harm the Company’s business, operating results and financial condition.</w:t>
      </w:r>
    </w:p>
    <w:p>
      <w:pPr>
        <w:spacing w:after="0" w:line="14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applicable restrictions could make it impractical for us to continue our businesses as conducted and could have a material adverse effect on our businesses.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entity will generally be deemed to be an “investment company” for purposes of the Investment Company Act if:</w:t>
      </w:r>
    </w:p>
    <w:p>
      <w:pPr>
        <w:spacing w:after="0" w:line="185" w:lineRule="exact"/>
        <w:rPr>
          <w:sz w:val="20"/>
          <w:szCs w:val="20"/>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or holds itself out as being engaged primarily, or proposes to engage primarily, in the business of investing, reinvesting or trading in securities; or</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absent an applicable exemption, it owns or proposes to acquire investment securities having a value exceeding 40% of the value of its total assets (exclusive of U.S. government securities and cash items) on an unconsolidated basis.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exemptions from the registration requirements of an investment company under the Investment Company Act are threefold: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parent company does not meet the asset test component of the definition of “investment company” under the Investment Company Act as summarized above;</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subsidiaries qualify under the exemption afforded by Section 3(c)(5)(C) of the Investment Company Act; and</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intermediate subsidiaries qualify under the exemption afforded by Section 3(c)(6) of the Investment Company Act.</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engaged primarily in the business of investing in and providing services for real estate and real estate-related assets and not primarily in the business of investing, reinvesting, or trading in securities. We hold ourselves out as a vertically integrated alternative asset management firm and do not propose to engage primarily in the business of investing, reinvesting or trading in securities. Accordingly, we do not believe that we are required to register as an investment company for purposes of the Investment Company Act. Furthermore, we have no material assets other than interests in certain wholly owned subsidiaries (within the meaning of the Investment Company Act), which in turn will have either direct interests in real estate assets or limited liability company member or limited partner partnership interests in affiliated funds. We do not believe that, based on current rules and interpretations, the equity interests in our wholly owned subsidiaries or the limited liability company member interests consolidated, or unconsolidated affiliated funds qualify as investment securities under the Investment Company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certain governance requirements. We intend to conduct our operations so that we will not be deemed to be an investment company under the Investment Company Act. If anything were to happen that would cause us to be deemed to be an investment company under the Investment Company Act, requirements imposed by the Investment Company Act, including limitations on capital structure, the ability to transact business with affiliates and the ability to compensate senior employees, could make it impractical for us to continue our businesses as currently conducted, impair the agreements and arrangements between and among us, our funds and our senior management, or any combination thereof, and have a material adverse effect on our businesses, financial condition and results of operations. In addition, we may be required to limit the amount of investments that we make as a principal or otherwise conduct our businesses in a manner that does not subject us to the registration and other requirements of the Investment Company Act.</w:t>
      </w:r>
    </w:p>
    <w:p>
      <w:pPr>
        <w:spacing w:after="0" w:line="16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Extensive regulation of our businesses affects our activities and creates the potential for significant liabilities and penalties. The possibility of increased regulatory focus could result in additional burdens on our business. Changes in tax law and other legislative or regulatory changes could adversely affect us.</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fund management and ancillary businesses are subject to extensive regulation. We are subject to regulation, including periodic examinations, by governmental and self-regulatory organizations in the jurisdictions in which we operate. Many of these regulators are empowered to conduct investigations and administrative proceedings that can result in fines, suspensions of personnel or other sanctions, including censure, the issuance of cease-and-desist orders or the suspension or expulsion of a broker-dealer or investment adviser from registration or membership. Even if an investigation or proceeding did not result in a sanction or the sanction imposed against us or our personnel by a regulator were small in monetary amount, the adverse publicity relating to the investigation, proceeding or imposition of these sanctions could harm our reputation and cause us to lose existing clients or fail to gain new fund management or financial advisory clients.</w:t>
      </w:r>
    </w:p>
    <w:p>
      <w:pPr>
        <w:spacing w:after="0" w:line="1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regularly rely on exemptions from various requirements of the Securities Act, the Exchange Act, the U.S. Investment Company Act of 1940, as amended, or the Investment Company Act, and the U.S. Employee Retirement Income Security Act of 1974, as amended, in conducting our fund management activities. These exemptions are sometimes highly complex and may in certain circumstances depend on compliance by third parties whom we do not control. If for any reason these exemptions were to become unavailable to us, we could become subject to regulatory action or third-party claims and our business could be materially and adversely affected. If we were deemed an “investment company” under the Investment Company Act, applicable restrictions could make it impractical for us to continue our business as conducted and could have a material adverse effect on our business.</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may be adversely affected by new or revised legislation or regulations imposed by governmental regulatory authorities or self-regulatory organizations that supervise the financial markets. We also may be adversely affected by changes in the interpretation or enforcement of existing laws and rules by these governmental authorities and self-regulatory organizations. It is impossible to determine the extent of the impact of any new laws, regulations or initiatives that may be proposed, or whether any of the proposals will become law. Compliance with any new laws or regulations could make compliance more difficult and expensive and affect the manner in which we conduct business.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Class A Common Stock</w:t>
      </w:r>
    </w:p>
    <w:p>
      <w:pPr>
        <w:spacing w:after="0" w:line="18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our executive officers, which will limit your ability to influence the outcome of important transactions.</w:t>
      </w:r>
    </w:p>
    <w:p>
      <w:pPr>
        <w:spacing w:after="0" w:line="13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Class B common stock has 10 votes per share and our Class A common stock has one vote per share. John C. Loeffler, II, our Chief Executive Officer, and Jennifer Schrader, our President and Chief Operating Officer, own all of our outstanding shares of Class B common stock. Together Mr. Loeffler and Ms. Schrader currently exercise approximately 84.5% voting control over the Company as of December 31, 2024. As a result, if they act together, these stockholders will be able to exercise significant influence over all matters submitted to our stockholders for approval, including the election of directors and approval of significant corporate transactions, such as (i) making changes to our articles of incorporation whether to issue additional common stock and preferred stock, (ii) employment decisions, including compensation arrangements; and (iii) whether to enter into material transactions with related parties. This control may adversely affect the market price of our Class A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a listing of our Class A common stock on Nasdaq.</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Class A common stock is listed on Nasdaq, and we must meet certain financial and liquidity criteria to maintain such listing. If we violate Nasdaq’s listing requirements, or if we fail to meet any of Nasdaq’s listing standards, our Class A common stock may be delisted. In addition, our board of directors may determine that the cost of maintaining our listing on a national securities exchange outweighs the benefits of such listing. A delisting of our Class A common stock from Nasdaq may materially impair our stockholders’ ability to buy and sell our Class A common stock and could have an adverse effect on the market price of, and the efficiency of the trading market for, our Class A common stock. The delisting of our Class A common stock could significantly impair our ability to raise capital and the value of your investment.</w:t>
      </w:r>
    </w:p>
    <w:p>
      <w:pPr>
        <w:spacing w:after="0" w:line="14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May 14, 2024, the Company received a notice from Nasdaq notifying the Company that, because the closing bid price for the Company’s Class A common stock had fallen below $1.00 per share for 30 consecutive business days, the Company no longer complies with the minimum bid price requirement for continued listing on the Nasdaq Capital Market under Rule 5550(a)(2) of Nasdaq Listing Rules. Nasdaq’s notice had no immediate effect on the listing of the Company’s Class A common stock on the Nasdaq Capital Market. The Company was provided an initial compliance period of 180 calendar days, or until November 11, 2024, to regain compliance with the minimum bid price requirement. The Company did not regain compliance with the minimum bid price requirement by November 11, 2024; however, on November 12, 2024, the Company received written notification from Nasdaq granting the Company’s request for a 180-day extension to regain compliance with Nasdaq Listing Rule 5550(a)(2). To regain compliance, the closing bid price of the Company’s Class A common stock must meet or exceed $1.00 per share for a minimum of 10 consecutive business days prior to May 12, 2025.</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has in the past and may in the future fluctuate substantially.</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market price of our Class A common stock has in the past and could in the future be extremely volatile. From the date of our initial public offering in May 2023 to March 3, 2025, the high and low prices of our common stock as quoted on the Nasdaq Capital Market was $13.00 and $0.37, respectively. The future market price of our common stock may be significantly affected by many risk factors listed in this section, and others beyond our control, including:</w:t>
      </w:r>
    </w:p>
    <w:p>
      <w:pPr>
        <w:spacing w:after="0" w:line="13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 including fluctuations in our quarterly and annual results;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conditions in our industry and the markets in which we operate or in the economy as a whole;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operations;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matters;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or our stockholders;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contractual lock-up agreements with our executive officers, directors and stockholders;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Class A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5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Class A common stock or rights to purchase Class A common stock, including pursuant to our equity incentive plans, could result in additional dilution of the percentage ownership of our stockholders and could cause the stock price of our Class A common stock to decline.</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future, we may sell Class A common stock, convertible securities or other equity securities in one or more transactions at prices and in a manner that we determine. We also expect to issue Class A common stock to employees, consultants, and directors pursuant to our equity incentive plans. If we sell common stock, convertible securities or other equity securities in subsequent transactions, or Class A common stock is issued pursuant to equity incentive plans, investors may be materially diluted. New investors in such subsequent transactions could gain rights, preferences and privileges senior to those of holders of our Class A common stock.</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public company, we are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3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 we may be unable to accurately report our operating results, meet our reporting obligations, or prevent fraud.</w:t>
      </w:r>
    </w:p>
    <w:p>
      <w:pPr>
        <w:spacing w:after="0" w:line="13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Section 404 of the Sarbanes-Oxley Act of 2002 requires that we include a report of management on our internal control over financial reporting in our annual report on Form 10-K, beginning with our annual report for the fiscal year ending December 31, 2024. In addition, once we cease to be an “emerging growth company” as such term is defined under the JOBS Act, our independent registered public accounting firm may be required to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of the Sarbanes-Oxley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of the Sarbanes-Oxley Act of 2002. Generally,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and harm our results of operations. Additionally, ineffective internal control over financial reporting could expose us to increased risk of fraud or misuse of corporate assets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us to potential delisting from the stock exchange on which we list, regulatory investigations, and civil or criminal sanctions.</w:t>
      </w:r>
    </w:p>
    <w:p>
      <w:pPr>
        <w:spacing w:after="0" w:line="19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Class A common stock less attractive to investors.</w:t>
      </w:r>
    </w:p>
    <w:p>
      <w:pPr>
        <w:spacing w:after="0" w:line="11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proxy statements and exemptions from the requirements of holding nonbinding advisory votes on executive compensation and stockholder approval of any golden parachute payments not previously approved. We could be an emerging growth company until 2028, although circumstances could cause us to lose that status earlier. We will remain an emerging growth company until the earlier of (i) the last day of the fiscal year (a) following the fifth anniversary of the completion of our initial public offering, (b) in which we have total annual gross revenue of at least $1.235 billion or (c) in which we are deemed to be a large accelerated filer, which requires the market value of our common stock that is held by non-affiliates to exceed $700.0 million as of the prior June 30th, and (ii) the date on which we have issued more than $1.0 billion in non-convertible debt during the prior three-year period.</w:t>
      </w:r>
    </w:p>
    <w:p>
      <w:pPr>
        <w:spacing w:after="0" w:line="1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avail ourselves of this exemption and, therefore, we are not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3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listing rules of Nasdaq and, as a result, can rely on exemptions from certain corporate governance requirements that provide protection to stockholders of other companies.</w:t>
      </w:r>
    </w:p>
    <w:p>
      <w:pPr>
        <w:spacing w:after="0" w:line="11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John C. Loeffler, II, our Chief Executive Officer, and Jennifer Schrader, our President and Chief Operating Officer, through ownership of all our outstanding shares of Class B common stock, control a majority of the voting power of our outstanding common stock. As a result, are a “controlled company” within the meaning of the corporate governance standards of Nasdaq. Under these rules, a company of which more than 50% of the voting power is held by an individual, group or another company is a “controlled company” but may elect not to comply with certain corporate governance requirements, including:</w:t>
      </w:r>
    </w:p>
    <w:p>
      <w:pPr>
        <w:spacing w:after="0" w:line="15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of Directors consist of “independent directors”;</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Although we do not intend to rely on the “controlled company” exemptions to Nasdaq’s corporate governance rules, we could elect to rely on these exemptions in the future. If we elected to rely on the “controlled company” exemptions, a majority of the members of our board of directors might not be independent directors, our nominating and corporate governance and compensation committees might not consist entirely of independent directors, and you would not have the same protection afforded to shareholders of companies that are subject to Nasdaq’s corporate governance rules.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13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spacing w:after="0" w:line="13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common stock, and we do not intend to pay dividends for the foreseeable future. Consequently, any gains from an investment in our Class A common stock will likely depend on whether the price of our Class A common stock increases.</w:t>
      </w:r>
    </w:p>
    <w:p>
      <w:pPr>
        <w:spacing w:after="0" w:line="11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4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and the voting control exercised by our founders could prevent a takeover that stockholders consider favorable and could also reduce the market price of our stock.</w:t>
      </w:r>
    </w:p>
    <w:p>
      <w:pPr>
        <w:spacing w:after="0" w:line="11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and our amended and restated bylaws contain provisions that could delay or prevent a change in control of our Company. These provisions could also make it more difficult for stockholders to elect directors and take other corporate actions. These provisions include:</w:t>
      </w:r>
    </w:p>
    <w:p>
      <w:pPr>
        <w:spacing w:after="0" w:line="135" w:lineRule="exact"/>
        <w:rPr>
          <w:sz w:val="20"/>
          <w:szCs w:val="20"/>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of directors to issue preferred stock with voting or other rights or preferences that could discourage a takeover attempt or delay changes in control;</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persons who may call special meetings of stockholders;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notification of stockholder nominations and proposals.</w:t>
      </w:r>
    </w:p>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the provisions of Section 203 of the Delaware General Corporate Law (“DGCL”) govern us. These provisions may prohibit large stockholders, in particular those owning 15% or more of our outstanding voting stock, from merging or combining with us for a certain period of time without the consent of our board of directors.</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and other provisions in our third amended and restated certificate of incorporation and our amended and restated bylaws and under Delaware law, together with the voting control possessed by our founders, could discourage potential takeover attempts, reduce the price investors might be willing to pay in the future for shares of our common stock and result in the market price of our common stock being lower than it would be without these provisions.</w:t>
      </w:r>
    </w:p>
    <w:p>
      <w:pPr>
        <w:spacing w:after="0" w:line="13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3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and amended and restated bylaws provide that we will indemnify our directors and officers, in each case to the fullest extent permitted by Delaware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DGCL, our amended and restated bylaws and our indemnification agreements that we have entered into with our directors and officers provide that:</w:t>
      </w:r>
    </w:p>
    <w:p>
      <w:pPr>
        <w:spacing w:after="0" w:line="135" w:lineRule="exact"/>
        <w:rPr>
          <w:sz w:val="20"/>
          <w:szCs w:val="20"/>
          <w:color w:val="auto"/>
        </w:rPr>
      </w:pPr>
    </w:p>
    <w:p>
      <w:pPr>
        <w:jc w:val="both"/>
        <w:ind w:left="6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3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8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1B. Unresolved Staff Comments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1C. Cybersecurity</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Companies utilizing technology are subject to threats to or failures of any or all aspects of their cybersecurity programs, collectively cybersecurity risks. We take a comprehensive approach to cybersecurity risk management and take securing customer, employee and other data entrusted to us seriously. We have established standards, policies, procedures and practices for assessment, identification, and effective management of material cybersecurity risks. We devote significant resources to implement and maintain security measures appropriate to regulatory requirements and customer expectations, and we will continue making appropriate investments to maintain the security of our data.</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can provide no guarantee that our cybersecurity program, policies, and procedures will be completely effective in every instance, especially when it comes to the constantly evolving nature of cybersecurity threats. Our Risk Factors include further detail about the cybersecurity risks we face on an ongoing basis. We believe that risks from prior cybersecurity threats, including previous cybersecurity incidents, have not materially affected our business to date. We can provide no assurance that there will not be cybersecurity incidents in the future or that they will not materially affect us, including our business strategy, results of operations, or financial condition.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approach for assessing, identifying, and managing material risks from cybersecurity threats are integrated into our overall risk management strategy and are based on commonly accepted frameworks established by the International Organization for Standardization (“ISO”), the National Institute of Standards and Technology (“NIST”), and other applicable industry standards. Our cybersecurity program focuses on the following key areas: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Cybersecurity risks are identified and addressed comprehensively in a cross-functional approach. Key security, risk, and compliance stakeholders meet regularly to develop strategies for preserving the confidentiality, integrity and availability of Company and customer information. We have controls and procedures in place to ensure prompt escalation of certain cybersecurity incidents so that decisions regarding public disclosure and reporting of such incidents can be made by management and the Board in a timely manner.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Assessment</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monitor and assess cybersecurity risks using the same cross-functional approach and since our cybersecurity program relies on certain third parties, these third parties are included in the assessment of cybersecurity risks. This approach drives alignment on the prioritization of initiatives to maintain our security controls.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Technical Safeguards</w:t>
      </w:r>
    </w:p>
    <w:p>
      <w:pPr>
        <w:spacing w:after="0" w:line="20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deploy technical safeguards designed to protect our information systems from cybersecurity threats. Such safeguards are regularly evaluated, adjusted and improved based on vulnerability assessments, cybersecurity threat intelligence and incident response experience.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Incident Response and Recovery Planning</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maintain appropriate incident response and recovery plans and periodically perform tests to evaluate the effectiveness of these plans. Our incident response and recovery plans include guidance to our employees, management, and the Board on response to cybersecurity incidents.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Risk Management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appropriate controls designed to identify and mitigate cybersecurity risks associated with the use of third-party service providers. Such providers are subject to security risk assessments at the time of onboarding, contract renewal, and upon detection of an increase in risk profile. We require our providers to meet appropriate security requirements, and we investigate security incidents that have impacted our third-party providers, as appropriate.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Education and Awareness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Employees are regularly reminded of the importance of handling and protecting customer and Company data. Employees receive appropriate policies and annual privacy and security training to enhance awareness and reinforce desired behaviors.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Assessments</w:t>
      </w:r>
    </w:p>
    <w:p>
      <w:pPr>
        <w:spacing w:after="0" w:line="18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Our cybersecurity policies, standards, processes and practices are regularly assessed by third-party business partners, consultants and cybersecurity information technology consultants.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Vulnerability Assessments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use third-party consultants who specialize in identifying and validating potential cybersecurity vulnerabilities to test our systems, networks, and applications. These may include penetration testing exercises to simulate real-world attack scenarios.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Expertise from Business Partners</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utilize business partners who possess deep cybersecurity expertise. They contribute to risk assessments, help refine our security architecture, and provide valuable insights into industry best practices.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Oversight</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through the Audit Committee, has oversight of our cybersecurity risk management program. The Audit Committee receives regular updates from management on cybersecurity risks and progress of risk reduction initiatives, and from external auditor feedback and relevant business partners.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Chief Operating Officer, who serves as the Company’s designated chief information security officer (“CISO”) and our Director of Technology have primary responsibility for managing the Company’s cybersecurity program on an ongoing basis.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Director of Technology has served in various roles in information technology and information security for over 15 years. He holds an undergraduate degree in Computer Science. Our Chief Operating Officer and designated CISO has served in various roles in information technology and information security for over 20 years, including serving as the Chief Information Security Officer and/or Chief Security Officer at other publicly traded technology companies.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2. Properties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in Scottsdale, Arizona, where we own our headquarters office building. We also lease office space in Bryan, Texas. We consider these facilities to be suitable and adequate for the management and operation of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3. Legal Proceedings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4. Mine Safety Disclosures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PART 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5. Market for Registrant's Common Equity, Related Stockholder Matters and Issuer Purchases of Equity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CaliberCos Inc. Class A common stock trades on the Nasdaq Capital Market under the symbol “CWD”.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27, 2025, there were 1,506 holders of record of our Class A common stock and three holders of record of our Class B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does not include the number of stockholders that hold shares in “street name” through brokers and other nominees.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Class A common stock. We currently intend to retain all of our future earnings, if any, to finance the growth and development of our business. In addition, the terms of any future debt agreements may preclude us from paying dividends. As a result, capital appreciation, if any, of our shares of Class A common stock will be your sole source of gain for the foreseeable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w:t>
      </w:r>
      <w:r>
        <w:rPr>
          <w:rFonts w:ascii="Times New Roman" w:cs="Times New Roman" w:eastAsia="Times New Roman" w:hAnsi="Times New Roman"/>
          <w:sz w:val="18"/>
          <w:szCs w:val="18"/>
          <w:color w:val="auto"/>
        </w:rPr>
        <w: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issued 204,495 shares of Class A common stock with an aggregate fair value of approximately $0.2 million issued under a consulting agreement. The issuance of shares of Class A common stock were deemed to be exempt from registration under the Securities Act of 1933, as amended (the "Securities Act") in reliance upon Section 4(a)(2) of the Securities Act. A legend restricting the sale, transfer, or other disposition of the shares of restricted Class A common stock other than in compliance with the Securities Act was placed on the shares of restricted Class A common stock issued in the foregoing transaction.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7. Management's Discussion and Analysis of Financial Condition and Results of Operations</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thereto included elsewhere in this Annual Report on Form 10-K. In addition to historical information, this discussion and analysis contains forward-looking statements that involve risks, uncertainties and assumptions. Our actual results may differ materially from these forward-looking statements as a result of certain factors. For a complete discussion of such risk factors, see the section in this report entitled “Risk Factors”.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Over the past 15 years, Caliber has grown into a leading diversified alternative asset management firm, with more than $2.9 billion in assets under management (“AUM”) and assets under development (“AUD”). Caliber’s primary goal is to enhance the wealth of accredited investors seeking to make investments in middle-market assets. We strive to build wealth for our clients by creating, managing, and servicing middle-market investment funds, private syndications, and direct investments. Through our funds, we invest primarily in real estate, private equity, and debt facilities. We market and fundraise to direct channels and to wholesale channels.</w:t>
      </w:r>
    </w:p>
    <w:p>
      <w:pPr>
        <w:spacing w:after="0" w:line="1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we provide investors attractive risk-adjusted returns by offering a balance of (i) structured offerings and ease of ownership, (ii) a pipeline of investment opportunities, primarily projects that range in value between $5.0 million and $50.0 million, and (iii) an integrated execution and processing platform. Our investment strategy leverages the local market intelligence and real-time data we gain from our operations to evaluate current investments, generate proprietary transaction flow, and implement various asset management strategies.</w:t>
      </w:r>
    </w:p>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alternative asset manager, we offer a full suite of support services and employ a vertically integrated approach to investment management. Our asset management activities are complemented with transaction and advisory services including development and construction management, acquisition and disposition expertise, and fund formation, which we believe differentiate us from other asset management firms. We earn the following fees from providing these services under our asset management platform (the “Platform”):</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Revenues</w:t>
      </w:r>
    </w:p>
    <w:p>
      <w:pPr>
        <w:spacing w:after="0" w:line="202" w:lineRule="exact"/>
        <w:rPr>
          <w:sz w:val="20"/>
          <w:szCs w:val="20"/>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&amp; Offering (“O&amp;O”) fees include fund set-up fees and are a one-time fee earned during the initial formation, administration, and set-up of fund products we distribute and manage. These fees are recognized at the point in time when the performance under the contract is complete.</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(as defined in </w:t>
      </w:r>
      <w:r>
        <w:rPr>
          <w:rFonts w:ascii="Times New Roman" w:cs="Times New Roman" w:eastAsia="Times New Roman" w:hAnsi="Times New Roman"/>
          <w:sz w:val="18"/>
          <w:szCs w:val="18"/>
          <w:b w:val="1"/>
          <w:bCs w:val="1"/>
          <w:color w:val="auto"/>
        </w:rPr>
        <w:t>Note 3 – VIEs</w:t>
      </w:r>
      <w:r>
        <w:rPr>
          <w:rFonts w:ascii="Times New Roman" w:cs="Times New Roman" w:eastAsia="Times New Roman" w:hAnsi="Times New Roman"/>
          <w:sz w:val="18"/>
          <w:szCs w:val="18"/>
          <w:color w:val="auto"/>
        </w:rPr>
        <w:t>), the Company earns a fund management fee of 0.7% of the Caliber Hospitality Trust’s enterprise value and is reimbursed for certain costs incurred on behalf of the Caliber Hospitality Trust.</w:t>
      </w:r>
    </w:p>
    <w:p>
      <w:pPr>
        <w:spacing w:after="0" w:line="14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guaranteeing certain loans, representing a performance obligation that the Company satisfies over time.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development revenues are generally based on two fee-based contracts, not to exceed 6%. The first, a real estate development contract that provides for up to 4.0% of the total expected costs of the development and is paid for services performed by Caliber Development, LLC as the principal developer of Caliber projects. These services may include obtaining new entitlements or zoning changes and managing and supervising third-party developers. The second, a construction management contract that provides for up to 4.0% of the total expected costs of the construction project for services provided managing general contractors with respect to the construction of the properties owned by the funds.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construction management fee revenue is recognized over time as the performance obligations are satisfied.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fees are earned at a point in time at fixed rates for services performed related to acquisitions, dispositions, leasing, and financing transactions.</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 Allocations</w:t>
      </w:r>
    </w:p>
    <w:p>
      <w:pPr>
        <w:spacing w:after="0" w:line="189" w:lineRule="exact"/>
        <w:rPr>
          <w:sz w:val="20"/>
          <w:szCs w:val="20"/>
          <w:color w:val="auto"/>
        </w:rPr>
      </w:pPr>
    </w:p>
    <w:p>
      <w:pPr>
        <w:jc w:val="both"/>
        <w:ind w:left="660" w:hanging="328"/>
        <w:spacing w:after="0" w:line="254"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w:t>
      </w:r>
    </w:p>
    <w:p>
      <w:pPr>
        <w:spacing w:after="0" w:line="1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Historically, the Company’s operations were organized into three reportable segments: fund management, development, and brokerage. During the year ended December 31, 2023, the Company reevaluated its reportable segments, considering (i) the evolution of the Company after closing its initial public offering and how the Company’s chief operating decision maker (“CODM”), the Company’s Chief Executive Officer, John C. Loeffler, assesses performance and allocates resources, (ii) changes to the budgeting process and in key personnel driven by the Company’s growth initiatives, and (iii) how management reports ongoing company performance to the Board of Directors. With the evolution and growth of the Company, the Company’s CODM assesses performance and resource allocation on an aggregate basis under the Company’s asset management Platform, and no longer reviews operating results for development or brokerage activity separately. As such, management concluded that the Company operates through one operating segment.</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CODM assesses revenue, operating expenses and key operating statistics to evaluate performance and allocate resources on a basis that eliminates the impact of the consolidated investment funds (intercompany eliminations required by U.S. GAAP) and noncontrolling interests. Management concluded that the consolidated investment funds do not meet the requirements in ASC 280, Segment Reporting, of operating segments, as the Company’s CODM does not review the operating results of these investment funds for the purposes of allocating resources, assessing performance or determining whether additional investments or advances will be made to these funds. The investment funds are consolidated based on the requirement in ASC 810, Consolidation, as the Company was determined to be the primary beneficiary of each of these variable interest entities since it has the power to direct the activities of the entities and the right to absorb losses, generally in the form of guarantees of indebtedness that are significant to the individual investment funds.</w:t>
      </w:r>
    </w:p>
    <w:p>
      <w:pPr>
        <w:spacing w:after="0" w:line="1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Caliber was originally founded as Caliber Companies, LLC, an Arizona limited liability company, organized under the laws of Arizona, and commenced operations in January 2009. In November 2014, the Company was reorganized as a Nevada corporation and in June 2018, we reincorporated in the state of Delaware. On our website we make available, free of charge, information about the Company and its’ investments. None of the information on our website is deemed to be part of this report.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business is driven by trends which affect the following:</w:t>
      </w:r>
    </w:p>
    <w:p>
      <w:pPr>
        <w:spacing w:after="0" w:line="181" w:lineRule="exact"/>
        <w:rPr>
          <w:sz w:val="20"/>
          <w:szCs w:val="20"/>
          <w:color w:val="auto"/>
        </w:rPr>
      </w:pPr>
    </w:p>
    <w:p>
      <w:pPr>
        <w:jc w:val="both"/>
        <w:ind w:left="660" w:hanging="328"/>
        <w:spacing w:after="0" w:line="268"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Capital formation: </w:t>
      </w:r>
      <w:r>
        <w:rPr>
          <w:rFonts w:ascii="Times New Roman" w:cs="Times New Roman" w:eastAsia="Times New Roman" w:hAnsi="Times New Roman"/>
          <w:sz w:val="18"/>
          <w:szCs w:val="18"/>
          <w:color w:val="auto"/>
        </w:rPr>
        <w:t>any trend which increases or decreases investors’ knowledge of alternative investments, desire to acquire them, access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them, and knowledge and appreciation of Caliber as a potential provider, will affect our ability to attract and raise new capital. Capital formation also drives investment acquisitions, which contribute to Caliber’s revenues.</w:t>
      </w:r>
    </w:p>
    <w:p>
      <w:pPr>
        <w:spacing w:after="0" w:line="13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acquisition: </w:t>
      </w:r>
      <w:r>
        <w:rPr>
          <w:rFonts w:ascii="Times New Roman" w:cs="Times New Roman" w:eastAsia="Times New Roman" w:hAnsi="Times New Roman"/>
          <w:sz w:val="18"/>
          <w:szCs w:val="18"/>
          <w:color w:val="auto"/>
        </w:rPr>
        <w:t>any trend which increases or decreases the supply of middle-market real estate projects or loans, the accessibility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developments or development incentives, or enhances or detracts from Caliber’s ability to access those projects will affect our ability to generate revenue. Coincidentally, investment acquisitions, or the rights to acquire an investment, drive capital formation – creating a flywheel effect for Caliber.</w:t>
      </w:r>
    </w:p>
    <w:p>
      <w:pPr>
        <w:spacing w:after="0" w:line="149" w:lineRule="exact"/>
        <w:rPr>
          <w:rFonts w:ascii="Times New Roman" w:cs="Times New Roman" w:eastAsia="Times New Roman" w:hAnsi="Times New Roman"/>
          <w:sz w:val="18"/>
          <w:szCs w:val="18"/>
          <w:color w:val="auto"/>
        </w:rPr>
      </w:pPr>
    </w:p>
    <w:p>
      <w:pPr>
        <w:ind w:left="660" w:hanging="328"/>
        <w:spacing w:after="0" w:line="286"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Project execution: </w:t>
      </w:r>
      <w:r>
        <w:rPr>
          <w:rFonts w:ascii="Times New Roman" w:cs="Times New Roman" w:eastAsia="Times New Roman" w:hAnsi="Times New Roman"/>
          <w:sz w:val="18"/>
          <w:szCs w:val="18"/>
          <w:color w:val="auto"/>
        </w:rPr>
        <w:t>any trend which increases or decreases the costs of execution on a real estate project, including materials pricing,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pricing, access to materials, delays due to governmental action, and the general labor market, will affect Caliber’s ability to generate revenues.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depends in large part on our ability to raise capital for our funds from investors. Since our inception, we have continued to successfully raise capital into our funds with our total capital raised through December 31, 2024 of $742.8 million. Our success at raising new capital into our funds is impacted by the extent to which new investors see alternative assets as a viable option for capital appreciation and/or income generation. Since our ability to raise new capital into our funds is dependent upon the availability and willingness of investors to direct their investment dollars into our products, our financial performance is sensitive in part to changes in overall economic conditions that affect investment behaviors. The demand from investors is dependent upon the type of asset, the type of return it will generate (current cash flow, long-term capital gains, or both) and the actual return earned by our fund investors relative to other comparable or substitute products. General economic factors and conditions, including the general interest rate environment and unemployment rates, may affect an investor’s ability and desire to invest in real estate. For example, a significant interest rate increase could cause a projected rate of return to be insufficient after considering other risk exposures. Additionally, if weakness in the economy emerges and actual or expected default rates increase, investors in our funds may delay or reduce their investments; however, we believe our approach to investing and the capabilities that Caliber manages throughout the deal cycle will continue to offer an attractive value proposition to investors.</w:t>
      </w:r>
    </w:p>
    <w:p>
      <w:pPr>
        <w:spacing w:after="0" w:line="16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2023, the United States of America’s House of Representatives unanimously approved legislation that would increase the number of investors who can participate in private offerings of securities by expanding the accredited investor criteria. The Fair Investment Opportunities for Professional Experts Act would expand the definition of accredited investor to include people with certain licenses, education or professional experience. The Accredited Investor Definition Review Act would give the SEC discretion to determine the certifications, designations or credentials investors must possess to be accredited and directs the SEC to review the accredited investor definition every five years. We believe these government actions will increase the size of our potential investor base significantly, however we cannot yet assess the number of newly accredited investors that would have the ability or interest to invest in a Caliber fund.</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we have had historical successes, there can be no assurance that fundraising for our new and existing funds will experience similar success. If we were unable to raise such capital, we would be unable to deploy such capital into investments, which would materially reduce our revenues and cash flow and adversely affect our financial condition.</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remain confident about our ability to find, identify, and source new investment opportunities that meet the requirements and return profile of our investment funds despite headwinds associated with increased asset valuations, competition and increased overall cost of credit. We continue to identify strategic acquisitions on off-market terms and anticipate that this trend will continue. We are at a point in our investment cycle where some of our funds have begun to exit significant parts of their portfolios while other are approaching a potential harvesting phase. We have complemented these cycles with other newer funds that will maintain management fees while providing continued sources of activity.</w:t>
      </w:r>
    </w:p>
    <w:p>
      <w:pPr>
        <w:spacing w:after="0" w:line="1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Acquiring new assets includes being able to negotiate favorable loans on both a short and long-term basis. We strive to forecast and project our returns using assumptions about, among other things, the types of loans that we might expect the market to extend for a particular type of asset. This becomes more complex when the asset also requires construction financing. We may also need to refinance existing loans that are due to mature. Factors that affect these arrangements include the interest rate and economic environment, the estimated fair value of real property, and the profitability of the asset’s historical operations. These capital market conditions may affect the renewal or replacement of our credit agreements, some of which have maturity dates occurring within the next 12 months. Obtaining such financing is not guaranteed and is largely dependent on market conditions and other factors.</w:t>
      </w:r>
    </w:p>
    <w:p>
      <w:pPr>
        <w:spacing w:after="0" w:line="14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advancement of real estate investment-oriented technology, sometimes referred to as “proptech”, offers Caliber the benefit of new and innovative technologies to better execute on capital formation strategies, investment acquisition strategies, and investment management strategies. In recent years, Caliber has added to its technology stack with systems that we believe lead the market in their specific ability to enhance execution on our projects. Several of these technologies seek to incorporate investments in artificial intelligence, which we believe will be a prevailing trend in helping Caliber to enhance its project execution going forward.</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Regional conflicts and instability, such as those in Israel and Ukraine, can have significant impacts on global markets and economies and investor perception and tolerance for risk. These conflicts could lead to increased volatility in financial markets, disrupt supply chains, and change investor appetite for investments in alternative assets.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8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Global markets are experiencing significant volatility driven by concerns over inflation, elevated interest rates, slowing economic growth and geopolitical uncertainty. The annual inflation rate in the United States increased to 9.1% in June 2022,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highest rate since November 1981, but decreased to 2.9% in December 2024. As a result, from January 1, 2022 through September 18, 2024, the Federal Reserve increased the federal funds rate by 525 basis points. Subsequently, the Federal Reserve decreased the federal funds rate by 50 basis points in September 2024, by 25 basis points in November 2024 and by 25 basis points in December 2024, resulting in a target rate range of 4.25% to 4.50% at December 31, 2024. The rising interest rates, coupled with periods of significant equity and credit market volatility may potentially make it more difficult for us to find attractive opportunities for our funds to exit and realize value from their existing investments. Historically, inflation has tended to favor new capital formation for Caliber’s funds, as investors seek opportunities that can hedge against rising costs, such as real estate investments. In addition, the increase in interest rates has put pressure on owners of existing real estate to sell assets as their loans mature. Combined with a shrinking pool of buyers, the commercial and residential real estate markets in our favored geographies are moving away from a seller’s market and closer to a buyer’s market. It remains to be seen if a stressed or distressed market may emerge, similar to Caliber’s early years of operations. In both a buyer’s market and a stressed or distressed market, Caliber expects its business model to outperform, as our direct access to investor capital and our ability to invest in a variety of asset classes allows Caliber to move with the market and take advantage of potentially attractive prices. For project execution, inflation has increased the cost of nearly all building materials and labor types, increasing the cost of construction and renovation of our funds’ assets.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 and Indicators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key financial measures are discussed in the following pages. Additional information regarding these key financial measures and our other significant accounting policies can be found in Note 2 – Summary of Significant Accounting Policies in the notes to our accompanying consolidated financial statements included herein.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Total Revenue</w:t>
      </w:r>
    </w:p>
    <w:p>
      <w:pPr>
        <w:spacing w:after="0" w:line="20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generate the majority of our revenue in the form of asset management revenues and performance allocations. Included within our consolidated results are the related revenues of certain consolidated VIEs.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Total Expenses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expenses include operating costs, general and administrative, marketing and advertising and depreciation and amortization. Included within our consolidated results are the related expenses of consolidated VIEs.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(expenses) include interest expense and interest income.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Consolidated Results of Operations for the Years Ended December 31, 2024 and 2023</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consolidated results of operations are impacted by the timing of consolidation, deconsolidation, and operating performance of our consolidated and previously consolidated funds. Periods presented may not be comparable due to the consolidation or deconsolidation certain funds. In particular, the Company deconsolidated Caliber Hospitality, LP, the Caliber Hospitality Trust, and their consolidated subsidiaries, Elliot, DT Mesa, and Caliber Fixed Income Fund III, during the year ended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December 31, 2024. The following table and discussion provide insight into our consolidated results of operations for the years ended December 31, 2024 and 2023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474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top w:val="single" w:sz="8" w:color="auto"/>
            </w:tcBorders>
            <w:shd w:val="clear" w:color="auto" w:fill="CCEDFF"/>
          </w:tcPr>
          <w:p>
            <w:pPr>
              <w:spacing w:after="0"/>
              <w:rPr>
                <w:sz w:val="18"/>
                <w:szCs w:val="18"/>
                <w:color w:val="auto"/>
              </w:rPr>
            </w:pPr>
          </w:p>
        </w:tc>
        <w:tc>
          <w:tcPr>
            <w:tcW w:w="122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360" w:type="dxa"/>
            <w:vAlign w:val="bottom"/>
            <w:tcBorders>
              <w:top w:val="single" w:sz="8" w:color="auto"/>
            </w:tcBorders>
            <w:shd w:val="clear" w:color="auto" w:fill="CCEDFF"/>
          </w:tcPr>
          <w:p>
            <w:pPr>
              <w:spacing w:after="0"/>
              <w:rPr>
                <w:sz w:val="18"/>
                <w:szCs w:val="18"/>
                <w:color w:val="auto"/>
              </w:rPr>
            </w:pPr>
          </w:p>
        </w:tc>
        <w:tc>
          <w:tcPr>
            <w:tcW w:w="1240" w:type="dxa"/>
            <w:vAlign w:val="bottom"/>
            <w:tcBorders>
              <w:top w:val="single" w:sz="8" w:color="auto"/>
            </w:tcBorders>
            <w:shd w:val="clear" w:color="auto" w:fill="CCEDFF"/>
          </w:tcPr>
          <w:p>
            <w:pPr>
              <w:spacing w:after="0"/>
              <w:rPr>
                <w:sz w:val="18"/>
                <w:szCs w:val="18"/>
                <w:color w:val="auto"/>
              </w:rPr>
            </w:pPr>
          </w:p>
        </w:tc>
        <w:tc>
          <w:tcPr>
            <w:tcW w:w="120" w:type="dxa"/>
            <w:vAlign w:val="bottom"/>
            <w:tcBorders>
              <w:top w:val="single" w:sz="8" w:color="CCEDFF"/>
            </w:tcBorders>
            <w:shd w:val="clear" w:color="auto" w:fill="CCEDFF"/>
          </w:tcPr>
          <w:p>
            <w:pPr>
              <w:spacing w:after="0"/>
              <w:rPr>
                <w:sz w:val="18"/>
                <w:szCs w:val="18"/>
                <w:color w:val="auto"/>
              </w:rPr>
            </w:pPr>
          </w:p>
        </w:tc>
        <w:tc>
          <w:tcPr>
            <w:tcW w:w="220" w:type="dxa"/>
            <w:vAlign w:val="bottom"/>
            <w:tcBorders>
              <w:top w:val="single" w:sz="8" w:color="auto"/>
            </w:tcBorders>
            <w:shd w:val="clear" w:color="auto" w:fill="CCEDFF"/>
          </w:tcPr>
          <w:p>
            <w:pPr>
              <w:spacing w:after="0"/>
              <w:rPr>
                <w:sz w:val="18"/>
                <w:szCs w:val="18"/>
                <w:color w:val="auto"/>
              </w:rPr>
            </w:pPr>
          </w:p>
        </w:tc>
        <w:tc>
          <w:tcPr>
            <w:tcW w:w="116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1540" w:type="dxa"/>
            <w:vAlign w:val="bottom"/>
            <w:tcBorders>
              <w:top w:val="single" w:sz="8" w:color="auto"/>
            </w:tcBorders>
            <w:shd w:val="clear" w:color="auto" w:fill="CCEDFF"/>
          </w:tcPr>
          <w:p>
            <w:pPr>
              <w:spacing w:after="0"/>
              <w:rPr>
                <w:sz w:val="18"/>
                <w:szCs w:val="18"/>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16,879</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59.7 %</w:t>
            </w:r>
          </w:p>
        </w:tc>
      </w:tr>
      <w:tr>
        <w:trPr>
          <w:trHeight w:val="230"/>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360" w:type="dxa"/>
            <w:vAlign w:val="bottom"/>
            <w:shd w:val="clear" w:color="auto" w:fill="CCEDFF"/>
          </w:tcPr>
          <w:p>
            <w:pPr>
              <w:spacing w:after="0"/>
              <w:rPr>
                <w:sz w:val="19"/>
                <w:szCs w:val="19"/>
                <w:color w:val="auto"/>
              </w:rPr>
            </w:pP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shd w:val="clear" w:color="auto" w:fill="CCEDFF"/>
          </w:tcPr>
          <w:p>
            <w:pPr>
              <w:spacing w:after="0"/>
              <w:rPr>
                <w:sz w:val="19"/>
                <w:szCs w:val="19"/>
                <w:color w:val="auto"/>
              </w:rPr>
            </w:pPr>
          </w:p>
        </w:tc>
        <w:tc>
          <w:tcPr>
            <w:tcW w:w="360" w:type="dxa"/>
            <w:vAlign w:val="bottom"/>
            <w:shd w:val="clear" w:color="auto" w:fill="CCEDFF"/>
          </w:tcPr>
          <w:p>
            <w:pPr>
              <w:spacing w:after="0"/>
              <w:rPr>
                <w:sz w:val="19"/>
                <w:szCs w:val="19"/>
                <w:color w:val="auto"/>
              </w:rPr>
            </w:pPr>
          </w:p>
        </w:tc>
        <w:tc>
          <w:tcPr>
            <w:tcW w:w="12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2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revenues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(42,429)</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9"/>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revenues</w:t>
            </w:r>
          </w:p>
        </w:tc>
        <w:tc>
          <w:tcPr>
            <w:tcW w:w="360" w:type="dxa"/>
            <w:vAlign w:val="bottom"/>
            <w:tcBorders>
              <w:bottom w:val="single" w:sz="8" w:color="auto"/>
            </w:tcBorders>
            <w:shd w:val="clear" w:color="auto" w:fill="CCEDFF"/>
          </w:tcPr>
          <w:p>
            <w:pPr>
              <w:spacing w:after="0"/>
              <w:rPr>
                <w:sz w:val="19"/>
                <w:szCs w:val="19"/>
                <w:color w:val="auto"/>
              </w:rPr>
            </w:pPr>
          </w:p>
        </w:tc>
        <w:tc>
          <w:tcPr>
            <w:tcW w:w="12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40" w:type="dxa"/>
            <w:vAlign w:val="bottom"/>
            <w:shd w:val="clear" w:color="auto" w:fill="CCEDFF"/>
          </w:tcPr>
          <w:p>
            <w:pPr>
              <w:spacing w:after="0"/>
              <w:rPr>
                <w:sz w:val="19"/>
                <w:szCs w:val="19"/>
                <w:color w:val="auto"/>
              </w:rPr>
            </w:pPr>
          </w:p>
        </w:tc>
        <w:tc>
          <w:tcPr>
            <w:tcW w:w="360" w:type="dxa"/>
            <w:vAlign w:val="bottom"/>
            <w:tcBorders>
              <w:bottom w:val="single" w:sz="8" w:color="auto"/>
            </w:tcBorders>
            <w:shd w:val="clear" w:color="auto" w:fill="CCEDFF"/>
          </w:tcPr>
          <w:p>
            <w:pPr>
              <w:spacing w:after="0"/>
              <w:rPr>
                <w:sz w:val="19"/>
                <w:szCs w:val="19"/>
                <w:color w:val="auto"/>
              </w:rPr>
            </w:pP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12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1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shd w:val="clear" w:color="auto" w:fill="CCEDFF"/>
          </w:tcPr>
          <w:p>
            <w:pPr>
              <w:spacing w:after="0"/>
              <w:rPr>
                <w:sz w:val="19"/>
                <w:szCs w:val="19"/>
                <w:color w:val="auto"/>
              </w:rPr>
            </w:pPr>
          </w:p>
        </w:tc>
        <w:tc>
          <w:tcPr>
            <w:tcW w:w="15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474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51,119</w:t>
            </w:r>
          </w:p>
        </w:tc>
        <w:tc>
          <w:tcPr>
            <w:tcW w:w="140" w:type="dxa"/>
            <w:vAlign w:val="bottom"/>
            <w:tcBorders>
              <w:bottom w:val="single" w:sz="8" w:color="CCED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90,937</w:t>
            </w:r>
          </w:p>
        </w:tc>
        <w:tc>
          <w:tcPr>
            <w:tcW w:w="12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(39,818)</w:t>
            </w:r>
          </w:p>
        </w:tc>
        <w:tc>
          <w:tcPr>
            <w:tcW w:w="140" w:type="dxa"/>
            <w:vAlign w:val="bottom"/>
            <w:tcBorders>
              <w:bottom w:val="single" w:sz="8" w:color="CCED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37"/>
        </w:trPr>
        <w:tc>
          <w:tcPr>
            <w:tcW w:w="4740" w:type="dxa"/>
            <w:vAlign w:val="bottom"/>
            <w:shd w:val="clear" w:color="auto" w:fill="CCEDFF"/>
          </w:tcPr>
          <w:p>
            <w:pPr>
              <w:spacing w:after="0"/>
              <w:rPr>
                <w:sz w:val="20"/>
                <w:szCs w:val="20"/>
                <w:color w:val="auto"/>
              </w:rPr>
            </w:pPr>
          </w:p>
        </w:tc>
        <w:tc>
          <w:tcPr>
            <w:tcW w:w="360" w:type="dxa"/>
            <w:vAlign w:val="bottom"/>
            <w:shd w:val="clear" w:color="auto" w:fill="CCEDFF"/>
          </w:tcPr>
          <w:p>
            <w:pPr>
              <w:spacing w:after="0"/>
              <w:rPr>
                <w:sz w:val="20"/>
                <w:szCs w:val="20"/>
                <w:color w:val="auto"/>
              </w:rPr>
            </w:pPr>
          </w:p>
        </w:tc>
        <w:tc>
          <w:tcPr>
            <w:tcW w:w="122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360" w:type="dxa"/>
            <w:vAlign w:val="bottom"/>
            <w:shd w:val="clear" w:color="auto" w:fill="CCEDFF"/>
          </w:tcPr>
          <w:p>
            <w:pPr>
              <w:spacing w:after="0"/>
              <w:rPr>
                <w:sz w:val="20"/>
                <w:szCs w:val="20"/>
                <w:color w:val="auto"/>
              </w:rPr>
            </w:pPr>
          </w:p>
        </w:tc>
        <w:tc>
          <w:tcPr>
            <w:tcW w:w="1240" w:type="dxa"/>
            <w:vAlign w:val="bottom"/>
            <w:shd w:val="clear" w:color="auto" w:fill="CCEDFF"/>
          </w:tcPr>
          <w:p>
            <w:pPr>
              <w:spacing w:after="0"/>
              <w:rPr>
                <w:sz w:val="20"/>
                <w:szCs w:val="20"/>
                <w:color w:val="auto"/>
              </w:rPr>
            </w:pPr>
          </w:p>
        </w:tc>
        <w:tc>
          <w:tcPr>
            <w:tcW w:w="120" w:type="dxa"/>
            <w:vAlign w:val="bottom"/>
            <w:shd w:val="clear" w:color="auto" w:fill="CCEDFF"/>
          </w:tcPr>
          <w:p>
            <w:pPr>
              <w:spacing w:after="0"/>
              <w:rPr>
                <w:sz w:val="20"/>
                <w:szCs w:val="20"/>
                <w:color w:val="auto"/>
              </w:rPr>
            </w:pPr>
          </w:p>
        </w:tc>
        <w:tc>
          <w:tcPr>
            <w:tcW w:w="220" w:type="dxa"/>
            <w:vAlign w:val="bottom"/>
            <w:shd w:val="clear" w:color="auto" w:fill="CCEDFF"/>
          </w:tcPr>
          <w:p>
            <w:pPr>
              <w:spacing w:after="0"/>
              <w:rPr>
                <w:sz w:val="20"/>
                <w:szCs w:val="20"/>
                <w:color w:val="auto"/>
              </w:rPr>
            </w:pPr>
          </w:p>
        </w:tc>
        <w:tc>
          <w:tcPr>
            <w:tcW w:w="116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1540" w:type="dxa"/>
            <w:vAlign w:val="bottom"/>
            <w:shd w:val="clear" w:color="auto" w:fill="CCEDFF"/>
          </w:tcPr>
          <w:p>
            <w:pPr>
              <w:spacing w:after="0"/>
              <w:rPr>
                <w:sz w:val="20"/>
                <w:szCs w:val="20"/>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360" w:type="dxa"/>
            <w:vAlign w:val="bottom"/>
            <w:shd w:val="clear" w:color="auto" w:fill="CCEDFF"/>
          </w:tcPr>
          <w:p>
            <w:pPr>
              <w:spacing w:after="0"/>
              <w:rPr>
                <w:sz w:val="19"/>
                <w:szCs w:val="19"/>
                <w:color w:val="auto"/>
              </w:rPr>
            </w:pP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23,939</w:t>
            </w:r>
          </w:p>
        </w:tc>
        <w:tc>
          <w:tcPr>
            <w:tcW w:w="140" w:type="dxa"/>
            <w:vAlign w:val="bottom"/>
            <w:shd w:val="clear" w:color="auto" w:fill="CCEDFF"/>
          </w:tcPr>
          <w:p>
            <w:pPr>
              <w:spacing w:after="0"/>
              <w:rPr>
                <w:sz w:val="19"/>
                <w:szCs w:val="19"/>
                <w:color w:val="auto"/>
              </w:rPr>
            </w:pPr>
          </w:p>
        </w:tc>
        <w:tc>
          <w:tcPr>
            <w:tcW w:w="360" w:type="dxa"/>
            <w:vAlign w:val="bottom"/>
            <w:shd w:val="clear" w:color="auto" w:fill="CCEDFF"/>
          </w:tcPr>
          <w:p>
            <w:pPr>
              <w:spacing w:after="0"/>
              <w:rPr>
                <w:sz w:val="19"/>
                <w:szCs w:val="19"/>
                <w:color w:val="auto"/>
              </w:rPr>
            </w:pPr>
          </w:p>
        </w:tc>
        <w:tc>
          <w:tcPr>
            <w:tcW w:w="12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21,311</w:t>
            </w:r>
          </w:p>
        </w:tc>
        <w:tc>
          <w:tcPr>
            <w:tcW w:w="12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9"/>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360" w:type="dxa"/>
            <w:vAlign w:val="bottom"/>
            <w:shd w:val="clear" w:color="auto" w:fill="CCEDFF"/>
          </w:tcPr>
          <w:p>
            <w:pPr>
              <w:spacing w:after="0"/>
              <w:rPr>
                <w:sz w:val="19"/>
                <w:szCs w:val="19"/>
                <w:color w:val="auto"/>
              </w:rPr>
            </w:pP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shd w:val="clear" w:color="auto" w:fill="CCEDFF"/>
          </w:tcPr>
          <w:p>
            <w:pPr>
              <w:spacing w:after="0"/>
              <w:rPr>
                <w:sz w:val="19"/>
                <w:szCs w:val="19"/>
                <w:color w:val="auto"/>
              </w:rPr>
            </w:pPr>
          </w:p>
        </w:tc>
        <w:tc>
          <w:tcPr>
            <w:tcW w:w="360" w:type="dxa"/>
            <w:vAlign w:val="bottom"/>
            <w:shd w:val="clear" w:color="auto" w:fill="CCEDFF"/>
          </w:tcPr>
          <w:p>
            <w:pPr>
              <w:spacing w:after="0"/>
              <w:rPr>
                <w:sz w:val="19"/>
                <w:szCs w:val="19"/>
                <w:color w:val="auto"/>
              </w:rPr>
            </w:pPr>
          </w:p>
        </w:tc>
        <w:tc>
          <w:tcPr>
            <w:tcW w:w="12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29"/>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360" w:type="dxa"/>
            <w:vAlign w:val="bottom"/>
            <w:shd w:val="clear" w:color="auto" w:fill="CCEDFF"/>
          </w:tcPr>
          <w:p>
            <w:pPr>
              <w:spacing w:after="0"/>
              <w:rPr>
                <w:sz w:val="19"/>
                <w:szCs w:val="19"/>
                <w:color w:val="auto"/>
              </w:rPr>
            </w:pP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26,503</w:t>
            </w:r>
          </w:p>
        </w:tc>
        <w:tc>
          <w:tcPr>
            <w:tcW w:w="140" w:type="dxa"/>
            <w:vAlign w:val="bottom"/>
            <w:shd w:val="clear" w:color="auto" w:fill="CCEDFF"/>
          </w:tcPr>
          <w:p>
            <w:pPr>
              <w:spacing w:after="0"/>
              <w:rPr>
                <w:sz w:val="19"/>
                <w:szCs w:val="19"/>
                <w:color w:val="auto"/>
              </w:rPr>
            </w:pPr>
          </w:p>
        </w:tc>
        <w:tc>
          <w:tcPr>
            <w:tcW w:w="360" w:type="dxa"/>
            <w:vAlign w:val="bottom"/>
            <w:shd w:val="clear" w:color="auto" w:fill="CCEDFF"/>
          </w:tcPr>
          <w:p>
            <w:pPr>
              <w:spacing w:after="0"/>
              <w:rPr>
                <w:sz w:val="19"/>
                <w:szCs w:val="19"/>
                <w:color w:val="auto"/>
              </w:rPr>
            </w:pPr>
          </w:p>
        </w:tc>
        <w:tc>
          <w:tcPr>
            <w:tcW w:w="12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80,669</w:t>
            </w:r>
          </w:p>
        </w:tc>
        <w:tc>
          <w:tcPr>
            <w:tcW w:w="12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(54,166)</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29"/>
        </w:trPr>
        <w:tc>
          <w:tcPr>
            <w:tcW w:w="4740" w:type="dxa"/>
            <w:vAlign w:val="bottom"/>
            <w:tcBorders>
              <w:bottom w:val="single" w:sz="8" w:color="CCEDFF"/>
            </w:tcBorders>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40" w:type="dxa"/>
            <w:vAlign w:val="bottom"/>
            <w:tcBorders>
              <w:bottom w:val="single" w:sz="8" w:color="CCED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12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40" w:type="dxa"/>
            <w:vAlign w:val="bottom"/>
            <w:tcBorders>
              <w:bottom w:val="single" w:sz="8" w:color="CCED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3"/>
        </w:trPr>
        <w:tc>
          <w:tcPr>
            <w:tcW w:w="474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360" w:type="dxa"/>
            <w:vAlign w:val="bottom"/>
            <w:tcBorders>
              <w:bottom w:val="single" w:sz="8" w:color="auto"/>
            </w:tcBorders>
            <w:shd w:val="clear" w:color="auto" w:fill="CCEDFF"/>
          </w:tcPr>
          <w:p>
            <w:pPr>
              <w:spacing w:after="0"/>
              <w:rPr>
                <w:sz w:val="19"/>
                <w:szCs w:val="19"/>
                <w:color w:val="auto"/>
              </w:rPr>
            </w:pPr>
          </w:p>
        </w:tc>
        <w:tc>
          <w:tcPr>
            <w:tcW w:w="12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64,432</w:t>
            </w:r>
          </w:p>
        </w:tc>
        <w:tc>
          <w:tcPr>
            <w:tcW w:w="140" w:type="dxa"/>
            <w:vAlign w:val="bottom"/>
            <w:shd w:val="clear" w:color="auto" w:fill="CCEDFF"/>
          </w:tcPr>
          <w:p>
            <w:pPr>
              <w:spacing w:after="0"/>
              <w:rPr>
                <w:sz w:val="19"/>
                <w:szCs w:val="19"/>
                <w:color w:val="auto"/>
              </w:rPr>
            </w:pPr>
          </w:p>
        </w:tc>
        <w:tc>
          <w:tcPr>
            <w:tcW w:w="360" w:type="dxa"/>
            <w:vAlign w:val="bottom"/>
            <w:tcBorders>
              <w:bottom w:val="single" w:sz="8" w:color="auto"/>
            </w:tcBorders>
            <w:shd w:val="clear" w:color="auto" w:fill="CCEDFF"/>
          </w:tcPr>
          <w:p>
            <w:pPr>
              <w:spacing w:after="0"/>
              <w:rPr>
                <w:sz w:val="19"/>
                <w:szCs w:val="19"/>
                <w:color w:val="auto"/>
              </w:rPr>
            </w:pP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119,514</w:t>
            </w:r>
          </w:p>
        </w:tc>
        <w:tc>
          <w:tcPr>
            <w:tcW w:w="12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1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(55,082)</w:t>
            </w:r>
          </w:p>
        </w:tc>
        <w:tc>
          <w:tcPr>
            <w:tcW w:w="140" w:type="dxa"/>
            <w:vAlign w:val="bottom"/>
            <w:shd w:val="clear" w:color="auto" w:fill="CCEDFF"/>
          </w:tcPr>
          <w:p>
            <w:pPr>
              <w:spacing w:after="0"/>
              <w:rPr>
                <w:sz w:val="19"/>
                <w:szCs w:val="19"/>
                <w:color w:val="auto"/>
              </w:rPr>
            </w:pPr>
          </w:p>
        </w:tc>
        <w:tc>
          <w:tcPr>
            <w:tcW w:w="15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50"/>
        </w:trPr>
        <w:tc>
          <w:tcPr>
            <w:tcW w:w="4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30"/>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gain on sale of real estate investments</w:t>
            </w:r>
          </w:p>
        </w:tc>
        <w:tc>
          <w:tcPr>
            <w:tcW w:w="360" w:type="dxa"/>
            <w:vAlign w:val="bottom"/>
            <w:shd w:val="clear" w:color="auto" w:fill="CCEDFF"/>
          </w:tcPr>
          <w:p>
            <w:pPr>
              <w:spacing w:after="0"/>
              <w:rPr>
                <w:sz w:val="19"/>
                <w:szCs w:val="19"/>
                <w:color w:val="auto"/>
              </w:rPr>
            </w:pPr>
          </w:p>
        </w:tc>
        <w:tc>
          <w:tcPr>
            <w:tcW w:w="136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DFF"/>
          </w:tcPr>
          <w:p>
            <w:pPr>
              <w:spacing w:after="0"/>
              <w:rPr>
                <w:sz w:val="19"/>
                <w:szCs w:val="19"/>
                <w:color w:val="auto"/>
              </w:rPr>
            </w:pPr>
          </w:p>
        </w:tc>
        <w:tc>
          <w:tcPr>
            <w:tcW w:w="12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2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4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30"/>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Other (loss) income, net</w:t>
            </w:r>
          </w:p>
        </w:tc>
        <w:tc>
          <w:tcPr>
            <w:tcW w:w="360" w:type="dxa"/>
            <w:vAlign w:val="bottom"/>
            <w:shd w:val="clear" w:color="auto" w:fill="CCEDFF"/>
          </w:tcPr>
          <w:p>
            <w:pPr>
              <w:spacing w:after="0"/>
              <w:rPr>
                <w:sz w:val="19"/>
                <w:szCs w:val="19"/>
                <w:color w:val="auto"/>
              </w:rPr>
            </w:pP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40" w:type="dxa"/>
            <w:vAlign w:val="bottom"/>
            <w:shd w:val="clear" w:color="auto" w:fill="CCEDFF"/>
          </w:tcPr>
          <w:p>
            <w:pPr>
              <w:spacing w:after="0"/>
              <w:rPr>
                <w:sz w:val="19"/>
                <w:szCs w:val="19"/>
                <w:color w:val="auto"/>
              </w:rPr>
            </w:pPr>
          </w:p>
        </w:tc>
        <w:tc>
          <w:tcPr>
            <w:tcW w:w="360" w:type="dxa"/>
            <w:vAlign w:val="bottom"/>
            <w:shd w:val="clear" w:color="auto" w:fill="CCEDFF"/>
          </w:tcPr>
          <w:p>
            <w:pPr>
              <w:spacing w:after="0"/>
              <w:rPr>
                <w:sz w:val="19"/>
                <w:szCs w:val="19"/>
                <w:color w:val="auto"/>
              </w:rPr>
            </w:pPr>
          </w:p>
        </w:tc>
        <w:tc>
          <w:tcPr>
            <w:tcW w:w="12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(927.0)%</w:t>
            </w: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0"/>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shd w:val="clear" w:color="auto" w:fill="CCEDFF"/>
          </w:tcPr>
          <w:p>
            <w:pPr>
              <w:spacing w:after="0"/>
              <w:rPr>
                <w:sz w:val="19"/>
                <w:szCs w:val="19"/>
                <w:color w:val="auto"/>
              </w:rPr>
            </w:pPr>
          </w:p>
        </w:tc>
        <w:tc>
          <w:tcPr>
            <w:tcW w:w="12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40" w:type="dxa"/>
            <w:vAlign w:val="bottom"/>
            <w:shd w:val="clear" w:color="auto" w:fill="CCEDFF"/>
          </w:tcPr>
          <w:p>
            <w:pPr>
              <w:spacing w:after="0"/>
              <w:rPr>
                <w:sz w:val="19"/>
                <w:szCs w:val="19"/>
                <w:color w:val="auto"/>
              </w:rPr>
            </w:pPr>
          </w:p>
        </w:tc>
        <w:tc>
          <w:tcPr>
            <w:tcW w:w="360" w:type="dxa"/>
            <w:vAlign w:val="bottom"/>
            <w:tcBorders>
              <w:bottom w:val="single" w:sz="8" w:color="auto"/>
            </w:tcBorders>
            <w:shd w:val="clear" w:color="auto" w:fill="CCEDFF"/>
          </w:tcPr>
          <w:p>
            <w:pPr>
              <w:spacing w:after="0"/>
              <w:rPr>
                <w:sz w:val="19"/>
                <w:szCs w:val="19"/>
                <w:color w:val="auto"/>
              </w:rPr>
            </w:pP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2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1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40" w:type="dxa"/>
            <w:vAlign w:val="bottom"/>
            <w:shd w:val="clear" w:color="auto" w:fill="CCEDFF"/>
          </w:tcPr>
          <w:p>
            <w:pPr>
              <w:spacing w:after="0"/>
              <w:rPr>
                <w:sz w:val="19"/>
                <w:szCs w:val="19"/>
                <w:color w:val="auto"/>
              </w:rPr>
            </w:pPr>
          </w:p>
        </w:tc>
        <w:tc>
          <w:tcPr>
            <w:tcW w:w="15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23"/>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4740" w:type="dxa"/>
            <w:vAlign w:val="bottom"/>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60" w:type="dxa"/>
            <w:vAlign w:val="bottom"/>
            <w:shd w:val="clear" w:color="auto" w:fill="CCEDFF"/>
          </w:tcPr>
          <w:p>
            <w:pPr>
              <w:spacing w:after="0"/>
              <w:rPr>
                <w:sz w:val="19"/>
                <w:szCs w:val="19"/>
                <w:color w:val="auto"/>
              </w:rPr>
            </w:pPr>
          </w:p>
        </w:tc>
        <w:tc>
          <w:tcPr>
            <w:tcW w:w="136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DFF"/>
          </w:tcPr>
          <w:p>
            <w:pPr>
              <w:spacing w:after="0"/>
              <w:rPr>
                <w:sz w:val="19"/>
                <w:szCs w:val="19"/>
                <w:color w:val="auto"/>
              </w:rPr>
            </w:pPr>
          </w:p>
        </w:tc>
        <w:tc>
          <w:tcPr>
            <w:tcW w:w="136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30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23"/>
        </w:trPr>
        <w:tc>
          <w:tcPr>
            <w:tcW w:w="47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4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4740" w:type="dxa"/>
            <w:vAlign w:val="bottom"/>
            <w:shd w:val="clear" w:color="auto" w:fill="CCEDFF"/>
          </w:tcPr>
          <w:p>
            <w:pPr>
              <w:ind w:left="56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60" w:type="dxa"/>
            <w:vAlign w:val="bottom"/>
            <w:tcBorders>
              <w:bottom w:val="single" w:sz="8" w:color="auto"/>
            </w:tcBorders>
            <w:shd w:val="clear" w:color="auto" w:fill="CCEDFF"/>
          </w:tcPr>
          <w:p>
            <w:pPr>
              <w:spacing w:after="0"/>
              <w:rPr>
                <w:sz w:val="19"/>
                <w:szCs w:val="19"/>
                <w:color w:val="auto"/>
              </w:rPr>
            </w:pPr>
          </w:p>
        </w:tc>
        <w:tc>
          <w:tcPr>
            <w:tcW w:w="12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40" w:type="dxa"/>
            <w:vAlign w:val="bottom"/>
            <w:shd w:val="clear" w:color="auto" w:fill="CCEDFF"/>
          </w:tcPr>
          <w:p>
            <w:pPr>
              <w:spacing w:after="0"/>
              <w:rPr>
                <w:sz w:val="19"/>
                <w:szCs w:val="19"/>
                <w:color w:val="auto"/>
              </w:rPr>
            </w:pPr>
          </w:p>
        </w:tc>
        <w:tc>
          <w:tcPr>
            <w:tcW w:w="360" w:type="dxa"/>
            <w:vAlign w:val="bottom"/>
            <w:tcBorders>
              <w:bottom w:val="single" w:sz="8" w:color="auto"/>
            </w:tcBorders>
            <w:shd w:val="clear" w:color="auto" w:fill="CCEDFF"/>
          </w:tcPr>
          <w:p>
            <w:pPr>
              <w:spacing w:after="0"/>
              <w:rPr>
                <w:sz w:val="19"/>
                <w:szCs w:val="19"/>
                <w:color w:val="auto"/>
              </w:rPr>
            </w:pP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(14,891)</w:t>
            </w:r>
          </w:p>
        </w:tc>
        <w:tc>
          <w:tcPr>
            <w:tcW w:w="12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1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13,198</w:t>
            </w:r>
          </w:p>
        </w:tc>
        <w:tc>
          <w:tcPr>
            <w:tcW w:w="140" w:type="dxa"/>
            <w:vAlign w:val="bottom"/>
            <w:shd w:val="clear" w:color="auto" w:fill="CCEDFF"/>
          </w:tcPr>
          <w:p>
            <w:pPr>
              <w:spacing w:after="0"/>
              <w:rPr>
                <w:sz w:val="19"/>
                <w:szCs w:val="19"/>
                <w:color w:val="auto"/>
              </w:rPr>
            </w:pPr>
          </w:p>
        </w:tc>
        <w:tc>
          <w:tcPr>
            <w:tcW w:w="15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3"/>
        </w:trPr>
        <w:tc>
          <w:tcPr>
            <w:tcW w:w="47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Net loss attributable to CaliberCos Inc.</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(19,777)</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14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55.7 %</w:t>
            </w:r>
          </w:p>
        </w:tc>
      </w:tr>
      <w:tr>
        <w:trPr>
          <w:trHeight w:val="20"/>
        </w:trPr>
        <w:tc>
          <w:tcPr>
            <w:tcW w:w="4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and 2023, total revenues were $51.1 million and $90.9 million, respectively, representing a period-over-period decrease of 43.8%. This decrease was primarily due to a decrease in consolidated fund revenues as a result of the deconsolidation of Caliber Hospitality, LP and Caliber Hospitality Trust in March 2024. See the Segment Analysis section below in which revenues are presented on a basis that deconsolidates our consolidated funds. As a result, Platform segment revenues are different than those presented on a consolidated basis in accordance with U.S. GAAP, because these fees are eliminated in consolidation when they are derived from a consolidated fund.</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total expenses were $64.4 million and $119.5 million, respectively, representing a period-over-period decrease of 46.1%. The decrease was primarily due to a decrease in consolidated fund expenses which was primarily due to the deconsolidation of Caliber Hospitality, LP and Caliber Hospitality Trust in March 2024.</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consolidated funds – gain on sale of real estate investments includes the $5.0 million gain recognized on the sale of Northsight Crossing, a commercial property with a cost basis of $21.7 million. There were no real estate sales during the year ended December 31,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Platform (Unconsolidated) Results of Operations for the Years Ended December 31, 2024 and 2023</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and discussion provide insight into our unconsolidated results of operations of the Platform for the years ended December 31, 2024 and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4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464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tcBorders>
              <w:top w:val="single" w:sz="8" w:color="auto"/>
            </w:tcBorders>
            <w:shd w:val="clear" w:color="auto" w:fill="CCEDFF"/>
          </w:tcPr>
          <w:p>
            <w:pPr>
              <w:spacing w:after="0"/>
              <w:rPr>
                <w:sz w:val="18"/>
                <w:szCs w:val="18"/>
                <w:color w:val="auto"/>
              </w:rPr>
            </w:pPr>
          </w:p>
        </w:tc>
        <w:tc>
          <w:tcPr>
            <w:tcW w:w="1260" w:type="dxa"/>
            <w:vAlign w:val="bottom"/>
            <w:tcBorders>
              <w:top w:val="single" w:sz="8" w:color="auto"/>
            </w:tcBorders>
            <w:shd w:val="clear" w:color="auto" w:fill="CCEDFF"/>
          </w:tcPr>
          <w:p>
            <w:pPr>
              <w:spacing w:after="0"/>
              <w:rPr>
                <w:sz w:val="18"/>
                <w:szCs w:val="18"/>
                <w:color w:val="auto"/>
              </w:rPr>
            </w:pPr>
          </w:p>
        </w:tc>
        <w:tc>
          <w:tcPr>
            <w:tcW w:w="120" w:type="dxa"/>
            <w:vAlign w:val="bottom"/>
            <w:tcBorders>
              <w:top w:val="single" w:sz="8" w:color="CCEDFF"/>
            </w:tcBorders>
            <w:shd w:val="clear" w:color="auto" w:fill="CCEDFF"/>
          </w:tcPr>
          <w:p>
            <w:pPr>
              <w:spacing w:after="0"/>
              <w:rPr>
                <w:sz w:val="18"/>
                <w:szCs w:val="18"/>
                <w:color w:val="auto"/>
              </w:rPr>
            </w:pPr>
          </w:p>
        </w:tc>
        <w:tc>
          <w:tcPr>
            <w:tcW w:w="1000" w:type="dxa"/>
            <w:vAlign w:val="bottom"/>
            <w:tcBorders>
              <w:top w:val="single" w:sz="8" w:color="auto"/>
            </w:tcBorders>
            <w:shd w:val="clear" w:color="auto" w:fill="CCEDFF"/>
          </w:tcPr>
          <w:p>
            <w:pPr>
              <w:spacing w:after="0"/>
              <w:rPr>
                <w:sz w:val="18"/>
                <w:szCs w:val="18"/>
                <w:color w:val="auto"/>
              </w:rPr>
            </w:pPr>
          </w:p>
        </w:tc>
        <w:tc>
          <w:tcPr>
            <w:tcW w:w="64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440" w:type="dxa"/>
            <w:vAlign w:val="bottom"/>
            <w:tcBorders>
              <w:top w:val="single" w:sz="8" w:color="auto"/>
            </w:tcBorders>
            <w:shd w:val="clear" w:color="auto" w:fill="CCEDFF"/>
          </w:tcPr>
          <w:p>
            <w:pPr>
              <w:spacing w:after="0"/>
              <w:rPr>
                <w:sz w:val="18"/>
                <w:szCs w:val="18"/>
                <w:color w:val="auto"/>
              </w:rPr>
            </w:pPr>
          </w:p>
        </w:tc>
        <w:tc>
          <w:tcPr>
            <w:tcW w:w="94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1540" w:type="dxa"/>
            <w:vAlign w:val="bottom"/>
            <w:tcBorders>
              <w:top w:val="single" w:sz="8" w:color="auto"/>
            </w:tcBorders>
            <w:shd w:val="clear" w:color="auto" w:fill="CCEDFF"/>
          </w:tcPr>
          <w:p>
            <w:pPr>
              <w:spacing w:after="0"/>
              <w:rPr>
                <w:sz w:val="18"/>
                <w:szCs w:val="18"/>
                <w:color w:val="auto"/>
              </w:rPr>
            </w:pPr>
          </w:p>
        </w:tc>
      </w:tr>
      <w:tr>
        <w:trPr>
          <w:trHeight w:val="229"/>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20,563</w:t>
            </w:r>
          </w:p>
        </w:tc>
        <w:tc>
          <w:tcPr>
            <w:tcW w:w="120" w:type="dxa"/>
            <w:vAlign w:val="bottom"/>
          </w:tcPr>
          <w:p>
            <w:pPr>
              <w:spacing w:after="0"/>
              <w:rPr>
                <w:sz w:val="19"/>
                <w:szCs w:val="19"/>
                <w:color w:val="auto"/>
              </w:rPr>
            </w:pP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r>
      <w:tr>
        <w:trPr>
          <w:trHeight w:val="229"/>
        </w:trPr>
        <w:tc>
          <w:tcPr>
            <w:tcW w:w="46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380" w:type="dxa"/>
            <w:vAlign w:val="bottom"/>
            <w:tcBorders>
              <w:bottom w:val="single" w:sz="8" w:color="auto"/>
            </w:tcBorders>
            <w:shd w:val="clear" w:color="auto" w:fill="CCEDFF"/>
          </w:tcPr>
          <w:p>
            <w:pPr>
              <w:spacing w:after="0"/>
              <w:rPr>
                <w:sz w:val="19"/>
                <w:szCs w:val="19"/>
                <w:color w:val="auto"/>
              </w:rPr>
            </w:pP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CEDFF"/>
          </w:tcPr>
          <w:p>
            <w:pPr>
              <w:spacing w:after="0"/>
              <w:rPr>
                <w:sz w:val="19"/>
                <w:szCs w:val="19"/>
                <w:color w:val="auto"/>
              </w:rPr>
            </w:pPr>
          </w:p>
        </w:tc>
        <w:tc>
          <w:tcPr>
            <w:tcW w:w="1000" w:type="dxa"/>
            <w:vAlign w:val="bottom"/>
            <w:tcBorders>
              <w:bottom w:val="single" w:sz="8" w:color="auto"/>
            </w:tcBorders>
            <w:shd w:val="clear" w:color="auto" w:fill="CCEDFF"/>
          </w:tcPr>
          <w:p>
            <w:pPr>
              <w:spacing w:after="0"/>
              <w:rPr>
                <w:sz w:val="19"/>
                <w:szCs w:val="19"/>
                <w:color w:val="auto"/>
              </w:rPr>
            </w:pPr>
          </w:p>
        </w:tc>
        <w:tc>
          <w:tcPr>
            <w:tcW w:w="6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40" w:type="dxa"/>
            <w:vAlign w:val="bottom"/>
            <w:shd w:val="clear" w:color="auto" w:fill="CCEDFF"/>
          </w:tcPr>
          <w:p>
            <w:pPr>
              <w:spacing w:after="0"/>
              <w:rPr>
                <w:sz w:val="19"/>
                <w:szCs w:val="19"/>
                <w:color w:val="auto"/>
              </w:rPr>
            </w:pPr>
          </w:p>
        </w:tc>
        <w:tc>
          <w:tcPr>
            <w:tcW w:w="440" w:type="dxa"/>
            <w:vAlign w:val="bottom"/>
            <w:tcBorders>
              <w:bottom w:val="single" w:sz="8" w:color="auto"/>
            </w:tcBorders>
            <w:shd w:val="clear" w:color="auto" w:fill="CCEDFF"/>
          </w:tcPr>
          <w:p>
            <w:pPr>
              <w:spacing w:after="0"/>
              <w:rPr>
                <w:sz w:val="19"/>
                <w:szCs w:val="19"/>
                <w:color w:val="auto"/>
              </w:rPr>
            </w:pPr>
          </w:p>
        </w:tc>
        <w:tc>
          <w:tcPr>
            <w:tcW w:w="9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40" w:type="dxa"/>
            <w:vAlign w:val="bottom"/>
            <w:shd w:val="clear" w:color="auto" w:fill="CCEDFF"/>
          </w:tcPr>
          <w:p>
            <w:pPr>
              <w:spacing w:after="0"/>
              <w:rPr>
                <w:sz w:val="19"/>
                <w:szCs w:val="19"/>
                <w:color w:val="auto"/>
              </w:rPr>
            </w:pPr>
          </w:p>
        </w:tc>
        <w:tc>
          <w:tcPr>
            <w:tcW w:w="15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23"/>
        </w:trPr>
        <w:tc>
          <w:tcPr>
            <w:tcW w:w="464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20,942</w:t>
            </w:r>
          </w:p>
        </w:tc>
        <w:tc>
          <w:tcPr>
            <w:tcW w:w="120" w:type="dxa"/>
            <w:vAlign w:val="bottom"/>
            <w:tcBorders>
              <w:bottom w:val="single" w:sz="8" w:color="CCED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20,638</w:t>
            </w:r>
          </w:p>
        </w:tc>
        <w:tc>
          <w:tcPr>
            <w:tcW w:w="140" w:type="dxa"/>
            <w:vAlign w:val="bottom"/>
            <w:tcBorders>
              <w:bottom w:val="single" w:sz="8" w:color="CCED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Borders>
              <w:bottom w:val="single" w:sz="8" w:color="CCED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7"/>
        </w:trPr>
        <w:tc>
          <w:tcPr>
            <w:tcW w:w="4640" w:type="dxa"/>
            <w:vAlign w:val="bottom"/>
            <w:shd w:val="clear" w:color="auto" w:fill="CCEDFF"/>
          </w:tcPr>
          <w:p>
            <w:pPr>
              <w:spacing w:after="0"/>
              <w:rPr>
                <w:sz w:val="20"/>
                <w:szCs w:val="20"/>
                <w:color w:val="auto"/>
              </w:rPr>
            </w:pPr>
          </w:p>
        </w:tc>
        <w:tc>
          <w:tcPr>
            <w:tcW w:w="380" w:type="dxa"/>
            <w:vAlign w:val="bottom"/>
            <w:shd w:val="clear" w:color="auto" w:fill="CCEDFF"/>
          </w:tcPr>
          <w:p>
            <w:pPr>
              <w:spacing w:after="0"/>
              <w:rPr>
                <w:sz w:val="20"/>
                <w:szCs w:val="20"/>
                <w:color w:val="auto"/>
              </w:rPr>
            </w:pPr>
          </w:p>
        </w:tc>
        <w:tc>
          <w:tcPr>
            <w:tcW w:w="1260" w:type="dxa"/>
            <w:vAlign w:val="bottom"/>
            <w:shd w:val="clear" w:color="auto" w:fill="CCEDFF"/>
          </w:tcPr>
          <w:p>
            <w:pPr>
              <w:spacing w:after="0"/>
              <w:rPr>
                <w:sz w:val="20"/>
                <w:szCs w:val="20"/>
                <w:color w:val="auto"/>
              </w:rPr>
            </w:pPr>
          </w:p>
        </w:tc>
        <w:tc>
          <w:tcPr>
            <w:tcW w:w="120" w:type="dxa"/>
            <w:vAlign w:val="bottom"/>
            <w:shd w:val="clear" w:color="auto" w:fill="CCEDFF"/>
          </w:tcPr>
          <w:p>
            <w:pPr>
              <w:spacing w:after="0"/>
              <w:rPr>
                <w:sz w:val="20"/>
                <w:szCs w:val="20"/>
                <w:color w:val="auto"/>
              </w:rPr>
            </w:pPr>
          </w:p>
        </w:tc>
        <w:tc>
          <w:tcPr>
            <w:tcW w:w="1000" w:type="dxa"/>
            <w:vAlign w:val="bottom"/>
            <w:shd w:val="clear" w:color="auto" w:fill="CCEDFF"/>
          </w:tcPr>
          <w:p>
            <w:pPr>
              <w:spacing w:after="0"/>
              <w:rPr>
                <w:sz w:val="20"/>
                <w:szCs w:val="20"/>
                <w:color w:val="auto"/>
              </w:rPr>
            </w:pPr>
          </w:p>
        </w:tc>
        <w:tc>
          <w:tcPr>
            <w:tcW w:w="64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440" w:type="dxa"/>
            <w:vAlign w:val="bottom"/>
            <w:shd w:val="clear" w:color="auto" w:fill="CCEDFF"/>
          </w:tcPr>
          <w:p>
            <w:pPr>
              <w:spacing w:after="0"/>
              <w:rPr>
                <w:sz w:val="20"/>
                <w:szCs w:val="20"/>
                <w:color w:val="auto"/>
              </w:rPr>
            </w:pPr>
          </w:p>
        </w:tc>
        <w:tc>
          <w:tcPr>
            <w:tcW w:w="94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1540" w:type="dxa"/>
            <w:vAlign w:val="bottom"/>
            <w:shd w:val="clear" w:color="auto" w:fill="CCEDFF"/>
          </w:tcPr>
          <w:p>
            <w:pPr>
              <w:spacing w:after="0"/>
              <w:rPr>
                <w:sz w:val="20"/>
                <w:szCs w:val="20"/>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46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380" w:type="dxa"/>
            <w:vAlign w:val="bottom"/>
            <w:shd w:val="clear" w:color="auto" w:fill="CCEDFF"/>
          </w:tcPr>
          <w:p>
            <w:pPr>
              <w:spacing w:after="0"/>
              <w:rPr>
                <w:sz w:val="19"/>
                <w:szCs w:val="19"/>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24,904</w:t>
            </w:r>
          </w:p>
        </w:tc>
        <w:tc>
          <w:tcPr>
            <w:tcW w:w="120" w:type="dxa"/>
            <w:vAlign w:val="bottom"/>
            <w:shd w:val="clear" w:color="auto" w:fill="CCEDFF"/>
          </w:tcPr>
          <w:p>
            <w:pPr>
              <w:spacing w:after="0"/>
              <w:rPr>
                <w:sz w:val="19"/>
                <w:szCs w:val="19"/>
                <w:color w:val="auto"/>
              </w:rPr>
            </w:pPr>
          </w:p>
        </w:tc>
        <w:tc>
          <w:tcPr>
            <w:tcW w:w="1000" w:type="dxa"/>
            <w:vAlign w:val="bottom"/>
            <w:shd w:val="clear" w:color="auto" w:fill="CCEDFF"/>
          </w:tcPr>
          <w:p>
            <w:pPr>
              <w:spacing w:after="0"/>
              <w:rPr>
                <w:sz w:val="19"/>
                <w:szCs w:val="19"/>
                <w:color w:val="auto"/>
              </w:rPr>
            </w:pPr>
          </w:p>
        </w:tc>
        <w:tc>
          <w:tcPr>
            <w:tcW w:w="6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21,808</w:t>
            </w:r>
          </w:p>
        </w:tc>
        <w:tc>
          <w:tcPr>
            <w:tcW w:w="140" w:type="dxa"/>
            <w:vAlign w:val="bottom"/>
            <w:shd w:val="clear" w:color="auto" w:fill="CCEDFF"/>
          </w:tcPr>
          <w:p>
            <w:pPr>
              <w:spacing w:after="0"/>
              <w:rPr>
                <w:sz w:val="19"/>
                <w:szCs w:val="19"/>
                <w:color w:val="auto"/>
              </w:rPr>
            </w:pPr>
          </w:p>
        </w:tc>
        <w:tc>
          <w:tcPr>
            <w:tcW w:w="440" w:type="dxa"/>
            <w:vAlign w:val="bottom"/>
            <w:shd w:val="clear" w:color="auto" w:fill="CCED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3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9"/>
        </w:trPr>
        <w:tc>
          <w:tcPr>
            <w:tcW w:w="46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380" w:type="dxa"/>
            <w:vAlign w:val="bottom"/>
            <w:shd w:val="clear" w:color="auto" w:fill="CCEDFF"/>
          </w:tcPr>
          <w:p>
            <w:pPr>
              <w:spacing w:after="0"/>
              <w:rPr>
                <w:sz w:val="19"/>
                <w:szCs w:val="19"/>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shd w:val="clear" w:color="auto" w:fill="CCEDFF"/>
          </w:tcPr>
          <w:p>
            <w:pPr>
              <w:spacing w:after="0"/>
              <w:rPr>
                <w:sz w:val="19"/>
                <w:szCs w:val="19"/>
                <w:color w:val="auto"/>
              </w:rPr>
            </w:pPr>
          </w:p>
        </w:tc>
        <w:tc>
          <w:tcPr>
            <w:tcW w:w="1000" w:type="dxa"/>
            <w:vAlign w:val="bottom"/>
            <w:shd w:val="clear" w:color="auto" w:fill="CCEDFF"/>
          </w:tcPr>
          <w:p>
            <w:pPr>
              <w:spacing w:after="0"/>
              <w:rPr>
                <w:sz w:val="19"/>
                <w:szCs w:val="19"/>
                <w:color w:val="auto"/>
              </w:rPr>
            </w:pPr>
          </w:p>
        </w:tc>
        <w:tc>
          <w:tcPr>
            <w:tcW w:w="6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40" w:type="dxa"/>
            <w:vAlign w:val="bottom"/>
            <w:shd w:val="clear" w:color="auto" w:fill="CCEDFF"/>
          </w:tcPr>
          <w:p>
            <w:pPr>
              <w:spacing w:after="0"/>
              <w:rPr>
                <w:sz w:val="19"/>
                <w:szCs w:val="19"/>
                <w:color w:val="auto"/>
              </w:rPr>
            </w:pPr>
          </w:p>
        </w:tc>
        <w:tc>
          <w:tcPr>
            <w:tcW w:w="440" w:type="dxa"/>
            <w:vAlign w:val="bottom"/>
            <w:shd w:val="clear" w:color="auto" w:fill="CCEDFF"/>
          </w:tcPr>
          <w:p>
            <w:pPr>
              <w:spacing w:after="0"/>
              <w:rPr>
                <w:sz w:val="19"/>
                <w:szCs w:val="19"/>
                <w:color w:val="auto"/>
              </w:rPr>
            </w:pPr>
          </w:p>
        </w:tc>
        <w:tc>
          <w:tcPr>
            <w:tcW w:w="9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4640" w:type="dxa"/>
            <w:vAlign w:val="bottom"/>
            <w:tcBorders>
              <w:bottom w:val="single" w:sz="8" w:color="CCED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Borders>
              <w:bottom w:val="single" w:sz="8" w:color="CCED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tcBorders>
              <w:bottom w:val="single" w:sz="8" w:color="CCED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bottom w:val="single" w:sz="8" w:color="CCED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23"/>
        </w:trPr>
        <w:tc>
          <w:tcPr>
            <w:tcW w:w="464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380" w:type="dxa"/>
            <w:vAlign w:val="bottom"/>
            <w:tcBorders>
              <w:bottom w:val="single" w:sz="8" w:color="auto"/>
            </w:tcBorders>
            <w:shd w:val="clear" w:color="auto" w:fill="CCEDFF"/>
          </w:tcPr>
          <w:p>
            <w:pPr>
              <w:spacing w:after="0"/>
              <w:rPr>
                <w:sz w:val="19"/>
                <w:szCs w:val="19"/>
                <w:color w:val="auto"/>
              </w:rPr>
            </w:pP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33,070</w:t>
            </w:r>
          </w:p>
        </w:tc>
        <w:tc>
          <w:tcPr>
            <w:tcW w:w="120" w:type="dxa"/>
            <w:vAlign w:val="bottom"/>
            <w:shd w:val="clear" w:color="auto" w:fill="CCEDFF"/>
          </w:tcPr>
          <w:p>
            <w:pPr>
              <w:spacing w:after="0"/>
              <w:rPr>
                <w:sz w:val="19"/>
                <w:szCs w:val="19"/>
                <w:color w:val="auto"/>
              </w:rPr>
            </w:pPr>
          </w:p>
        </w:tc>
        <w:tc>
          <w:tcPr>
            <w:tcW w:w="1000" w:type="dxa"/>
            <w:vAlign w:val="bottom"/>
            <w:tcBorders>
              <w:bottom w:val="single" w:sz="8" w:color="auto"/>
            </w:tcBorders>
            <w:shd w:val="clear" w:color="auto" w:fill="CCEDFF"/>
          </w:tcPr>
          <w:p>
            <w:pPr>
              <w:spacing w:after="0"/>
              <w:rPr>
                <w:sz w:val="19"/>
                <w:szCs w:val="19"/>
                <w:color w:val="auto"/>
              </w:rPr>
            </w:pPr>
          </w:p>
        </w:tc>
        <w:tc>
          <w:tcPr>
            <w:tcW w:w="6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30,219</w:t>
            </w:r>
          </w:p>
        </w:tc>
        <w:tc>
          <w:tcPr>
            <w:tcW w:w="140" w:type="dxa"/>
            <w:vAlign w:val="bottom"/>
            <w:shd w:val="clear" w:color="auto" w:fill="CCEDFF"/>
          </w:tcPr>
          <w:p>
            <w:pPr>
              <w:spacing w:after="0"/>
              <w:rPr>
                <w:sz w:val="19"/>
                <w:szCs w:val="19"/>
                <w:color w:val="auto"/>
              </w:rPr>
            </w:pPr>
          </w:p>
        </w:tc>
        <w:tc>
          <w:tcPr>
            <w:tcW w:w="440" w:type="dxa"/>
            <w:vAlign w:val="bottom"/>
            <w:tcBorders>
              <w:bottom w:val="single" w:sz="8" w:color="auto"/>
            </w:tcBorders>
            <w:shd w:val="clear" w:color="auto" w:fill="CCEDFF"/>
          </w:tcPr>
          <w:p>
            <w:pPr>
              <w:spacing w:after="0"/>
              <w:rPr>
                <w:sz w:val="19"/>
                <w:szCs w:val="19"/>
                <w:color w:val="auto"/>
              </w:rPr>
            </w:pPr>
          </w:p>
        </w:tc>
        <w:tc>
          <w:tcPr>
            <w:tcW w:w="9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40" w:type="dxa"/>
            <w:vAlign w:val="bottom"/>
            <w:shd w:val="clear" w:color="auto" w:fill="CCEDFF"/>
          </w:tcPr>
          <w:p>
            <w:pPr>
              <w:spacing w:after="0"/>
              <w:rPr>
                <w:sz w:val="19"/>
                <w:szCs w:val="19"/>
                <w:color w:val="auto"/>
              </w:rPr>
            </w:pPr>
          </w:p>
        </w:tc>
        <w:tc>
          <w:tcPr>
            <w:tcW w:w="15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50"/>
        </w:trPr>
        <w:tc>
          <w:tcPr>
            <w:tcW w:w="4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30"/>
        </w:trPr>
        <w:tc>
          <w:tcPr>
            <w:tcW w:w="46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Other income (loss), net</w:t>
            </w:r>
          </w:p>
        </w:tc>
        <w:tc>
          <w:tcPr>
            <w:tcW w:w="380" w:type="dxa"/>
            <w:vAlign w:val="bottom"/>
            <w:shd w:val="clear" w:color="auto" w:fill="CCEDFF"/>
          </w:tcPr>
          <w:p>
            <w:pPr>
              <w:spacing w:after="0"/>
              <w:rPr>
                <w:sz w:val="19"/>
                <w:szCs w:val="19"/>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20" w:type="dxa"/>
            <w:vAlign w:val="bottom"/>
            <w:shd w:val="clear" w:color="auto" w:fill="CCEDFF"/>
          </w:tcPr>
          <w:p>
            <w:pPr>
              <w:spacing w:after="0"/>
              <w:rPr>
                <w:sz w:val="19"/>
                <w:szCs w:val="19"/>
                <w:color w:val="auto"/>
              </w:rPr>
            </w:pPr>
          </w:p>
        </w:tc>
        <w:tc>
          <w:tcPr>
            <w:tcW w:w="1000" w:type="dxa"/>
            <w:vAlign w:val="bottom"/>
            <w:shd w:val="clear" w:color="auto" w:fill="CCEDFF"/>
          </w:tcPr>
          <w:p>
            <w:pPr>
              <w:spacing w:after="0"/>
              <w:rPr>
                <w:sz w:val="19"/>
                <w:szCs w:val="19"/>
                <w:color w:val="auto"/>
              </w:rPr>
            </w:pPr>
          </w:p>
        </w:tc>
        <w:tc>
          <w:tcPr>
            <w:tcW w:w="6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40" w:type="dxa"/>
            <w:vAlign w:val="bottom"/>
            <w:shd w:val="clear" w:color="auto" w:fill="CCEDFF"/>
          </w:tcPr>
          <w:p>
            <w:pPr>
              <w:spacing w:after="0"/>
              <w:rPr>
                <w:sz w:val="19"/>
                <w:szCs w:val="19"/>
                <w:color w:val="auto"/>
              </w:rPr>
            </w:pPr>
          </w:p>
        </w:tc>
        <w:tc>
          <w:tcPr>
            <w:tcW w:w="440" w:type="dxa"/>
            <w:vAlign w:val="bottom"/>
            <w:shd w:val="clear" w:color="auto" w:fill="CCED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(508.9)%</w:t>
            </w:r>
          </w:p>
        </w:tc>
      </w:tr>
      <w:tr>
        <w:trPr>
          <w:trHeight w:val="229"/>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46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auto"/>
            </w:tcBorders>
            <w:shd w:val="clear" w:color="auto" w:fill="CCEDFF"/>
          </w:tcPr>
          <w:p>
            <w:pPr>
              <w:spacing w:after="0"/>
              <w:rPr>
                <w:sz w:val="19"/>
                <w:szCs w:val="19"/>
                <w:color w:val="auto"/>
              </w:rPr>
            </w:pP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20" w:type="dxa"/>
            <w:vAlign w:val="bottom"/>
            <w:shd w:val="clear" w:color="auto" w:fill="CCEDFF"/>
          </w:tcPr>
          <w:p>
            <w:pPr>
              <w:spacing w:after="0"/>
              <w:rPr>
                <w:sz w:val="19"/>
                <w:szCs w:val="19"/>
                <w:color w:val="auto"/>
              </w:rPr>
            </w:pPr>
          </w:p>
        </w:tc>
        <w:tc>
          <w:tcPr>
            <w:tcW w:w="1000" w:type="dxa"/>
            <w:vAlign w:val="bottom"/>
            <w:tcBorders>
              <w:bottom w:val="single" w:sz="8" w:color="auto"/>
            </w:tcBorders>
            <w:shd w:val="clear" w:color="auto" w:fill="CCEDFF"/>
          </w:tcPr>
          <w:p>
            <w:pPr>
              <w:spacing w:after="0"/>
              <w:rPr>
                <w:sz w:val="19"/>
                <w:szCs w:val="19"/>
                <w:color w:val="auto"/>
              </w:rPr>
            </w:pPr>
          </w:p>
        </w:tc>
        <w:tc>
          <w:tcPr>
            <w:tcW w:w="6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40" w:type="dxa"/>
            <w:vAlign w:val="bottom"/>
            <w:shd w:val="clear" w:color="auto" w:fill="CCEDFF"/>
          </w:tcPr>
          <w:p>
            <w:pPr>
              <w:spacing w:after="0"/>
              <w:rPr>
                <w:sz w:val="19"/>
                <w:szCs w:val="19"/>
                <w:color w:val="auto"/>
              </w:rPr>
            </w:pPr>
          </w:p>
        </w:tc>
        <w:tc>
          <w:tcPr>
            <w:tcW w:w="440" w:type="dxa"/>
            <w:vAlign w:val="bottom"/>
            <w:tcBorders>
              <w:bottom w:val="single" w:sz="8" w:color="auto"/>
            </w:tcBorders>
            <w:shd w:val="clear" w:color="auto" w:fill="CCEDFF"/>
          </w:tcPr>
          <w:p>
            <w:pPr>
              <w:spacing w:after="0"/>
              <w:rPr>
                <w:sz w:val="19"/>
                <w:szCs w:val="19"/>
                <w:color w:val="auto"/>
              </w:rPr>
            </w:pPr>
          </w:p>
        </w:tc>
        <w:tc>
          <w:tcPr>
            <w:tcW w:w="9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shd w:val="clear" w:color="auto" w:fill="CCEDFF"/>
          </w:tcPr>
          <w:p>
            <w:pPr>
              <w:spacing w:after="0"/>
              <w:rPr>
                <w:sz w:val="19"/>
                <w:szCs w:val="19"/>
                <w:color w:val="auto"/>
              </w:rPr>
            </w:pPr>
          </w:p>
        </w:tc>
        <w:tc>
          <w:tcPr>
            <w:tcW w:w="15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23"/>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income before income taxes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(11,785)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66.7 %</w:t>
            </w:r>
          </w:p>
        </w:tc>
      </w:tr>
      <w:tr>
        <w:trPr>
          <w:trHeight w:val="230"/>
        </w:trPr>
        <w:tc>
          <w:tcPr>
            <w:tcW w:w="4640" w:type="dxa"/>
            <w:vAlign w:val="bottom"/>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shd w:val="clear" w:color="auto" w:fill="CCEDFF"/>
          </w:tcPr>
          <w:p>
            <w:pPr>
              <w:spacing w:after="0"/>
              <w:rPr>
                <w:sz w:val="19"/>
                <w:szCs w:val="19"/>
                <w:color w:val="auto"/>
              </w:rPr>
            </w:pPr>
          </w:p>
        </w:tc>
        <w:tc>
          <w:tcPr>
            <w:tcW w:w="138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DFF"/>
          </w:tcPr>
          <w:p>
            <w:pPr>
              <w:spacing w:after="0"/>
              <w:rPr>
                <w:sz w:val="19"/>
                <w:szCs w:val="19"/>
                <w:color w:val="auto"/>
              </w:rPr>
            </w:pPr>
          </w:p>
        </w:tc>
        <w:tc>
          <w:tcPr>
            <w:tcW w:w="7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DFF"/>
          </w:tcPr>
          <w:p>
            <w:pPr>
              <w:spacing w:after="0"/>
              <w:rPr>
                <w:sz w:val="19"/>
                <w:szCs w:val="19"/>
                <w:color w:val="auto"/>
              </w:rPr>
            </w:pPr>
          </w:p>
        </w:tc>
        <w:tc>
          <w:tcPr>
            <w:tcW w:w="108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23"/>
        </w:trPr>
        <w:tc>
          <w:tcPr>
            <w:tcW w:w="46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(19,647)</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(11,785)</w:t>
            </w: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14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66.7 %</w:t>
            </w:r>
          </w:p>
        </w:tc>
      </w:tr>
      <w:tr>
        <w:trPr>
          <w:trHeight w:val="20"/>
        </w:trPr>
        <w:tc>
          <w:tcPr>
            <w:tcW w:w="4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and 2023, total revenues were $20.9 million and $20.6 million, respectively, representing a period-over-period increase of 1.5%. The table below (in thousands) compares the revenues earned for providing services under the Company’s asset management Platform as described in the Revenue Recognition section of Note 2 – Summary of Significant Accounting Policies for the year ended December 31, 2024, to the revenues earned for the same period in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4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management fees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fees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and construction fees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Brokerage fees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3"/>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 management</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20,563</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r>
      <w:tr>
        <w:trPr>
          <w:trHeight w:val="229"/>
        </w:trPr>
        <w:tc>
          <w:tcPr>
            <w:tcW w:w="4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48"/>
        </w:trPr>
        <w:tc>
          <w:tcPr>
            <w:tcW w:w="4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Platform revenue</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20,942</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increase in fund management fees is primarily due to an increase in capital raise fees and increase of managed capital and fees earned from the Caliber Hospitality Trust related to the acquisition of one hotel property. Fund management fees were based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1.0% and 1.5% of the unreturned capital contributions in each fund and a fund management fee of 0.7% of the Caliber Hospitality Trust’s enterprise value.</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decrease in performance allocations is due to the carried interest earned related to the contribution of the hospitality assets to Caliber Hospitality, LP in March 2023.</w:t>
      </w:r>
    </w:p>
    <w:p>
      <w:pPr>
        <w:spacing w:after="0" w:line="12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total expenses were $33.1 million and $30.2 million, respectively, representing a period-over-period increase of 9.4%. The increase was primarily due to an increase in bad debt expense, partiallky offset by a decrease in operating costs related to payroll and payroll related expenses.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loss, net was $2.7 million for the year ended December 31, 2024, as compared to $0.6 million for the year ended December 31, 2023. The decrease is primarily due to an increase in rental and reimbursement revenue from space leased at the Company’s corporate headquarters offset by a one-time impairment charge related to certain investments.</w:t>
      </w:r>
    </w:p>
    <w:p>
      <w:pPr>
        <w:spacing w:after="0" w:line="1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interest expense was $5.4 million and $4.7 million, respectively. The increase was primarily due to an increase in short-term operating loans outstanding during the year ended December 31, 2024, as compared to the same period in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 xml:space="preserve">Balance Sheets - </w:t>
      </w:r>
      <w:r>
        <w:rPr>
          <w:rFonts w:ascii="Times New Roman" w:cs="Times New Roman" w:eastAsia="Times New Roman" w:hAnsi="Times New Roman"/>
          <w:sz w:val="18"/>
          <w:szCs w:val="18"/>
          <w:b w:val="1"/>
          <w:bCs w:val="1"/>
          <w:i w:val="1"/>
          <w:iCs w:val="1"/>
          <w:color w:val="000000"/>
        </w:rPr>
        <w:t>Platform (Unconsolidated)</w:t>
      </w:r>
    </w:p>
    <w:p>
      <w:pPr>
        <w:spacing w:after="0" w:line="18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following table and discussion provide insight into our unconsolidated balance sheets of the asset management Platform for the years ended December 31, 2024 and 2023. Unconsolidated assets, liabilities and stockholders’ equity are presented on a basis that deconsolidates our consolidated funds (intercompany eliminations). Total assets, total liabilities, and total stockholders’ equity are different than those presented on a consolidated basis in accordance with U.S. GAAP, because certain accounts (including notes receivable, due from/to related parties, and investments in unconsolidated entities) are eliminated in consolidation when they are due from/to consolidated funds. Furthermore, we are required to add to this balance sheet, assets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liabilities and equity of the consolidated funds which are items that are not available to a shareholder of CWD. See the Non-GAAP Measures section below for reconciliations of the unconsolidated results to the most comparable U.S. GAAP measure.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0"/>
                <w:szCs w:val="20"/>
                <w:color w:val="auto"/>
              </w:rPr>
            </w:pP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20"/>
                <w:szCs w:val="20"/>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09"/>
        </w:trPr>
        <w:tc>
          <w:tcPr>
            <w:tcW w:w="686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D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spacing w:after="0"/>
              <w:rPr>
                <w:sz w:val="19"/>
                <w:szCs w:val="19"/>
                <w:color w:val="auto"/>
              </w:rPr>
            </w:pPr>
          </w:p>
        </w:tc>
        <w:tc>
          <w:tcPr>
            <w:tcW w:w="10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29"/>
        </w:trPr>
        <w:tc>
          <w:tcPr>
            <w:tcW w:w="68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investments, net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21,571</w:t>
            </w:r>
          </w:p>
        </w:tc>
        <w:tc>
          <w:tcPr>
            <w:tcW w:w="0" w:type="dxa"/>
            <w:vAlign w:val="bottom"/>
          </w:tcPr>
          <w:p>
            <w:pPr>
              <w:spacing w:after="0"/>
              <w:rPr>
                <w:sz w:val="1"/>
                <w:szCs w:val="1"/>
                <w:color w:val="auto"/>
              </w:rPr>
            </w:pPr>
          </w:p>
        </w:tc>
      </w:tr>
      <w:tr>
        <w:trPr>
          <w:trHeight w:val="229"/>
        </w:trPr>
        <w:tc>
          <w:tcPr>
            <w:tcW w:w="68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Notes receivable - related parties</w:t>
            </w: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8,510</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0" w:type="dxa"/>
            <w:vAlign w:val="bottom"/>
          </w:tcPr>
          <w:p>
            <w:pPr>
              <w:spacing w:after="0"/>
              <w:rPr>
                <w:sz w:val="1"/>
                <w:szCs w:val="1"/>
                <w:color w:val="auto"/>
              </w:rPr>
            </w:pPr>
          </w:p>
        </w:tc>
      </w:tr>
      <w:tr>
        <w:trPr>
          <w:trHeight w:val="229"/>
        </w:trPr>
        <w:tc>
          <w:tcPr>
            <w:tcW w:w="68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10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18,377</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0" w:type="dxa"/>
            <w:vAlign w:val="bottom"/>
          </w:tcPr>
          <w:p>
            <w:pPr>
              <w:spacing w:after="0"/>
              <w:rPr>
                <w:sz w:val="1"/>
                <w:szCs w:val="1"/>
                <w:color w:val="auto"/>
              </w:rPr>
            </w:pPr>
          </w:p>
        </w:tc>
      </w:tr>
      <w:tr>
        <w:trPr>
          <w:trHeight w:val="230"/>
        </w:trPr>
        <w:tc>
          <w:tcPr>
            <w:tcW w:w="68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20" w:type="dxa"/>
            <w:vAlign w:val="bottom"/>
            <w:tcBorders>
              <w:bottom w:val="single" w:sz="8" w:color="auto"/>
            </w:tcBorders>
            <w:shd w:val="clear" w:color="auto" w:fill="CCEDFF"/>
          </w:tcPr>
          <w:p>
            <w:pPr>
              <w:spacing w:after="0"/>
              <w:rPr>
                <w:sz w:val="19"/>
                <w:szCs w:val="19"/>
                <w:color w:val="auto"/>
              </w:rPr>
            </w:pPr>
          </w:p>
        </w:tc>
        <w:tc>
          <w:tcPr>
            <w:tcW w:w="19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9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0" w:type="dxa"/>
            <w:vAlign w:val="bottom"/>
          </w:tcPr>
          <w:p>
            <w:pPr>
              <w:spacing w:after="0"/>
              <w:rPr>
                <w:sz w:val="1"/>
                <w:szCs w:val="1"/>
                <w:color w:val="auto"/>
              </w:rPr>
            </w:pPr>
          </w:p>
        </w:tc>
      </w:tr>
      <w:tr>
        <w:trPr>
          <w:trHeight w:val="223"/>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57,077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74,711</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D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D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6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spacing w:after="0"/>
              <w:rPr>
                <w:sz w:val="19"/>
                <w:szCs w:val="19"/>
                <w:color w:val="auto"/>
              </w:rPr>
            </w:pPr>
          </w:p>
        </w:tc>
        <w:tc>
          <w:tcPr>
            <w:tcW w:w="10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Notes payable, net</w:t>
            </w:r>
          </w:p>
        </w:tc>
        <w:tc>
          <w:tcPr>
            <w:tcW w:w="22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50,450</w:t>
            </w:r>
          </w:p>
        </w:tc>
        <w:tc>
          <w:tcPr>
            <w:tcW w:w="100" w:type="dxa"/>
            <w:vAlign w:val="bottom"/>
            <w:shd w:val="clear" w:color="auto" w:fill="CCEDFF"/>
          </w:tcPr>
          <w:p>
            <w:pPr>
              <w:spacing w:after="0"/>
              <w:rPr>
                <w:sz w:val="19"/>
                <w:szCs w:val="19"/>
                <w:color w:val="auto"/>
              </w:rPr>
            </w:pPr>
          </w:p>
        </w:tc>
        <w:tc>
          <w:tcPr>
            <w:tcW w:w="22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53,799</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8,886</w:t>
            </w:r>
          </w:p>
        </w:tc>
        <w:tc>
          <w:tcPr>
            <w:tcW w:w="0" w:type="dxa"/>
            <w:vAlign w:val="bottom"/>
          </w:tcPr>
          <w:p>
            <w:pPr>
              <w:spacing w:after="0"/>
              <w:rPr>
                <w:sz w:val="1"/>
                <w:szCs w:val="1"/>
                <w:color w:val="auto"/>
              </w:rPr>
            </w:pPr>
          </w:p>
        </w:tc>
      </w:tr>
      <w:tr>
        <w:trPr>
          <w:trHeight w:val="229"/>
        </w:trPr>
        <w:tc>
          <w:tcPr>
            <w:tcW w:w="68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Due to related parties</w:t>
            </w: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0" w:type="dxa"/>
            <w:vAlign w:val="bottom"/>
          </w:tcPr>
          <w:p>
            <w:pPr>
              <w:spacing w:after="0"/>
              <w:rPr>
                <w:sz w:val="1"/>
                <w:szCs w:val="1"/>
                <w:color w:val="auto"/>
              </w:rPr>
            </w:pPr>
          </w:p>
        </w:tc>
      </w:tr>
      <w:tr>
        <w:trPr>
          <w:trHeight w:val="230"/>
        </w:trPr>
        <w:tc>
          <w:tcPr>
            <w:tcW w:w="68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DFF"/>
          </w:tcPr>
          <w:p>
            <w:pPr>
              <w:spacing w:after="0"/>
              <w:rPr>
                <w:sz w:val="19"/>
                <w:szCs w:val="19"/>
                <w:color w:val="auto"/>
              </w:rPr>
            </w:pPr>
          </w:p>
        </w:tc>
        <w:tc>
          <w:tcPr>
            <w:tcW w:w="19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9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65,521</w:t>
            </w:r>
          </w:p>
        </w:tc>
        <w:tc>
          <w:tcPr>
            <w:tcW w:w="10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68,055</w:t>
            </w:r>
          </w:p>
        </w:tc>
        <w:tc>
          <w:tcPr>
            <w:tcW w:w="0" w:type="dxa"/>
            <w:vAlign w:val="bottom"/>
          </w:tcPr>
          <w:p>
            <w:pPr>
              <w:spacing w:after="0"/>
              <w:rPr>
                <w:sz w:val="1"/>
                <w:szCs w:val="1"/>
                <w:color w:val="auto"/>
              </w:rPr>
            </w:pPr>
          </w:p>
        </w:tc>
      </w:tr>
      <w:tr>
        <w:trPr>
          <w:trHeight w:val="236"/>
        </w:trPr>
        <w:tc>
          <w:tcPr>
            <w:tcW w:w="6860" w:type="dxa"/>
            <w:vAlign w:val="bottom"/>
            <w:shd w:val="clear" w:color="auto" w:fill="CCEDFF"/>
          </w:tcPr>
          <w:p>
            <w:pPr>
              <w:spacing w:after="0"/>
              <w:rPr>
                <w:sz w:val="20"/>
                <w:szCs w:val="20"/>
                <w:color w:val="auto"/>
              </w:rPr>
            </w:pPr>
          </w:p>
        </w:tc>
        <w:tc>
          <w:tcPr>
            <w:tcW w:w="220" w:type="dxa"/>
            <w:vAlign w:val="bottom"/>
            <w:shd w:val="clear" w:color="auto" w:fill="CCEDFF"/>
          </w:tcPr>
          <w:p>
            <w:pPr>
              <w:spacing w:after="0"/>
              <w:rPr>
                <w:sz w:val="20"/>
                <w:szCs w:val="20"/>
                <w:color w:val="auto"/>
              </w:rPr>
            </w:pPr>
          </w:p>
        </w:tc>
        <w:tc>
          <w:tcPr>
            <w:tcW w:w="1920" w:type="dxa"/>
            <w:vAlign w:val="bottom"/>
            <w:shd w:val="clear" w:color="auto" w:fill="CCEDFF"/>
          </w:tcPr>
          <w:p>
            <w:pPr>
              <w:spacing w:after="0"/>
              <w:rPr>
                <w:sz w:val="20"/>
                <w:szCs w:val="20"/>
                <w:color w:val="auto"/>
              </w:rPr>
            </w:pPr>
          </w:p>
        </w:tc>
        <w:tc>
          <w:tcPr>
            <w:tcW w:w="100" w:type="dxa"/>
            <w:vAlign w:val="bottom"/>
            <w:shd w:val="clear" w:color="auto" w:fill="CCEDFF"/>
          </w:tcPr>
          <w:p>
            <w:pPr>
              <w:spacing w:after="0"/>
              <w:rPr>
                <w:sz w:val="20"/>
                <w:szCs w:val="20"/>
                <w:color w:val="auto"/>
              </w:rPr>
            </w:pPr>
          </w:p>
        </w:tc>
        <w:tc>
          <w:tcPr>
            <w:tcW w:w="220" w:type="dxa"/>
            <w:vAlign w:val="bottom"/>
            <w:shd w:val="clear" w:color="auto" w:fill="CCEDFF"/>
          </w:tcPr>
          <w:p>
            <w:pPr>
              <w:spacing w:after="0"/>
              <w:rPr>
                <w:sz w:val="20"/>
                <w:szCs w:val="20"/>
                <w:color w:val="auto"/>
              </w:rPr>
            </w:pPr>
          </w:p>
        </w:tc>
        <w:tc>
          <w:tcPr>
            <w:tcW w:w="1920" w:type="dxa"/>
            <w:vAlign w:val="bottom"/>
            <w:shd w:val="clear" w:color="auto" w:fill="CCED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 (Deficit) Equity</w:t>
            </w: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Paid-in capital</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36,966</w:t>
            </w:r>
          </w:p>
        </w:tc>
        <w:tc>
          <w:tcPr>
            <w:tcW w:w="0" w:type="dxa"/>
            <w:vAlign w:val="bottom"/>
          </w:tcPr>
          <w:p>
            <w:pPr>
              <w:spacing w:after="0"/>
              <w:rPr>
                <w:sz w:val="1"/>
                <w:szCs w:val="1"/>
                <w:color w:val="auto"/>
              </w:rPr>
            </w:pPr>
          </w:p>
        </w:tc>
      </w:tr>
      <w:tr>
        <w:trPr>
          <w:trHeight w:val="229"/>
        </w:trPr>
        <w:tc>
          <w:tcPr>
            <w:tcW w:w="68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shd w:val="clear" w:color="auto" w:fill="CCEDFF"/>
          </w:tcPr>
          <w:p>
            <w:pPr>
              <w:spacing w:after="0"/>
              <w:rPr>
                <w:sz w:val="19"/>
                <w:szCs w:val="19"/>
                <w:color w:val="auto"/>
              </w:rPr>
            </w:pPr>
          </w:p>
        </w:tc>
        <w:tc>
          <w:tcPr>
            <w:tcW w:w="19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(49,997)</w:t>
            </w:r>
          </w:p>
        </w:tc>
        <w:tc>
          <w:tcPr>
            <w:tcW w:w="10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9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(30,332)</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0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DFF"/>
            </w:tcBorders>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(deficit) equity</w:t>
            </w:r>
          </w:p>
        </w:tc>
        <w:tc>
          <w:tcPr>
            <w:tcW w:w="22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57,077</w:t>
            </w:r>
          </w:p>
        </w:tc>
        <w:tc>
          <w:tcPr>
            <w:tcW w:w="10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74,711</w:t>
            </w:r>
          </w:p>
        </w:tc>
        <w:tc>
          <w:tcPr>
            <w:tcW w:w="0" w:type="dxa"/>
            <w:vAlign w:val="bottom"/>
          </w:tcPr>
          <w:p>
            <w:pPr>
              <w:spacing w:after="0"/>
              <w:rPr>
                <w:sz w:val="1"/>
                <w:szCs w:val="1"/>
                <w:color w:val="auto"/>
              </w:rPr>
            </w:pPr>
          </w:p>
        </w:tc>
      </w:tr>
      <w:tr>
        <w:trPr>
          <w:trHeight w:val="20"/>
        </w:trPr>
        <w:tc>
          <w:tcPr>
            <w:tcW w:w="686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920" w:type="dxa"/>
            <w:vAlign w:val="bottom"/>
            <w:tcBorders>
              <w:top w:val="single" w:sz="8" w:color="CCEDFF"/>
              <w:bottom w:val="single" w:sz="8" w:color="auto"/>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92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40" w:right="20" w:hanging="332"/>
        <w:spacing w:after="0" w:line="229" w:lineRule="auto"/>
        <w:tabs>
          <w:tab w:leader="none" w:pos="199"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this balance is the Company’s corporate headquarters office building which had a $22.6 million fair value as of the year ended December 31,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investments that are held by our funds are generally considered to be illiquid and have no readily ascertainable market value. We value these investments based on our estimate of their fair value as of the date of determination. We estimate the fair value of our fund’s investments based on several inputs built within forecasting models. The models generally rely on discounted cash flow analysis and other techniques and may include independently sourced market parameters. The material estimates and assumptions used in these models include the timing and expected amounts of cash flows, income and expenses for the property, the appropriateness of discount rates used, overall capitalization rate, and, in some cases, the ability to execute, estimated proceeds and timing of expected sales and financings. Most of our assets utilize the income approach to value the property. Where appropriate, management may obtain additional supporting evidence of values from methods generally utilized in the real estate investment industry, such as appraisal reports and broker price opinion reports.</w:t>
      </w:r>
    </w:p>
    <w:p>
      <w:pPr>
        <w:spacing w:after="0" w:line="1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With respect to the underlying factors that led to the change in fair value in the current year, we identify assets that are undervalued and/or underperforming as part of our acquisition strategy. Such assets generally undergo some form of repositioning soon after our acquisition to help drive increased appreciation and operating performance. Once the repositioning is complete, we focus on increasing the asset’s net operating income, thereby further increasing the value of the asset. By making these below-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market acquisitions, adding value through development activities, and increasing free cash flow with proper management all represent a material component to our core business model.</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unique feature of Caliber’s funds is the discretion given to Caliber’s management team to decide when to sell assets and when to hold them. We believe this discretion allows Caliber to avoid selling properties that, while their business plan may have matured, the market will not pay an attractive price in the current environment. Avoiding selling at a time of disruption, such as all of 2020, is critical to preserving the value of our assets, our carried interest, our ongoing revenues, and our clients’ capital. While this is management’s expectation, there can be no assurance these outcomes will occur.</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Under Management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AUM refers to the assets we manage or sponsor. We monitor two types of information with regard to our AUM:</w:t>
      </w:r>
    </w:p>
    <w:p>
      <w:pPr>
        <w:spacing w:after="0" w:line="198" w:lineRule="exact"/>
        <w:rPr>
          <w:sz w:val="20"/>
          <w:szCs w:val="20"/>
          <w:color w:val="auto"/>
        </w:rPr>
      </w:pPr>
    </w:p>
    <w:p>
      <w:pPr>
        <w:jc w:val="both"/>
        <w:ind w:left="660" w:hanging="328"/>
        <w:spacing w:after="0" w:line="256" w:lineRule="auto"/>
        <w:tabs>
          <w:tab w:leader="none" w:pos="6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Capital – we define this as the total capital we fundraise from our customers as investments in our funds. It also includes fundraising into our corporate note program, the proceeds of which were used, in part, to invest in or loan to our funds. We use this information to monitor, among other things, the amount of ‘preferred return’ that would be paid at the time of a distribution and the potential to earn a performance fee over and above the preferred return at the time of the distribution. Our fund management fees are based on a percentage of managed capital or a percentage of assets under management, and monitoring the change and composition of managed capital provides relevant data points for Caliber management to further calculate and predict future earnings.</w:t>
      </w:r>
    </w:p>
    <w:p>
      <w:pPr>
        <w:spacing w:after="0" w:line="146"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(“FV”) AUM – we define this is as the aggregate fair value of the real estate assets we manage and from which we derive management fees, performance revenues and other fees and expense reimbursements. We estimate the value of these assets quarterly to help make sale and hold decisions and to evaluate whether an existing asset would benefit from refinancing or recapitalization. This also gives us insight into the value of our carried interest at any point in time. We also utilize FV AUM to predict the percentage of our portfolio which may need development services in a given year, fund management services (such as refinance), and brokerage services. As we control the decision to hire for these services, our service income is generally predictable based upon our current portfolio AUM and our expectations for AUM growth in the year forecasted. As of December 31, 2024, we had total FV AUM of approximately $794.9 million.</w:t>
      </w:r>
    </w:p>
    <w:p>
      <w:pPr>
        <w:spacing w:after="0" w:line="14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Although we believe we are utilizing generally accepted methodologies for our calculation of Managed Capital and FV AUM, it may differ from our competitors, thereby making these metrics non-comparable to our competitors.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Managed Capital</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the activity of managed capital for the years ended December 31, 2024 and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Managed Capital</w:t>
            </w:r>
          </w:p>
        </w:tc>
      </w:tr>
      <w:tr>
        <w:trPr>
          <w:trHeight w:val="223"/>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2022</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383,189</w:t>
            </w:r>
          </w:p>
        </w:tc>
      </w:tr>
      <w:tr>
        <w:trPr>
          <w:trHeight w:val="230"/>
        </w:trPr>
        <w:tc>
          <w:tcPr>
            <w:tcW w:w="9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Originations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74,857</w:t>
            </w:r>
          </w:p>
        </w:tc>
      </w:tr>
      <w:tr>
        <w:trPr>
          <w:trHeight w:val="229"/>
        </w:trPr>
        <w:tc>
          <w:tcPr>
            <w:tcW w:w="9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of capital</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(22,962)</w:t>
            </w:r>
          </w:p>
        </w:tc>
      </w:tr>
      <w:tr>
        <w:trPr>
          <w:trHeight w:val="230"/>
        </w:trPr>
        <w:tc>
          <w:tcPr>
            <w:tcW w:w="918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w:t>
            </w:r>
          </w:p>
        </w:tc>
      </w:tr>
      <w:tr>
        <w:trPr>
          <w:trHeight w:val="223"/>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2023</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437,625</w:t>
            </w:r>
          </w:p>
        </w:tc>
      </w:tr>
      <w:tr>
        <w:trPr>
          <w:trHeight w:val="230"/>
        </w:trPr>
        <w:tc>
          <w:tcPr>
            <w:tcW w:w="9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Originations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68,959</w:t>
            </w:r>
          </w:p>
        </w:tc>
      </w:tr>
      <w:tr>
        <w:trPr>
          <w:trHeight w:val="230"/>
        </w:trPr>
        <w:tc>
          <w:tcPr>
            <w:tcW w:w="9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of capital</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(14,042)</w:t>
            </w:r>
          </w:p>
        </w:tc>
      </w:tr>
      <w:tr>
        <w:trPr>
          <w:trHeight w:val="223"/>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2024</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492,542</w:t>
            </w:r>
          </w:p>
        </w:tc>
      </w:tr>
      <w:tr>
        <w:trPr>
          <w:trHeight w:val="20"/>
        </w:trPr>
        <w:tc>
          <w:tcPr>
            <w:tcW w:w="9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68"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represents the inclusion of an investment of one of our funds upon the completion of an equity swap during the year ended December 31, 2023.</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32"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managed capital for our investment fund portfolios as of December 31, 2024 and 2023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Pr>
          <w:p>
            <w:pPr>
              <w:spacing w:after="0"/>
              <w:rPr>
                <w:sz w:val="20"/>
                <w:szCs w:val="20"/>
                <w:color w:val="auto"/>
              </w:rPr>
            </w:pP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5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Borders>
              <w:top w:val="single" w:sz="8" w:color="auto"/>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spacing w:after="0"/>
              <w:rPr>
                <w:sz w:val="19"/>
                <w:szCs w:val="19"/>
                <w:color w:val="auto"/>
              </w:rPr>
            </w:pPr>
          </w:p>
        </w:tc>
      </w:tr>
      <w:tr>
        <w:trPr>
          <w:trHeight w:val="23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Hospitality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49,260</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43,660</w:t>
            </w:r>
          </w:p>
        </w:tc>
      </w:tr>
      <w:tr>
        <w:trPr>
          <w:trHeight w:val="229"/>
        </w:trPr>
        <w:tc>
          <w:tcPr>
            <w:tcW w:w="65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Caliber Hospitality Trust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97,414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70,747</w:t>
            </w:r>
          </w:p>
        </w:tc>
      </w:tr>
      <w:tr>
        <w:trPr>
          <w:trHeight w:val="23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74,224</w:t>
            </w:r>
          </w:p>
        </w:tc>
      </w:tr>
      <w:tr>
        <w:trPr>
          <w:trHeight w:val="229"/>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170,858</w:t>
            </w: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155,004</w:t>
            </w:r>
          </w:p>
        </w:tc>
      </w:tr>
      <w:tr>
        <w:trPr>
          <w:trHeight w:val="223"/>
        </w:trPr>
        <w:tc>
          <w:tcPr>
            <w:tcW w:w="6560" w:type="dxa"/>
            <w:vAlign w:val="bottom"/>
          </w:tcPr>
          <w:p>
            <w:pPr>
              <w:ind w:left="520"/>
              <w:spacing w:after="0" w:line="223" w:lineRule="exact"/>
              <w:rPr>
                <w:sz w:val="20"/>
                <w:szCs w:val="20"/>
                <w:color w:val="auto"/>
              </w:rPr>
            </w:pPr>
            <w:r>
              <w:rPr>
                <w:rFonts w:ascii="Times New Roman" w:cs="Times New Roman" w:eastAsia="Times New Roman" w:hAnsi="Times New Roman"/>
                <w:sz w:val="18"/>
                <w:szCs w:val="18"/>
                <w:color w:val="auto"/>
              </w:rPr>
              <w:t xml:space="preserve">Total Real Estate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414,219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343,635</w:t>
            </w:r>
          </w:p>
        </w:tc>
      </w:tr>
      <w:tr>
        <w:trPr>
          <w:trHeight w:val="270"/>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Credit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72,351</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84,588</w:t>
            </w:r>
          </w:p>
        </w:tc>
      </w:tr>
      <w:tr>
        <w:trPr>
          <w:trHeight w:val="270"/>
        </w:trPr>
        <w:tc>
          <w:tcPr>
            <w:tcW w:w="6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9,402</w:t>
            </w: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492,542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437,625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85" w:lineRule="exact"/>
        <w:rPr>
          <w:sz w:val="20"/>
          <w:szCs w:val="20"/>
          <w:color w:val="auto"/>
        </w:rPr>
      </w:pPr>
    </w:p>
    <w:p>
      <w:pPr>
        <w:ind w:left="340" w:right="20" w:hanging="332"/>
        <w:spacing w:after="0" w:line="229" w:lineRule="auto"/>
        <w:tabs>
          <w:tab w:leader="none" w:pos="32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earns a fund management fee of 0.7% of the Caliber Hospitality Trust’s enterprise value and is reimbursed for certain costs incurred on behalf of the Caliber Hospitality Trust.</w:t>
      </w:r>
    </w:p>
    <w:p>
      <w:pPr>
        <w:spacing w:after="0" w:line="157" w:lineRule="exact"/>
        <w:rPr>
          <w:rFonts w:ascii="Times New Roman" w:cs="Times New Roman" w:eastAsia="Times New Roman" w:hAnsi="Times New Roman"/>
          <w:sz w:val="23"/>
          <w:szCs w:val="23"/>
          <w:color w:val="auto"/>
          <w:vertAlign w:val="superscript"/>
        </w:rPr>
      </w:pPr>
    </w:p>
    <w:p>
      <w:pPr>
        <w:jc w:val="both"/>
        <w:ind w:left="340" w:hanging="332"/>
        <w:spacing w:after="0" w:line="254" w:lineRule="auto"/>
        <w:tabs>
          <w:tab w:leader="none" w:pos="32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Beginning during the year ended December 31, 2023, the Company includes capital raised from investors in CaliberCos Inc. through corporate note issuances that was further invested in our funds in Managed Capital. As of December 31, 2024 and 2023, the Company had invested $20.4 million and $18.3 million, respectively, in our funds.</w:t>
      </w:r>
    </w:p>
    <w:p>
      <w:pPr>
        <w:spacing w:after="0" w:line="159"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Credit managed capital represents loans made to Caliber’s investment funds by the Company and our diversified credit fund. As of December 31, 2024 and 2023, the Company had loaned $0.4 million and $8.5 million to our funds.</w:t>
      </w:r>
    </w:p>
    <w:p>
      <w:pPr>
        <w:spacing w:after="0" w:line="12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managed capital represents undeployed capital held in our diversified funds.</w:t>
      </w:r>
    </w:p>
    <w:p>
      <w:pPr>
        <w:spacing w:after="0" w:line="15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Managed capital for our hospitality funds increased by $5.6 million during the year ended December 31, 2024, due to a $5.7 million related party note receivable bearing 12.0 % interest, issued to Caliber Hospitality Trust.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Managed capital for the Caliber Hospitality trust increased by $26.7 million during the year ended December 31, 2024, primarily due to the issuance of $9.6 million of Caliber Hospitality, LP operating partnership units in exchange for the contribution of a hotel from L.T.D. on March 7, 2024 and $17.1 million of investments in Caliber Hospitality Trusts’ non-voting preferred stock.</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Managed capital for our residential investment funds increased by $22.5 million during the year ended December 31, 2024: representing (i) $9.6 million in capital raised into our residential assets offset by $8.3 million of capital returns, and (ii) $21.2 million contributed by our diversified funds.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Managed capital for our commercial investment funds increased by $15.9 million during the year ended December 31, 2024, representing: (i) $11.0 million in capital raised into our commercial assets offset by $3.2 million of capital returns, and (ii) $10.6 million contributed by our diversified funds offset by $2.5 million return of capital. The scope of investments included tenant improvements, land development, and acquiring existing operating commercial properties.</w:t>
      </w:r>
    </w:p>
    <w:p>
      <w:pPr>
        <w:spacing w:after="0" w:line="15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our diversified funds deployed $12.9 million into our various real estate investments, which was offset by $25.2 million of repayments of outstanding notes receivable.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other managed capital decreased $3.4 million, due to a decrease in funds not yet deployed and pursuit costs.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FV AUM</w:t>
      </w:r>
    </w:p>
    <w:p>
      <w:pPr>
        <w:spacing w:after="0" w:line="20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Our fair value AUM decreased primarily due to asset sales, partially offset by asset purchases. The table below details the activities that had an impact on our FV AUM, during the </w:t>
      </w:r>
      <w:r>
        <w:rPr>
          <w:rFonts w:ascii="Times New Roman" w:cs="Times New Roman" w:eastAsia="Times New Roman" w:hAnsi="Times New Roman"/>
          <w:sz w:val="18"/>
          <w:szCs w:val="18"/>
          <w:color w:val="000000"/>
        </w:rPr>
        <w:t>years ended December 31, 2024 and 2023</w:t>
      </w:r>
      <w:r>
        <w:rPr>
          <w:rFonts w:ascii="Times New Roman" w:cs="Times New Roman" w:eastAsia="Times New Roman" w:hAnsi="Times New Roman"/>
          <w:sz w:val="18"/>
          <w:szCs w:val="18"/>
          <w:color w:val="231F20"/>
        </w:rPr>
        <w:t xml:space="preserve">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Assets acquired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Construction and net market appreciation</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Assets sold or disposed </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 xml:space="preserve">Credit </w:t>
      </w:r>
      <w:r>
        <w:rPr>
          <w:rFonts w:ascii="Times New Roman" w:cs="Times New Roman" w:eastAsia="Times New Roman" w:hAnsi="Times New Roman"/>
          <w:sz w:val="23"/>
          <w:szCs w:val="23"/>
          <w:color w:val="auto"/>
          <w:vertAlign w:val="superscript"/>
        </w:rPr>
        <w:t>(3)</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Balances as of December 31, 2023</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CHT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Assets acquired </w:t>
      </w:r>
      <w:r>
        <w:rPr>
          <w:rFonts w:ascii="Times New Roman" w:cs="Times New Roman" w:eastAsia="Times New Roman" w:hAnsi="Times New Roman"/>
          <w:sz w:val="23"/>
          <w:szCs w:val="23"/>
          <w:color w:val="auto"/>
          <w:vertAlign w:val="superscript"/>
        </w:rPr>
        <w:t>(1)</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Construction and net market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 xml:space="preserve">Assets sold or disposed </w:t>
      </w:r>
      <w:r>
        <w:rPr>
          <w:rFonts w:ascii="Times New Roman" w:cs="Times New Roman" w:eastAsia="Times New Roman" w:hAnsi="Times New Roman"/>
          <w:sz w:val="23"/>
          <w:szCs w:val="23"/>
          <w:color w:val="auto"/>
          <w:vertAlign w:val="superscript"/>
        </w:rPr>
        <w:t>(2)</w:t>
      </w:r>
    </w:p>
    <w:p>
      <w:pPr>
        <w:ind w:left="180"/>
        <w:spacing w:after="0"/>
        <w:rPr>
          <w:sz w:val="20"/>
          <w:szCs w:val="20"/>
          <w:color w:val="auto"/>
        </w:rPr>
      </w:pPr>
      <w:r>
        <w:rPr>
          <w:rFonts w:ascii="Times New Roman" w:cs="Times New Roman" w:eastAsia="Times New Roman" w:hAnsi="Times New Roman"/>
          <w:sz w:val="18"/>
          <w:szCs w:val="18"/>
          <w:color w:val="auto"/>
        </w:rPr>
        <w:t xml:space="preserve">Credit </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(4)</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Balances as of December 31, 2024</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745,514</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29,384</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9,129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(52,710)</w:t>
      </w:r>
    </w:p>
    <w:p>
      <w:pPr>
        <w:spacing w:after="0" w:line="58"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9,822</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51</w:t>
      </w:r>
    </w:p>
    <w:p>
      <w:pPr>
        <w:spacing w:after="0" w:line="3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741,190</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29,900</w:t>
      </w:r>
    </w:p>
    <w:p>
      <w:pPr>
        <w:spacing w:after="0" w:line="58"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34,590</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40,675</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(35,765)</w:t>
      </w:r>
    </w:p>
    <w:p>
      <w:pPr>
        <w:spacing w:after="0" w:line="5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(12,237)</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3030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794,923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3030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030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43180</wp:posOffset>
            </wp:positionV>
            <wp:extent cx="13030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8480" w:space="720"/>
            <w:col w:w="2040"/>
          </w:cols>
          <w:pgMar w:left="320" w:top="121" w:right="339" w:bottom="1440" w:gutter="0" w:footer="0" w:header="0"/>
          <w:type w:val="continuous"/>
        </w:sectPr>
      </w:pP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FV AUM of our investment fund portfolios as of December 31, 2024 and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6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r>
      <w:tr>
        <w:trPr>
          <w:trHeight w:val="230"/>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Hospitality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68,500</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67,200</w:t>
            </w:r>
          </w:p>
        </w:tc>
      </w:tr>
      <w:tr>
        <w:trPr>
          <w:trHeight w:val="22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Caliber Hospitality Trust</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201,600</w:t>
            </w:r>
          </w:p>
        </w:tc>
      </w:tr>
      <w:tr>
        <w:trPr>
          <w:trHeight w:val="230"/>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138,000</w:t>
            </w:r>
          </w:p>
        </w:tc>
      </w:tr>
      <w:tr>
        <w:trPr>
          <w:trHeight w:val="230"/>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249,600</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240,400</w:t>
            </w:r>
          </w:p>
        </w:tc>
      </w:tr>
      <w:tr>
        <w:trPr>
          <w:trHeight w:val="223"/>
        </w:trPr>
        <w:tc>
          <w:tcPr>
            <w:tcW w:w="6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Real Estate</w:t>
            </w: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647,200</w:t>
            </w:r>
          </w:p>
        </w:tc>
      </w:tr>
      <w:tr>
        <w:trPr>
          <w:trHeight w:val="27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Credit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23"/>
                <w:szCs w:val="23"/>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72,351</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84,588</w:t>
            </w:r>
          </w:p>
        </w:tc>
      </w:tr>
      <w:tr>
        <w:trPr>
          <w:trHeight w:val="270"/>
        </w:trPr>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9,402</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794,923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741,190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98" w:lineRule="exact"/>
        <w:rPr>
          <w:sz w:val="20"/>
          <w:szCs w:val="20"/>
          <w:color w:val="auto"/>
        </w:rPr>
      </w:pPr>
    </w:p>
    <w:p>
      <w:pPr>
        <w:jc w:val="both"/>
        <w:ind w:left="340" w:hanging="332"/>
        <w:spacing w:after="0" w:line="235" w:lineRule="auto"/>
        <w:tabs>
          <w:tab w:leader="none" w:pos="32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Assets acquired during the year ended December 31, 2024 include West Ridge, a 133 acre mixed-use land development in Colorado and Canyon, an office building conversion to multi-family residential. Assets acquired during the year ended December 31, 2023 include one development asset in Colorado, our headquarters office building, and two multi-family residential assets in Arizona.</w:t>
      </w:r>
    </w:p>
    <w:p>
      <w:pPr>
        <w:spacing w:after="0" w:line="159"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Assets sold during the year ended December 31, 2024 include a commercial asset, lot sales related to two development assets in Colorado, and one home from our residential fund. Assets sold during the year ended December 31, 2023 include lot sales related to a development asset in Colorado, one development asset in Colorado, nine homes from our residential fund, and one commercial asset in Arizona.</w:t>
      </w:r>
    </w:p>
    <w:p>
      <w:pPr>
        <w:spacing w:after="0" w:line="129"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Credit FV AUM represents loans made to Caliber’s investment funds by our diversified credit fund.</w:t>
      </w:r>
    </w:p>
    <w:p>
      <w:pPr>
        <w:spacing w:after="0" w:line="14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FV AUM represents undeployed capital held in our diversified funds.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We use non-GAAP financial measures to evaluate operating performance, identify trends, formulate financial projections, make strategic decisions, and for other discretionary purposes. We believe that these measures enhance the understanding of ongoing operations and comparability of current results to prior periods and may be useful for investors to analyze our financial performance because they </w:t>
      </w:r>
      <w:r>
        <w:rPr>
          <w:rFonts w:ascii="Times New Roman" w:cs="Times New Roman" w:eastAsia="Times New Roman" w:hAnsi="Times New Roman"/>
          <w:sz w:val="18"/>
          <w:szCs w:val="18"/>
          <w:color w:val="000000"/>
        </w:rPr>
        <w:t>provides investors a view of the performance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attributable to CaliberCos Inc</w:t>
      </w:r>
      <w:r>
        <w:rPr>
          <w:rFonts w:ascii="Times New Roman" w:cs="Times New Roman" w:eastAsia="Times New Roman" w:hAnsi="Times New Roman"/>
          <w:sz w:val="18"/>
          <w:szCs w:val="18"/>
          <w:color w:val="231F20"/>
        </w:rPr>
        <w:t>. When analyzing our operating performance, investors should use these measures in addition to, and not as an alternative for,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their most directly comparable financial measure calculated and presented in accordance with U.S. GAAP. Our presentation of non-GAAP measures may not be comparable to similarly identified measures of other companies because not all companies use the same calculations. These measures may also differ from the amounts calculated under similarly titled definitions in our debt instruments, which amounts are further adjusted to reflect certain other cash and non-cash charges and are used by us to determine compliance with financial covenants therein and our ability to engage in certain activities, such as incurring additional debt and making certain restricted payments.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Platform or Platform</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52525"/>
        </w:rPr>
        <w:t>Platform refers to the performance of the Caliber asset management platform segment, which generates revenues and expenses from managing our investment portfolio, which does not include any consolidated assets or funds. These activities include asset management, transaction services, and performance allocations. Management believes that this is an important view of the Company because it communicates performance of the Company that would be most useful for understanding the value of CWD.</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Fee-Related Earnings and Related Components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Fee-Related Earnings is a supplemental non-GAAP performance measure used to assess our ability to generate profits from fee-based revenues, focusing on whether our core revenue streams, are sufficient to cover our core operating expenses. Fee-Related Earnings represents the Company’s net income (loss) before income taxes adjusted to exclude depreciation and amortization, stock-based compensation, interest expense and extraordinary or non-recurring revenue and expenses, including performance allocation revenue and gain (loss) on extinguishment of debt, public registration direct costs related to aborted or delayed offerings and our Reg A+ offering, the share repurchase costs related to the Company’s Buyback Program, litigation settlements, and expenses recorded to earnings relating to investment deals which were abandoned or closed. Fee-Related Earnings is presented on a basis that deconsolidates our consolidated funds (intercompany eliminations) and eliminates noncontrolling interest. Eliminating the impact of consolidated funds and noncontrolling interest provides investors a view of the performance attributable to CaliberCos Inc. and is consistent with performance models and analysis used by management.</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Distributable Earnings is a supplemental non-GAAP performance measure equal to Fee-Related Earnings plus performance allocation revenue and less interest expenses and provision for income taxes. We believe that Distributable Earnings can be useful as a supplemental performance measure to our GAAP results assessing the amount of earnings available for distribution.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52525"/>
        </w:rPr>
        <w:t>P</w:t>
      </w:r>
      <w:r>
        <w:rPr>
          <w:rFonts w:ascii="Times New Roman" w:cs="Times New Roman" w:eastAsia="Times New Roman" w:hAnsi="Times New Roman"/>
          <w:sz w:val="18"/>
          <w:szCs w:val="18"/>
          <w:b w:val="1"/>
          <w:bCs w:val="1"/>
          <w:i w:val="1"/>
          <w:iCs w:val="1"/>
          <w:color w:val="000000"/>
        </w:rPr>
        <w:t>latform Earnings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Platform Earnings represents the performance of the Caliber asset management platform segment, which generates revenues and expenses from managing our investment portfolio, excluding any consolidated assets or funds.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Platform Earnings per Share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52525"/>
        </w:rPr>
        <w:t>Platform Earnings per Share is calculated as Platform Earnings divided by weighted average CWD common shares outstanding.</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Platform Adjusted EBITDA</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Platform Adjusted EBITDA represents the Company’s Distributable Earnings adjusted for interest expense, the share repurchase costs related to the Company’s Buyback Program, other income (expense), and provision for income taxes on a basis that deconsolidates our consolidated funds (intercompany eliminations), and eliminates noncontrolling interest. Eliminating the impact of consolidated funds and noncontrolling interest provides investors a view of the performance attributable to the Platform and is consistent with performance models and analysis used by management.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Consolidated Adjusted EBITDA</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Consolidated Adjusted EBITDA represents the Company’s and the consolidated funds’ earnings before net interest expense, income taxes, depreciation and amortization, further adjusted to exclude stock-based compensation, transaction fees, expenses and other public registration direct costs related to aborted or delayed offerings and our Reg A+ offering, the share repurchase costs related to the Company’s Buyback Program, litigation settlements, expenses recorded to earnings relating to investment deals which were abandoned or closed, any other non-cash expenses or losses, as further adjusted for extraordinary or non-recurring items.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Platform Basic and Diluted Earnings Per Share (“EPS”)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Platform Basic and Diluted EPS represents earnings per share generated by the Platform, without reflecting the impact of consolidation. Eliminating the impact of consolidated funds and noncontrolling interest provides investors a view of the performance attributable to the Platform and is consistent with performance models and analysis used by management.</w:t>
      </w:r>
    </w:p>
    <w:p>
      <w:pPr>
        <w:spacing w:after="0" w:line="14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presents a reconciliation of net loss attributable to CaliberCos Inc. to Fee-Related Earnings, Distributable Earnings, Platform </w:t>
      </w:r>
      <w:r>
        <w:rPr>
          <w:rFonts w:ascii="Times New Roman" w:cs="Times New Roman" w:eastAsia="Times New Roman" w:hAnsi="Times New Roman"/>
          <w:sz w:val="18"/>
          <w:szCs w:val="18"/>
          <w:color w:val="231F20"/>
        </w:rPr>
        <w:t xml:space="preserve">Adjusted EBITDA, and Consolidated Adjusted EBITDA </w:t>
      </w:r>
      <w:r>
        <w:rPr>
          <w:rFonts w:ascii="Times New Roman" w:cs="Times New Roman" w:eastAsia="Times New Roman" w:hAnsi="Times New Roman"/>
          <w:sz w:val="18"/>
          <w:szCs w:val="18"/>
          <w:color w:val="000000"/>
        </w:rPr>
        <w:t>for the years ended December 31, 2024 and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342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40" w:type="dxa"/>
            <w:vAlign w:val="bottom"/>
            <w:tcBorders>
              <w:bottom w:val="single" w:sz="8" w:color="auto"/>
            </w:tcBorders>
          </w:tcPr>
          <w:p>
            <w:pPr>
              <w:spacing w:after="0"/>
              <w:rPr>
                <w:sz w:val="20"/>
                <w:szCs w:val="20"/>
                <w:color w:val="auto"/>
              </w:rPr>
            </w:pPr>
          </w:p>
        </w:tc>
      </w:tr>
      <w:tr>
        <w:trPr>
          <w:trHeight w:val="223"/>
        </w:trPr>
        <w:tc>
          <w:tcPr>
            <w:tcW w:w="70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Borders>
              <w:bottom w:val="single" w:sz="8" w:color="auto"/>
            </w:tcBorders>
          </w:tcPr>
          <w:p>
            <w:pPr>
              <w:spacing w:after="0"/>
              <w:rPr>
                <w:sz w:val="19"/>
                <w:szCs w:val="19"/>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CaliberCos Inc.</w:t>
            </w:r>
          </w:p>
        </w:tc>
        <w:tc>
          <w:tcPr>
            <w:tcW w:w="12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(12,703)</w:t>
            </w:r>
          </w:p>
        </w:tc>
      </w:tr>
      <w:tr>
        <w:trPr>
          <w:trHeight w:val="229"/>
        </w:trPr>
        <w:tc>
          <w:tcPr>
            <w:tcW w:w="7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(14,891)</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(27,594)</w:t>
            </w:r>
          </w:p>
        </w:tc>
      </w:tr>
      <w:tr>
        <w:trPr>
          <w:trHeight w:val="229"/>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2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(27,594)</w:t>
            </w:r>
          </w:p>
        </w:tc>
      </w:tr>
      <w:tr>
        <w:trPr>
          <w:trHeight w:val="230"/>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30"/>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funds’ impact on fee-related earnings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14,020</w:t>
            </w:r>
          </w:p>
        </w:tc>
      </w:tr>
      <w:tr>
        <w:trPr>
          <w:trHeight w:val="229"/>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r>
      <w:tr>
        <w:trPr>
          <w:trHeight w:val="230"/>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Severance</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w:t>
            </w:r>
          </w:p>
        </w:tc>
      </w:tr>
      <w:tr>
        <w:trPr>
          <w:trHeight w:val="230"/>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29"/>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receivable impairment</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(8,924)</w:t>
            </w:r>
          </w:p>
        </w:tc>
      </w:tr>
      <w:tr>
        <w:trPr>
          <w:trHeight w:val="230"/>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w:t>
            </w:r>
          </w:p>
        </w:tc>
      </w:tr>
      <w:tr>
        <w:trPr>
          <w:trHeight w:val="230"/>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r>
      <w:tr>
        <w:trPr>
          <w:trHeight w:val="229"/>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12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(9,652)</w:t>
            </w:r>
          </w:p>
        </w:tc>
      </w:tr>
      <w:tr>
        <w:trPr>
          <w:trHeight w:val="230"/>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w:t>
            </w:r>
          </w:p>
        </w:tc>
      </w:tr>
      <w:tr>
        <w:trPr>
          <w:trHeight w:val="230"/>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buy-back</w:t>
            </w:r>
          </w:p>
        </w:tc>
        <w:tc>
          <w:tcPr>
            <w:tcW w:w="1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2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CRAF Investment</w:t>
            </w:r>
          </w:p>
        </w:tc>
        <w:tc>
          <w:tcPr>
            <w:tcW w:w="12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30"/>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funds’ impact on Caliber Adjusted EBITDA</w:t>
            </w: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Platform Adjusted EBITDA Loss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30"/>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funds' EBITDA Adjustments</w:t>
            </w: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9,694</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Adjusted EBITDA</w:t>
            </w:r>
          </w:p>
        </w:tc>
        <w:tc>
          <w:tcPr>
            <w:tcW w:w="128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6,984</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10,168</w:t>
            </w:r>
          </w:p>
        </w:tc>
      </w:tr>
      <w:tr>
        <w:trPr>
          <w:trHeight w:val="21"/>
        </w:trPr>
        <w:tc>
          <w:tcPr>
            <w:tcW w:w="70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Platform revenues, expenses and net income to the most comparable GAAP measure for the years ended December 31, 2024 and 2023 (in thousands):</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1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320" w:type="dxa"/>
            <w:vAlign w:val="bottom"/>
          </w:tcPr>
          <w:p>
            <w:pPr>
              <w:spacing w:after="0"/>
              <w:rPr>
                <w:sz w:val="15"/>
                <w:szCs w:val="15"/>
                <w:color w:val="auto"/>
              </w:rPr>
            </w:pPr>
          </w:p>
        </w:tc>
        <w:tc>
          <w:tcPr>
            <w:tcW w:w="1560" w:type="dxa"/>
            <w:vAlign w:val="bottom"/>
            <w:gridSpan w:val="2"/>
          </w:tcPr>
          <w:p>
            <w:pPr>
              <w:jc w:val="center"/>
              <w:ind w:right="440"/>
              <w:spacing w:after="0" w:line="174" w:lineRule="exact"/>
              <w:rPr>
                <w:sz w:val="20"/>
                <w:szCs w:val="20"/>
                <w:color w:val="auto"/>
              </w:rPr>
            </w:pPr>
            <w:r>
              <w:rPr>
                <w:rFonts w:ascii="Times New Roman" w:cs="Times New Roman" w:eastAsia="Times New Roman" w:hAnsi="Times New Roman"/>
                <w:sz w:val="18"/>
                <w:szCs w:val="18"/>
                <w:b w:val="1"/>
                <w:bCs w:val="1"/>
                <w:color w:val="auto"/>
              </w:rPr>
              <w:t>Impact of</w:t>
            </w:r>
          </w:p>
        </w:tc>
        <w:tc>
          <w:tcPr>
            <w:tcW w:w="280" w:type="dxa"/>
            <w:vAlign w:val="bottom"/>
          </w:tcPr>
          <w:p>
            <w:pPr>
              <w:spacing w:after="0"/>
              <w:rPr>
                <w:sz w:val="15"/>
                <w:szCs w:val="15"/>
                <w:color w:val="auto"/>
              </w:rPr>
            </w:pPr>
          </w:p>
        </w:tc>
        <w:tc>
          <w:tcPr>
            <w:tcW w:w="1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8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Consolidated Funds</w:t>
            </w:r>
          </w:p>
        </w:tc>
        <w:tc>
          <w:tcPr>
            <w:tcW w:w="280" w:type="dxa"/>
            <w:vAlign w:val="bottom"/>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80" w:type="dxa"/>
            <w:vAlign w:val="bottom"/>
            <w:tcBorders>
              <w:top w:val="single" w:sz="8" w:color="CCEDFF"/>
            </w:tcBorders>
            <w:shd w:val="clear" w:color="auto" w:fill="CCEDFF"/>
          </w:tcPr>
          <w:p>
            <w:pPr>
              <w:spacing w:after="0"/>
              <w:rPr>
                <w:sz w:val="18"/>
                <w:szCs w:val="18"/>
                <w:color w:val="auto"/>
              </w:rPr>
            </w:pPr>
          </w:p>
        </w:tc>
        <w:tc>
          <w:tcPr>
            <w:tcW w:w="320" w:type="dxa"/>
            <w:vAlign w:val="bottom"/>
            <w:tcBorders>
              <w:top w:val="single" w:sz="8" w:color="auto"/>
            </w:tcBorders>
            <w:shd w:val="clear" w:color="auto" w:fill="CCEDFF"/>
          </w:tcPr>
          <w:p>
            <w:pPr>
              <w:spacing w:after="0"/>
              <w:rPr>
                <w:sz w:val="18"/>
                <w:szCs w:val="18"/>
                <w:color w:val="auto"/>
              </w:rPr>
            </w:pPr>
          </w:p>
        </w:tc>
        <w:tc>
          <w:tcPr>
            <w:tcW w:w="1420" w:type="dxa"/>
            <w:vAlign w:val="bottom"/>
            <w:tcBorders>
              <w:top w:val="single" w:sz="8" w:color="auto"/>
            </w:tcBorders>
            <w:shd w:val="clear" w:color="auto" w:fill="CCEDFF"/>
          </w:tcPr>
          <w:p>
            <w:pPr>
              <w:spacing w:after="0"/>
              <w:rPr>
                <w:sz w:val="18"/>
                <w:szCs w:val="18"/>
                <w:color w:val="auto"/>
              </w:rPr>
            </w:pPr>
          </w:p>
        </w:tc>
        <w:tc>
          <w:tcPr>
            <w:tcW w:w="120" w:type="dxa"/>
            <w:vAlign w:val="bottom"/>
            <w:tcBorders>
              <w:top w:val="single" w:sz="8" w:color="CCEDFF"/>
            </w:tcBorders>
            <w:shd w:val="clear" w:color="auto" w:fill="CCEDFF"/>
          </w:tcPr>
          <w:p>
            <w:pPr>
              <w:spacing w:after="0"/>
              <w:rPr>
                <w:sz w:val="18"/>
                <w:szCs w:val="18"/>
                <w:color w:val="auto"/>
              </w:rPr>
            </w:pPr>
          </w:p>
        </w:tc>
        <w:tc>
          <w:tcPr>
            <w:tcW w:w="320" w:type="dxa"/>
            <w:vAlign w:val="bottom"/>
            <w:tcBorders>
              <w:top w:val="single" w:sz="8" w:color="auto"/>
            </w:tcBorders>
            <w:shd w:val="clear" w:color="auto" w:fill="CCEDFF"/>
          </w:tcPr>
          <w:p>
            <w:pPr>
              <w:spacing w:after="0"/>
              <w:rPr>
                <w:sz w:val="18"/>
                <w:szCs w:val="18"/>
                <w:color w:val="auto"/>
              </w:rPr>
            </w:pPr>
          </w:p>
        </w:tc>
        <w:tc>
          <w:tcPr>
            <w:tcW w:w="142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80" w:type="dxa"/>
            <w:vAlign w:val="bottom"/>
            <w:tcBorders>
              <w:top w:val="single" w:sz="8" w:color="auto"/>
            </w:tcBorders>
            <w:shd w:val="clear" w:color="auto" w:fill="CCEDFF"/>
          </w:tcPr>
          <w:p>
            <w:pPr>
              <w:spacing w:after="0"/>
              <w:rPr>
                <w:sz w:val="18"/>
                <w:szCs w:val="18"/>
                <w:color w:val="auto"/>
              </w:rPr>
            </w:pPr>
          </w:p>
        </w:tc>
        <w:tc>
          <w:tcPr>
            <w:tcW w:w="146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88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revenue</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w:t>
            </w:r>
          </w:p>
        </w:tc>
        <w:tc>
          <w:tcPr>
            <w:tcW w:w="88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54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880" w:type="dxa"/>
            <w:vAlign w:val="bottom"/>
            <w:tcBorders>
              <w:bottom w:val="single" w:sz="8" w:color="CCED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20,942</w:t>
            </w:r>
          </w:p>
        </w:tc>
        <w:tc>
          <w:tcPr>
            <w:tcW w:w="120" w:type="dxa"/>
            <w:vAlign w:val="bottom"/>
            <w:tcBorders>
              <w:bottom w:val="single" w:sz="8" w:color="CCED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30,177</w:t>
            </w:r>
          </w:p>
        </w:tc>
        <w:tc>
          <w:tcPr>
            <w:tcW w:w="140" w:type="dxa"/>
            <w:vAlign w:val="bottom"/>
            <w:tcBorders>
              <w:bottom w:val="single" w:sz="8" w:color="CCED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51,119</w:t>
            </w:r>
          </w:p>
        </w:tc>
        <w:tc>
          <w:tcPr>
            <w:tcW w:w="140" w:type="dxa"/>
            <w:vAlign w:val="bottom"/>
            <w:tcBorders>
              <w:bottom w:val="single" w:sz="8" w:color="CCED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40" w:type="dxa"/>
            <w:vAlign w:val="bottom"/>
            <w:shd w:val="clear" w:color="auto" w:fill="CCEDFF"/>
          </w:tcPr>
          <w:p>
            <w:pPr>
              <w:spacing w:after="0"/>
              <w:rPr>
                <w:sz w:val="21"/>
                <w:szCs w:val="21"/>
                <w:color w:val="auto"/>
              </w:rPr>
            </w:pPr>
          </w:p>
        </w:tc>
        <w:tc>
          <w:tcPr>
            <w:tcW w:w="880" w:type="dxa"/>
            <w:vAlign w:val="bottom"/>
            <w:shd w:val="clear" w:color="auto" w:fill="CCEDFF"/>
          </w:tcPr>
          <w:p>
            <w:pPr>
              <w:spacing w:after="0"/>
              <w:rPr>
                <w:sz w:val="21"/>
                <w:szCs w:val="21"/>
                <w:color w:val="auto"/>
              </w:rPr>
            </w:pPr>
          </w:p>
        </w:tc>
        <w:tc>
          <w:tcPr>
            <w:tcW w:w="320" w:type="dxa"/>
            <w:vAlign w:val="bottom"/>
            <w:shd w:val="clear" w:color="auto" w:fill="CCEDFF"/>
          </w:tcPr>
          <w:p>
            <w:pPr>
              <w:spacing w:after="0"/>
              <w:rPr>
                <w:sz w:val="21"/>
                <w:szCs w:val="21"/>
                <w:color w:val="auto"/>
              </w:rPr>
            </w:pPr>
          </w:p>
        </w:tc>
        <w:tc>
          <w:tcPr>
            <w:tcW w:w="142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320" w:type="dxa"/>
            <w:vAlign w:val="bottom"/>
            <w:shd w:val="clear" w:color="auto" w:fill="CCEDFF"/>
          </w:tcPr>
          <w:p>
            <w:pPr>
              <w:spacing w:after="0"/>
              <w:rPr>
                <w:sz w:val="21"/>
                <w:szCs w:val="21"/>
                <w:color w:val="auto"/>
              </w:rPr>
            </w:pPr>
          </w:p>
        </w:tc>
        <w:tc>
          <w:tcPr>
            <w:tcW w:w="142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280" w:type="dxa"/>
            <w:vAlign w:val="bottom"/>
            <w:shd w:val="clear" w:color="auto" w:fill="CCEDFF"/>
          </w:tcPr>
          <w:p>
            <w:pPr>
              <w:spacing w:after="0"/>
              <w:rPr>
                <w:sz w:val="21"/>
                <w:szCs w:val="21"/>
                <w:color w:val="auto"/>
              </w:rPr>
            </w:pPr>
          </w:p>
        </w:tc>
        <w:tc>
          <w:tcPr>
            <w:tcW w:w="146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88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Payroll and payroll related costs</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88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54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880" w:type="dxa"/>
            <w:vAlign w:val="bottom"/>
            <w:tcBorders>
              <w:bottom w:val="single" w:sz="8" w:color="CCED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33,070</w:t>
            </w:r>
          </w:p>
        </w:tc>
        <w:tc>
          <w:tcPr>
            <w:tcW w:w="120" w:type="dxa"/>
            <w:vAlign w:val="bottom"/>
            <w:tcBorders>
              <w:bottom w:val="single" w:sz="8" w:color="CCED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31,362</w:t>
            </w:r>
          </w:p>
        </w:tc>
        <w:tc>
          <w:tcPr>
            <w:tcW w:w="140" w:type="dxa"/>
            <w:vAlign w:val="bottom"/>
            <w:tcBorders>
              <w:bottom w:val="single" w:sz="8" w:color="CCED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64,432</w:t>
            </w:r>
          </w:p>
        </w:tc>
        <w:tc>
          <w:tcPr>
            <w:tcW w:w="140" w:type="dxa"/>
            <w:vAlign w:val="bottom"/>
            <w:tcBorders>
              <w:bottom w:val="single" w:sz="8" w:color="CCED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40" w:type="dxa"/>
            <w:vAlign w:val="bottom"/>
            <w:shd w:val="clear" w:color="auto" w:fill="CCEDFF"/>
          </w:tcPr>
          <w:p>
            <w:pPr>
              <w:spacing w:after="0"/>
              <w:rPr>
                <w:sz w:val="21"/>
                <w:szCs w:val="21"/>
                <w:color w:val="auto"/>
              </w:rPr>
            </w:pPr>
          </w:p>
        </w:tc>
        <w:tc>
          <w:tcPr>
            <w:tcW w:w="880" w:type="dxa"/>
            <w:vAlign w:val="bottom"/>
            <w:shd w:val="clear" w:color="auto" w:fill="CCEDFF"/>
          </w:tcPr>
          <w:p>
            <w:pPr>
              <w:spacing w:after="0"/>
              <w:rPr>
                <w:sz w:val="21"/>
                <w:szCs w:val="21"/>
                <w:color w:val="auto"/>
              </w:rPr>
            </w:pPr>
          </w:p>
        </w:tc>
        <w:tc>
          <w:tcPr>
            <w:tcW w:w="320" w:type="dxa"/>
            <w:vAlign w:val="bottom"/>
            <w:shd w:val="clear" w:color="auto" w:fill="CCEDFF"/>
          </w:tcPr>
          <w:p>
            <w:pPr>
              <w:spacing w:after="0"/>
              <w:rPr>
                <w:sz w:val="21"/>
                <w:szCs w:val="21"/>
                <w:color w:val="auto"/>
              </w:rPr>
            </w:pPr>
          </w:p>
        </w:tc>
        <w:tc>
          <w:tcPr>
            <w:tcW w:w="142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320" w:type="dxa"/>
            <w:vAlign w:val="bottom"/>
            <w:shd w:val="clear" w:color="auto" w:fill="CCEDFF"/>
          </w:tcPr>
          <w:p>
            <w:pPr>
              <w:spacing w:after="0"/>
              <w:rPr>
                <w:sz w:val="21"/>
                <w:szCs w:val="21"/>
                <w:color w:val="auto"/>
              </w:rPr>
            </w:pPr>
          </w:p>
        </w:tc>
        <w:tc>
          <w:tcPr>
            <w:tcW w:w="142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280" w:type="dxa"/>
            <w:vAlign w:val="bottom"/>
            <w:shd w:val="clear" w:color="auto" w:fill="CCEDFF"/>
          </w:tcPr>
          <w:p>
            <w:pPr>
              <w:spacing w:after="0"/>
              <w:rPr>
                <w:sz w:val="21"/>
                <w:szCs w:val="21"/>
                <w:color w:val="auto"/>
              </w:rPr>
            </w:pPr>
          </w:p>
        </w:tc>
        <w:tc>
          <w:tcPr>
            <w:tcW w:w="146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(loss), net</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880" w:type="dxa"/>
            <w:vAlign w:val="bottom"/>
            <w:tcBorders>
              <w:top w:val="single" w:sz="8" w:color="CCEDFF"/>
            </w:tcBorders>
            <w:shd w:val="clear" w:color="auto" w:fill="CCEDFF"/>
          </w:tcPr>
          <w:p>
            <w:pPr>
              <w:spacing w:after="0"/>
              <w:rPr>
                <w:sz w:val="19"/>
                <w:szCs w:val="19"/>
                <w:color w:val="auto"/>
              </w:rPr>
            </w:pPr>
          </w:p>
        </w:tc>
        <w:tc>
          <w:tcPr>
            <w:tcW w:w="320" w:type="dxa"/>
            <w:vAlign w:val="bottom"/>
            <w:tcBorders>
              <w:top w:val="single" w:sz="8" w:color="auto"/>
            </w:tcBorders>
            <w:shd w:val="clear" w:color="auto" w:fill="CCEDFF"/>
          </w:tcPr>
          <w:p>
            <w:pPr>
              <w:spacing w:after="0"/>
              <w:rPr>
                <w:sz w:val="19"/>
                <w:szCs w:val="19"/>
                <w:color w:val="auto"/>
              </w:rPr>
            </w:pPr>
          </w:p>
        </w:tc>
        <w:tc>
          <w:tcPr>
            <w:tcW w:w="14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(19,647)</w:t>
            </w:r>
          </w:p>
        </w:tc>
        <w:tc>
          <w:tcPr>
            <w:tcW w:w="120" w:type="dxa"/>
            <w:vAlign w:val="bottom"/>
            <w:tcBorders>
              <w:top w:val="single" w:sz="8" w:color="CCEDFF"/>
            </w:tcBorders>
            <w:shd w:val="clear" w:color="auto" w:fill="CCEDFF"/>
          </w:tcPr>
          <w:p>
            <w:pPr>
              <w:spacing w:after="0"/>
              <w:rPr>
                <w:sz w:val="19"/>
                <w:szCs w:val="19"/>
                <w:color w:val="auto"/>
              </w:rPr>
            </w:pPr>
          </w:p>
        </w:tc>
        <w:tc>
          <w:tcPr>
            <w:tcW w:w="320" w:type="dxa"/>
            <w:vAlign w:val="bottom"/>
            <w:tcBorders>
              <w:top w:val="single" w:sz="8" w:color="auto"/>
            </w:tcBorders>
            <w:shd w:val="clear" w:color="auto" w:fill="CCEDFF"/>
          </w:tcPr>
          <w:p>
            <w:pPr>
              <w:spacing w:after="0"/>
              <w:rPr>
                <w:sz w:val="19"/>
                <w:szCs w:val="19"/>
                <w:color w:val="auto"/>
              </w:rPr>
            </w:pPr>
          </w:p>
        </w:tc>
        <w:tc>
          <w:tcPr>
            <w:tcW w:w="14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40" w:type="dxa"/>
            <w:vAlign w:val="bottom"/>
            <w:tcBorders>
              <w:top w:val="single" w:sz="8" w:color="CCEDFF"/>
            </w:tcBorders>
            <w:shd w:val="clear" w:color="auto" w:fill="CCEDFF"/>
          </w:tcPr>
          <w:p>
            <w:pPr>
              <w:spacing w:after="0"/>
              <w:rPr>
                <w:sz w:val="19"/>
                <w:szCs w:val="19"/>
                <w:color w:val="auto"/>
              </w:rPr>
            </w:pPr>
          </w:p>
        </w:tc>
        <w:tc>
          <w:tcPr>
            <w:tcW w:w="280" w:type="dxa"/>
            <w:vAlign w:val="bottom"/>
            <w:tcBorders>
              <w:top w:val="single" w:sz="8" w:color="auto"/>
            </w:tcBorders>
            <w:shd w:val="clear" w:color="auto" w:fill="CCEDFF"/>
          </w:tcPr>
          <w:p>
            <w:pPr>
              <w:spacing w:after="0"/>
              <w:rPr>
                <w:sz w:val="19"/>
                <w:szCs w:val="19"/>
                <w:color w:val="auto"/>
              </w:rPr>
            </w:pPr>
          </w:p>
        </w:tc>
        <w:tc>
          <w:tcPr>
            <w:tcW w:w="14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40" w:type="dxa"/>
            <w:vAlign w:val="bottom"/>
            <w:tcBorders>
              <w:top w:val="single" w:sz="8" w:color="CCEDFF"/>
            </w:tcBorders>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DFF"/>
            </w:tcBorders>
            <w:shd w:val="clear" w:color="auto" w:fill="CCEDFF"/>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80" w:type="dxa"/>
            <w:vAlign w:val="bottom"/>
            <w:tcBorders>
              <w:top w:val="single" w:sz="8" w:color="CCEDFF"/>
            </w:tcBorders>
            <w:shd w:val="clear" w:color="auto" w:fill="CCEDFF"/>
          </w:tcPr>
          <w:p>
            <w:pPr>
              <w:spacing w:after="0"/>
              <w:rPr>
                <w:sz w:val="19"/>
                <w:szCs w:val="19"/>
                <w:color w:val="auto"/>
              </w:rPr>
            </w:pPr>
          </w:p>
        </w:tc>
        <w:tc>
          <w:tcPr>
            <w:tcW w:w="320" w:type="dxa"/>
            <w:vAlign w:val="bottom"/>
            <w:tcBorders>
              <w:top w:val="single" w:sz="8" w:color="auto"/>
            </w:tcBorders>
            <w:shd w:val="clear" w:color="auto" w:fill="CCEDFF"/>
          </w:tcPr>
          <w:p>
            <w:pPr>
              <w:spacing w:after="0"/>
              <w:rPr>
                <w:sz w:val="19"/>
                <w:szCs w:val="19"/>
                <w:color w:val="auto"/>
              </w:rPr>
            </w:pPr>
          </w:p>
        </w:tc>
        <w:tc>
          <w:tcPr>
            <w:tcW w:w="14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(19,647)</w:t>
            </w:r>
          </w:p>
        </w:tc>
        <w:tc>
          <w:tcPr>
            <w:tcW w:w="120" w:type="dxa"/>
            <w:vAlign w:val="bottom"/>
            <w:tcBorders>
              <w:top w:val="single" w:sz="8" w:color="CCEDFF"/>
            </w:tcBorders>
            <w:shd w:val="clear" w:color="auto" w:fill="CCEDFF"/>
          </w:tcPr>
          <w:p>
            <w:pPr>
              <w:spacing w:after="0"/>
              <w:rPr>
                <w:sz w:val="19"/>
                <w:szCs w:val="19"/>
                <w:color w:val="auto"/>
              </w:rPr>
            </w:pPr>
          </w:p>
        </w:tc>
        <w:tc>
          <w:tcPr>
            <w:tcW w:w="320" w:type="dxa"/>
            <w:vAlign w:val="bottom"/>
            <w:tcBorders>
              <w:top w:val="single" w:sz="8" w:color="auto"/>
            </w:tcBorders>
            <w:shd w:val="clear" w:color="auto" w:fill="CCEDFF"/>
          </w:tcPr>
          <w:p>
            <w:pPr>
              <w:spacing w:after="0"/>
              <w:rPr>
                <w:sz w:val="19"/>
                <w:szCs w:val="19"/>
                <w:color w:val="auto"/>
              </w:rPr>
            </w:pPr>
          </w:p>
        </w:tc>
        <w:tc>
          <w:tcPr>
            <w:tcW w:w="14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40" w:type="dxa"/>
            <w:vAlign w:val="bottom"/>
            <w:tcBorders>
              <w:top w:val="single" w:sz="8" w:color="CCEDFF"/>
            </w:tcBorders>
            <w:shd w:val="clear" w:color="auto" w:fill="CCEDFF"/>
          </w:tcPr>
          <w:p>
            <w:pPr>
              <w:spacing w:after="0"/>
              <w:rPr>
                <w:sz w:val="19"/>
                <w:szCs w:val="19"/>
                <w:color w:val="auto"/>
              </w:rPr>
            </w:pPr>
          </w:p>
        </w:tc>
        <w:tc>
          <w:tcPr>
            <w:tcW w:w="280" w:type="dxa"/>
            <w:vAlign w:val="bottom"/>
            <w:tcBorders>
              <w:top w:val="single" w:sz="8" w:color="auto"/>
            </w:tcBorders>
            <w:shd w:val="clear" w:color="auto" w:fill="CCEDFF"/>
          </w:tcPr>
          <w:p>
            <w:pPr>
              <w:spacing w:after="0"/>
              <w:rPr>
                <w:sz w:val="19"/>
                <w:szCs w:val="19"/>
                <w:color w:val="auto"/>
              </w:rPr>
            </w:pPr>
          </w:p>
        </w:tc>
        <w:tc>
          <w:tcPr>
            <w:tcW w:w="14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40" w:type="dxa"/>
            <w:vAlign w:val="bottom"/>
            <w:tcBorders>
              <w:top w:val="single" w:sz="8" w:color="CCEDFF"/>
            </w:tcBorders>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DFF"/>
              <w:bottom w:val="single" w:sz="8" w:color="CCEDFF"/>
            </w:tcBorders>
            <w:shd w:val="clear" w:color="auto" w:fill="CCEDFF"/>
          </w:tcPr>
          <w:p>
            <w:pPr>
              <w:ind w:left="680"/>
              <w:spacing w:after="0"/>
              <w:rPr>
                <w:sz w:val="20"/>
                <w:szCs w:val="20"/>
                <w:color w:val="auto"/>
              </w:rPr>
            </w:pPr>
            <w:r>
              <w:rPr>
                <w:rFonts w:ascii="Times New Roman" w:cs="Times New Roman" w:eastAsia="Times New Roman" w:hAnsi="Times New Roman"/>
                <w:sz w:val="18"/>
                <w:szCs w:val="18"/>
                <w:b w:val="1"/>
                <w:bCs w:val="1"/>
                <w:color w:val="auto"/>
              </w:rPr>
              <w:t>Net loss attributable to CaliberCos Inc.</w:t>
            </w:r>
          </w:p>
        </w:tc>
        <w:tc>
          <w:tcPr>
            <w:tcW w:w="880" w:type="dxa"/>
            <w:vAlign w:val="bottom"/>
            <w:tcBorders>
              <w:top w:val="single" w:sz="8" w:color="CCEDFF"/>
              <w:bottom w:val="single" w:sz="8" w:color="CCEDFF"/>
            </w:tcBorders>
            <w:shd w:val="clear" w:color="auto" w:fill="CCEDFF"/>
          </w:tcPr>
          <w:p>
            <w:pPr>
              <w:spacing w:after="0"/>
              <w:rPr>
                <w:sz w:val="21"/>
                <w:szCs w:val="21"/>
                <w:color w:val="auto"/>
              </w:rPr>
            </w:pPr>
          </w:p>
        </w:tc>
        <w:tc>
          <w:tcPr>
            <w:tcW w:w="320" w:type="dxa"/>
            <w:vAlign w:val="bottom"/>
            <w:tcBorders>
              <w:top w:val="single" w:sz="8" w:color="auto"/>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(19,647)</w:t>
            </w:r>
          </w:p>
        </w:tc>
        <w:tc>
          <w:tcPr>
            <w:tcW w:w="120" w:type="dxa"/>
            <w:vAlign w:val="bottom"/>
            <w:tcBorders>
              <w:top w:val="single" w:sz="8" w:color="CCEDFF"/>
              <w:bottom w:val="single" w:sz="8" w:color="CCEDFF"/>
            </w:tcBorders>
            <w:shd w:val="clear" w:color="auto" w:fill="CCEDFF"/>
          </w:tcPr>
          <w:p>
            <w:pPr>
              <w:spacing w:after="0"/>
              <w:rPr>
                <w:sz w:val="21"/>
                <w:szCs w:val="21"/>
                <w:color w:val="auto"/>
              </w:rPr>
            </w:pPr>
          </w:p>
        </w:tc>
        <w:tc>
          <w:tcPr>
            <w:tcW w:w="320" w:type="dxa"/>
            <w:vAlign w:val="bottom"/>
            <w:tcBorders>
              <w:top w:val="single" w:sz="8" w:color="auto"/>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Borders>
              <w:top w:val="single" w:sz="8" w:color="CCEDFF"/>
              <w:bottom w:val="single" w:sz="8" w:color="CCEDFF"/>
            </w:tcBorders>
            <w:shd w:val="clear" w:color="auto" w:fill="CCEDFF"/>
          </w:tcPr>
          <w:p>
            <w:pPr>
              <w:spacing w:after="0"/>
              <w:rPr>
                <w:sz w:val="21"/>
                <w:szCs w:val="21"/>
                <w:color w:val="auto"/>
              </w:rPr>
            </w:pPr>
          </w:p>
        </w:tc>
        <w:tc>
          <w:tcPr>
            <w:tcW w:w="280" w:type="dxa"/>
            <w:vAlign w:val="bottom"/>
            <w:tcBorders>
              <w:top w:val="single" w:sz="8" w:color="auto"/>
              <w:bottom w:val="single" w:sz="8" w:color="auto"/>
            </w:tcBorders>
            <w:shd w:val="clear" w:color="auto" w:fill="CCED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(19,777)</w:t>
            </w:r>
          </w:p>
        </w:tc>
        <w:tc>
          <w:tcPr>
            <w:tcW w:w="140" w:type="dxa"/>
            <w:vAlign w:val="bottom"/>
            <w:tcBorders>
              <w:top w:val="single" w:sz="8" w:color="CCEDFF"/>
              <w:bottom w:val="single" w:sz="8" w:color="CCEDFF"/>
            </w:tcBorders>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DFF"/>
            </w:tcBorders>
          </w:tcPr>
          <w:p>
            <w:pPr>
              <w:spacing w:after="0" w:line="20" w:lineRule="exact"/>
              <w:rPr>
                <w:sz w:val="1"/>
                <w:szCs w:val="1"/>
                <w:color w:val="auto"/>
              </w:rPr>
            </w:pPr>
          </w:p>
        </w:tc>
        <w:tc>
          <w:tcPr>
            <w:tcW w:w="880" w:type="dxa"/>
            <w:vAlign w:val="bottom"/>
            <w:tcBorders>
              <w:top w:val="single" w:sz="8" w:color="CCEDFF"/>
            </w:tcBorders>
          </w:tcPr>
          <w:p>
            <w:pPr>
              <w:spacing w:after="0" w:line="20" w:lineRule="exact"/>
              <w:rPr>
                <w:sz w:val="1"/>
                <w:szCs w:val="1"/>
                <w:color w:val="auto"/>
              </w:rPr>
            </w:pP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420" w:type="dxa"/>
            <w:vAlign w:val="bottom"/>
            <w:tcBorders>
              <w:top w:val="single" w:sz="8" w:color="CCEDFF"/>
              <w:bottom w:val="single" w:sz="8" w:color="auto"/>
            </w:tcBorders>
          </w:tcPr>
          <w:p>
            <w:pPr>
              <w:spacing w:after="0" w:line="20" w:lineRule="exact"/>
              <w:rPr>
                <w:sz w:val="1"/>
                <w:szCs w:val="1"/>
                <w:color w:val="auto"/>
              </w:rPr>
            </w:pPr>
          </w:p>
        </w:tc>
        <w:tc>
          <w:tcPr>
            <w:tcW w:w="120" w:type="dxa"/>
            <w:vAlign w:val="bottom"/>
            <w:tcBorders>
              <w:top w:val="single" w:sz="8" w:color="CCEDFF"/>
            </w:tcBorders>
          </w:tcPr>
          <w:p>
            <w:pPr>
              <w:spacing w:after="0" w:line="20" w:lineRule="exact"/>
              <w:rPr>
                <w:sz w:val="1"/>
                <w:szCs w:val="1"/>
                <w:color w:val="auto"/>
              </w:rPr>
            </w:pP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42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280" w:type="dxa"/>
            <w:vAlign w:val="bottom"/>
            <w:tcBorders>
              <w:top w:val="single" w:sz="8" w:color="CCEDFF"/>
              <w:bottom w:val="single" w:sz="8" w:color="auto"/>
            </w:tcBorders>
          </w:tcPr>
          <w:p>
            <w:pPr>
              <w:spacing w:after="0" w:line="20" w:lineRule="exact"/>
              <w:rPr>
                <w:sz w:val="1"/>
                <w:szCs w:val="1"/>
                <w:color w:val="auto"/>
              </w:rPr>
            </w:pPr>
          </w:p>
        </w:tc>
        <w:tc>
          <w:tcPr>
            <w:tcW w:w="146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4740" w:type="dxa"/>
            <w:vAlign w:val="bottom"/>
          </w:tcPr>
          <w:p>
            <w:pPr>
              <w:spacing w:after="0"/>
              <w:rPr>
                <w:sz w:val="24"/>
                <w:szCs w:val="24"/>
                <w:color w:val="auto"/>
              </w:rPr>
            </w:pPr>
          </w:p>
        </w:tc>
        <w:tc>
          <w:tcPr>
            <w:tcW w:w="12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1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320" w:type="dxa"/>
            <w:vAlign w:val="bottom"/>
          </w:tcPr>
          <w:p>
            <w:pPr>
              <w:spacing w:after="0"/>
              <w:rPr>
                <w:sz w:val="15"/>
                <w:szCs w:val="15"/>
                <w:color w:val="auto"/>
              </w:rPr>
            </w:pPr>
          </w:p>
        </w:tc>
        <w:tc>
          <w:tcPr>
            <w:tcW w:w="1560" w:type="dxa"/>
            <w:vAlign w:val="bottom"/>
            <w:gridSpan w:val="2"/>
          </w:tcPr>
          <w:p>
            <w:pPr>
              <w:jc w:val="center"/>
              <w:ind w:right="440"/>
              <w:spacing w:after="0" w:line="174" w:lineRule="exact"/>
              <w:rPr>
                <w:sz w:val="20"/>
                <w:szCs w:val="20"/>
                <w:color w:val="auto"/>
              </w:rPr>
            </w:pPr>
            <w:r>
              <w:rPr>
                <w:rFonts w:ascii="Times New Roman" w:cs="Times New Roman" w:eastAsia="Times New Roman" w:hAnsi="Times New Roman"/>
                <w:sz w:val="18"/>
                <w:szCs w:val="18"/>
                <w:b w:val="1"/>
                <w:bCs w:val="1"/>
                <w:color w:val="auto"/>
              </w:rPr>
              <w:t>Impact of</w:t>
            </w:r>
          </w:p>
        </w:tc>
        <w:tc>
          <w:tcPr>
            <w:tcW w:w="280" w:type="dxa"/>
            <w:vAlign w:val="bottom"/>
          </w:tcPr>
          <w:p>
            <w:pPr>
              <w:spacing w:after="0"/>
              <w:rPr>
                <w:sz w:val="15"/>
                <w:szCs w:val="15"/>
                <w:color w:val="auto"/>
              </w:rPr>
            </w:pPr>
          </w:p>
        </w:tc>
        <w:tc>
          <w:tcPr>
            <w:tcW w:w="1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8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Consolidated Funds</w:t>
            </w:r>
          </w:p>
        </w:tc>
        <w:tc>
          <w:tcPr>
            <w:tcW w:w="280" w:type="dxa"/>
            <w:vAlign w:val="bottom"/>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top w:val="single" w:sz="8" w:color="auto"/>
            </w:tcBorders>
            <w:shd w:val="clear" w:color="auto" w:fill="CCEDFF"/>
          </w:tcPr>
          <w:p>
            <w:pPr>
              <w:spacing w:after="0"/>
              <w:rPr>
                <w:sz w:val="18"/>
                <w:szCs w:val="18"/>
                <w:color w:val="auto"/>
              </w:rPr>
            </w:pPr>
          </w:p>
        </w:tc>
        <w:tc>
          <w:tcPr>
            <w:tcW w:w="1420" w:type="dxa"/>
            <w:vAlign w:val="bottom"/>
            <w:tcBorders>
              <w:top w:val="single" w:sz="8" w:color="auto"/>
            </w:tcBorders>
            <w:shd w:val="clear" w:color="auto" w:fill="CCEDFF"/>
          </w:tcPr>
          <w:p>
            <w:pPr>
              <w:spacing w:after="0"/>
              <w:rPr>
                <w:sz w:val="18"/>
                <w:szCs w:val="18"/>
                <w:color w:val="auto"/>
              </w:rPr>
            </w:pPr>
          </w:p>
        </w:tc>
        <w:tc>
          <w:tcPr>
            <w:tcW w:w="120" w:type="dxa"/>
            <w:vAlign w:val="bottom"/>
            <w:tcBorders>
              <w:top w:val="single" w:sz="8" w:color="CCEDFF"/>
            </w:tcBorders>
            <w:shd w:val="clear" w:color="auto" w:fill="CCEDFF"/>
          </w:tcPr>
          <w:p>
            <w:pPr>
              <w:spacing w:after="0"/>
              <w:rPr>
                <w:sz w:val="18"/>
                <w:szCs w:val="18"/>
                <w:color w:val="auto"/>
              </w:rPr>
            </w:pPr>
          </w:p>
        </w:tc>
        <w:tc>
          <w:tcPr>
            <w:tcW w:w="320" w:type="dxa"/>
            <w:vAlign w:val="bottom"/>
            <w:tcBorders>
              <w:top w:val="single" w:sz="8" w:color="auto"/>
            </w:tcBorders>
            <w:shd w:val="clear" w:color="auto" w:fill="CCEDFF"/>
          </w:tcPr>
          <w:p>
            <w:pPr>
              <w:spacing w:after="0"/>
              <w:rPr>
                <w:sz w:val="18"/>
                <w:szCs w:val="18"/>
                <w:color w:val="auto"/>
              </w:rPr>
            </w:pPr>
          </w:p>
        </w:tc>
        <w:tc>
          <w:tcPr>
            <w:tcW w:w="142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80" w:type="dxa"/>
            <w:vAlign w:val="bottom"/>
            <w:tcBorders>
              <w:top w:val="single" w:sz="8" w:color="auto"/>
            </w:tcBorders>
            <w:shd w:val="clear" w:color="auto" w:fill="CCEDFF"/>
          </w:tcPr>
          <w:p>
            <w:pPr>
              <w:spacing w:after="0"/>
              <w:rPr>
                <w:sz w:val="18"/>
                <w:szCs w:val="18"/>
                <w:color w:val="auto"/>
              </w:rPr>
            </w:pPr>
          </w:p>
        </w:tc>
        <w:tc>
          <w:tcPr>
            <w:tcW w:w="146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revenue</w:t>
            </w:r>
          </w:p>
        </w:tc>
        <w:tc>
          <w:tcPr>
            <w:tcW w:w="3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w:t>
            </w:r>
          </w:p>
        </w:tc>
        <w:tc>
          <w:tcPr>
            <w:tcW w:w="320" w:type="dxa"/>
            <w:vAlign w:val="bottom"/>
            <w:shd w:val="clear" w:color="auto" w:fill="CCEDFF"/>
          </w:tcPr>
          <w:p>
            <w:pPr>
              <w:spacing w:after="0"/>
              <w:rPr>
                <w:sz w:val="19"/>
                <w:szCs w:val="19"/>
                <w:color w:val="auto"/>
              </w:rPr>
            </w:pPr>
          </w:p>
        </w:tc>
        <w:tc>
          <w:tcPr>
            <w:tcW w:w="154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20,638</w:t>
            </w:r>
          </w:p>
        </w:tc>
        <w:tc>
          <w:tcPr>
            <w:tcW w:w="120" w:type="dxa"/>
            <w:vAlign w:val="bottom"/>
            <w:tcBorders>
              <w:bottom w:val="single" w:sz="8" w:color="CCED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70,299</w:t>
            </w:r>
          </w:p>
        </w:tc>
        <w:tc>
          <w:tcPr>
            <w:tcW w:w="140" w:type="dxa"/>
            <w:vAlign w:val="bottom"/>
            <w:tcBorders>
              <w:bottom w:val="single" w:sz="8" w:color="CCED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90,937</w:t>
            </w:r>
          </w:p>
        </w:tc>
        <w:tc>
          <w:tcPr>
            <w:tcW w:w="140" w:type="dxa"/>
            <w:vAlign w:val="bottom"/>
            <w:tcBorders>
              <w:bottom w:val="single" w:sz="8" w:color="CCED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20" w:type="dxa"/>
            <w:vAlign w:val="bottom"/>
            <w:shd w:val="clear" w:color="auto" w:fill="CCEDFF"/>
          </w:tcPr>
          <w:p>
            <w:pPr>
              <w:spacing w:after="0"/>
              <w:rPr>
                <w:sz w:val="21"/>
                <w:szCs w:val="21"/>
                <w:color w:val="auto"/>
              </w:rPr>
            </w:pPr>
          </w:p>
        </w:tc>
        <w:tc>
          <w:tcPr>
            <w:tcW w:w="320" w:type="dxa"/>
            <w:vAlign w:val="bottom"/>
            <w:shd w:val="clear" w:color="auto" w:fill="CCEDFF"/>
          </w:tcPr>
          <w:p>
            <w:pPr>
              <w:spacing w:after="0"/>
              <w:rPr>
                <w:sz w:val="21"/>
                <w:szCs w:val="21"/>
                <w:color w:val="auto"/>
              </w:rPr>
            </w:pPr>
          </w:p>
        </w:tc>
        <w:tc>
          <w:tcPr>
            <w:tcW w:w="142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320" w:type="dxa"/>
            <w:vAlign w:val="bottom"/>
            <w:shd w:val="clear" w:color="auto" w:fill="CCEDFF"/>
          </w:tcPr>
          <w:p>
            <w:pPr>
              <w:spacing w:after="0"/>
              <w:rPr>
                <w:sz w:val="21"/>
                <w:szCs w:val="21"/>
                <w:color w:val="auto"/>
              </w:rPr>
            </w:pPr>
          </w:p>
        </w:tc>
        <w:tc>
          <w:tcPr>
            <w:tcW w:w="142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280" w:type="dxa"/>
            <w:vAlign w:val="bottom"/>
            <w:shd w:val="clear" w:color="auto" w:fill="CCEDFF"/>
          </w:tcPr>
          <w:p>
            <w:pPr>
              <w:spacing w:after="0"/>
              <w:rPr>
                <w:sz w:val="21"/>
                <w:szCs w:val="21"/>
                <w:color w:val="auto"/>
              </w:rPr>
            </w:pPr>
          </w:p>
        </w:tc>
        <w:tc>
          <w:tcPr>
            <w:tcW w:w="146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Payroll and payroll related costs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3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80,669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320" w:type="dxa"/>
            <w:vAlign w:val="bottom"/>
            <w:shd w:val="clear" w:color="auto" w:fill="CCEDFF"/>
          </w:tcPr>
          <w:p>
            <w:pPr>
              <w:spacing w:after="0"/>
              <w:rPr>
                <w:sz w:val="19"/>
                <w:szCs w:val="19"/>
                <w:color w:val="auto"/>
              </w:rPr>
            </w:pPr>
          </w:p>
        </w:tc>
        <w:tc>
          <w:tcPr>
            <w:tcW w:w="154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30,219</w:t>
            </w:r>
          </w:p>
        </w:tc>
        <w:tc>
          <w:tcPr>
            <w:tcW w:w="120" w:type="dxa"/>
            <w:vAlign w:val="bottom"/>
            <w:tcBorders>
              <w:bottom w:val="single" w:sz="8" w:color="CCED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89,295</w:t>
            </w:r>
          </w:p>
        </w:tc>
        <w:tc>
          <w:tcPr>
            <w:tcW w:w="140" w:type="dxa"/>
            <w:vAlign w:val="bottom"/>
            <w:tcBorders>
              <w:bottom w:val="single" w:sz="8" w:color="CCED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119,514</w:t>
            </w:r>
          </w:p>
        </w:tc>
        <w:tc>
          <w:tcPr>
            <w:tcW w:w="140" w:type="dxa"/>
            <w:vAlign w:val="bottom"/>
            <w:tcBorders>
              <w:bottom w:val="single" w:sz="8" w:color="CCED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20" w:type="dxa"/>
            <w:vAlign w:val="bottom"/>
            <w:shd w:val="clear" w:color="auto" w:fill="CCEDFF"/>
          </w:tcPr>
          <w:p>
            <w:pPr>
              <w:spacing w:after="0"/>
              <w:rPr>
                <w:sz w:val="21"/>
                <w:szCs w:val="21"/>
                <w:color w:val="auto"/>
              </w:rPr>
            </w:pPr>
          </w:p>
        </w:tc>
        <w:tc>
          <w:tcPr>
            <w:tcW w:w="320" w:type="dxa"/>
            <w:vAlign w:val="bottom"/>
            <w:shd w:val="clear" w:color="auto" w:fill="CCEDFF"/>
          </w:tcPr>
          <w:p>
            <w:pPr>
              <w:spacing w:after="0"/>
              <w:rPr>
                <w:sz w:val="21"/>
                <w:szCs w:val="21"/>
                <w:color w:val="auto"/>
              </w:rPr>
            </w:pPr>
          </w:p>
        </w:tc>
        <w:tc>
          <w:tcPr>
            <w:tcW w:w="142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320" w:type="dxa"/>
            <w:vAlign w:val="bottom"/>
            <w:shd w:val="clear" w:color="auto" w:fill="CCEDFF"/>
          </w:tcPr>
          <w:p>
            <w:pPr>
              <w:spacing w:after="0"/>
              <w:rPr>
                <w:sz w:val="21"/>
                <w:szCs w:val="21"/>
                <w:color w:val="auto"/>
              </w:rPr>
            </w:pPr>
          </w:p>
        </w:tc>
        <w:tc>
          <w:tcPr>
            <w:tcW w:w="142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280" w:type="dxa"/>
            <w:vAlign w:val="bottom"/>
            <w:shd w:val="clear" w:color="auto" w:fill="CCEDFF"/>
          </w:tcPr>
          <w:p>
            <w:pPr>
              <w:spacing w:after="0"/>
              <w:rPr>
                <w:sz w:val="21"/>
                <w:szCs w:val="21"/>
                <w:color w:val="auto"/>
              </w:rPr>
            </w:pPr>
          </w:p>
        </w:tc>
        <w:tc>
          <w:tcPr>
            <w:tcW w:w="146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gain on sale of real estate investments</w:t>
            </w:r>
          </w:p>
        </w:tc>
        <w:tc>
          <w:tcPr>
            <w:tcW w:w="3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DFF"/>
          </w:tcPr>
          <w:p>
            <w:pPr>
              <w:spacing w:after="0"/>
              <w:rPr>
                <w:sz w:val="23"/>
                <w:szCs w:val="23"/>
                <w:color w:val="auto"/>
              </w:rPr>
            </w:pPr>
          </w:p>
        </w:tc>
        <w:tc>
          <w:tcPr>
            <w:tcW w:w="320" w:type="dxa"/>
            <w:vAlign w:val="bottom"/>
            <w:shd w:val="clear" w:color="auto" w:fill="CCEDFF"/>
          </w:tcPr>
          <w:p>
            <w:pPr>
              <w:spacing w:after="0"/>
              <w:rPr>
                <w:sz w:val="23"/>
                <w:szCs w:val="23"/>
                <w:color w:val="auto"/>
              </w:rPr>
            </w:pPr>
          </w:p>
        </w:tc>
        <w:tc>
          <w:tcPr>
            <w:tcW w:w="1420" w:type="dxa"/>
            <w:vAlign w:val="bottom"/>
            <w:shd w:val="clear" w:color="auto" w:fill="CCEDFF"/>
          </w:tcPr>
          <w:p>
            <w:pPr>
              <w:spacing w:after="0"/>
              <w:rPr>
                <w:sz w:val="23"/>
                <w:szCs w:val="23"/>
                <w:color w:val="auto"/>
              </w:rPr>
            </w:pPr>
          </w:p>
        </w:tc>
        <w:tc>
          <w:tcPr>
            <w:tcW w:w="120" w:type="dxa"/>
            <w:vAlign w:val="bottom"/>
            <w:shd w:val="clear" w:color="auto" w:fill="CCEDFF"/>
          </w:tcPr>
          <w:p>
            <w:pPr>
              <w:spacing w:after="0"/>
              <w:rPr>
                <w:sz w:val="23"/>
                <w:szCs w:val="23"/>
                <w:color w:val="auto"/>
              </w:rPr>
            </w:pPr>
          </w:p>
        </w:tc>
        <w:tc>
          <w:tcPr>
            <w:tcW w:w="320" w:type="dxa"/>
            <w:vAlign w:val="bottom"/>
            <w:shd w:val="clear" w:color="auto" w:fill="CCEDFF"/>
          </w:tcPr>
          <w:p>
            <w:pPr>
              <w:spacing w:after="0"/>
              <w:rPr>
                <w:sz w:val="23"/>
                <w:szCs w:val="23"/>
                <w:color w:val="auto"/>
              </w:rPr>
            </w:pPr>
          </w:p>
        </w:tc>
        <w:tc>
          <w:tcPr>
            <w:tcW w:w="1420" w:type="dxa"/>
            <w:vAlign w:val="bottom"/>
            <w:shd w:val="clear" w:color="auto" w:fill="CCEDFF"/>
          </w:tcPr>
          <w:p>
            <w:pPr>
              <w:spacing w:after="0"/>
              <w:rPr>
                <w:sz w:val="23"/>
                <w:szCs w:val="23"/>
                <w:color w:val="auto"/>
              </w:rPr>
            </w:pPr>
          </w:p>
        </w:tc>
        <w:tc>
          <w:tcPr>
            <w:tcW w:w="140" w:type="dxa"/>
            <w:vAlign w:val="bottom"/>
            <w:shd w:val="clear" w:color="auto" w:fill="CCEDFF"/>
          </w:tcPr>
          <w:p>
            <w:pPr>
              <w:spacing w:after="0"/>
              <w:rPr>
                <w:sz w:val="23"/>
                <w:szCs w:val="23"/>
                <w:color w:val="auto"/>
              </w:rPr>
            </w:pPr>
          </w:p>
        </w:tc>
        <w:tc>
          <w:tcPr>
            <w:tcW w:w="280" w:type="dxa"/>
            <w:vAlign w:val="bottom"/>
            <w:shd w:val="clear" w:color="auto" w:fill="CCEDFF"/>
          </w:tcPr>
          <w:p>
            <w:pPr>
              <w:spacing w:after="0"/>
              <w:rPr>
                <w:sz w:val="23"/>
                <w:szCs w:val="23"/>
                <w:color w:val="auto"/>
              </w:rPr>
            </w:pPr>
          </w:p>
        </w:tc>
        <w:tc>
          <w:tcPr>
            <w:tcW w:w="1460" w:type="dxa"/>
            <w:vAlign w:val="bottom"/>
            <w:shd w:val="clear" w:color="auto" w:fill="CCEDFF"/>
          </w:tcPr>
          <w:p>
            <w:pPr>
              <w:spacing w:after="0"/>
              <w:rPr>
                <w:sz w:val="23"/>
                <w:szCs w:val="23"/>
                <w:color w:val="auto"/>
              </w:rPr>
            </w:pPr>
          </w:p>
        </w:tc>
        <w:tc>
          <w:tcPr>
            <w:tcW w:w="140" w:type="dxa"/>
            <w:vAlign w:val="bottom"/>
            <w:shd w:val="clear" w:color="auto" w:fill="CCED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D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20" w:type="dxa"/>
            <w:vAlign w:val="bottom"/>
            <w:tcBorders>
              <w:bottom w:val="single" w:sz="8" w:color="CCED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D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40" w:type="dxa"/>
            <w:vAlign w:val="bottom"/>
            <w:tcBorders>
              <w:bottom w:val="single" w:sz="8" w:color="CCED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(11,785)</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(15,809)</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DFF"/>
            </w:tcBorders>
            <w:shd w:val="clear" w:color="auto" w:fill="CCEDFF"/>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top w:val="single" w:sz="8" w:color="auto"/>
            </w:tcBorders>
            <w:shd w:val="clear" w:color="auto" w:fill="CCEDFF"/>
          </w:tcPr>
          <w:p>
            <w:pPr>
              <w:spacing w:after="0"/>
              <w:rPr>
                <w:sz w:val="19"/>
                <w:szCs w:val="19"/>
                <w:color w:val="auto"/>
              </w:rPr>
            </w:pPr>
          </w:p>
        </w:tc>
        <w:tc>
          <w:tcPr>
            <w:tcW w:w="14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(11,785)</w:t>
            </w:r>
          </w:p>
        </w:tc>
        <w:tc>
          <w:tcPr>
            <w:tcW w:w="120" w:type="dxa"/>
            <w:vAlign w:val="bottom"/>
            <w:tcBorders>
              <w:top w:val="single" w:sz="8" w:color="CCEDFF"/>
            </w:tcBorders>
            <w:shd w:val="clear" w:color="auto" w:fill="CCEDFF"/>
          </w:tcPr>
          <w:p>
            <w:pPr>
              <w:spacing w:after="0"/>
              <w:rPr>
                <w:sz w:val="19"/>
                <w:szCs w:val="19"/>
                <w:color w:val="auto"/>
              </w:rPr>
            </w:pPr>
          </w:p>
        </w:tc>
        <w:tc>
          <w:tcPr>
            <w:tcW w:w="320" w:type="dxa"/>
            <w:vAlign w:val="bottom"/>
            <w:tcBorders>
              <w:top w:val="single" w:sz="8" w:color="auto"/>
            </w:tcBorders>
            <w:shd w:val="clear" w:color="auto" w:fill="CCEDFF"/>
          </w:tcPr>
          <w:p>
            <w:pPr>
              <w:spacing w:after="0"/>
              <w:rPr>
                <w:sz w:val="19"/>
                <w:szCs w:val="19"/>
                <w:color w:val="auto"/>
              </w:rPr>
            </w:pPr>
          </w:p>
        </w:tc>
        <w:tc>
          <w:tcPr>
            <w:tcW w:w="14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(15,809)</w:t>
            </w:r>
          </w:p>
        </w:tc>
        <w:tc>
          <w:tcPr>
            <w:tcW w:w="140" w:type="dxa"/>
            <w:vAlign w:val="bottom"/>
            <w:tcBorders>
              <w:top w:val="single" w:sz="8" w:color="CCEDFF"/>
            </w:tcBorders>
            <w:shd w:val="clear" w:color="auto" w:fill="CCEDFF"/>
          </w:tcPr>
          <w:p>
            <w:pPr>
              <w:spacing w:after="0"/>
              <w:rPr>
                <w:sz w:val="19"/>
                <w:szCs w:val="19"/>
                <w:color w:val="auto"/>
              </w:rPr>
            </w:pPr>
          </w:p>
        </w:tc>
        <w:tc>
          <w:tcPr>
            <w:tcW w:w="280" w:type="dxa"/>
            <w:vAlign w:val="bottom"/>
            <w:tcBorders>
              <w:top w:val="single" w:sz="8" w:color="auto"/>
            </w:tcBorders>
            <w:shd w:val="clear" w:color="auto" w:fill="CCEDFF"/>
          </w:tcPr>
          <w:p>
            <w:pPr>
              <w:spacing w:after="0"/>
              <w:rPr>
                <w:sz w:val="19"/>
                <w:szCs w:val="19"/>
                <w:color w:val="auto"/>
              </w:rPr>
            </w:pPr>
          </w:p>
        </w:tc>
        <w:tc>
          <w:tcPr>
            <w:tcW w:w="14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40" w:type="dxa"/>
            <w:vAlign w:val="bottom"/>
            <w:tcBorders>
              <w:top w:val="single" w:sz="8" w:color="CCEDFF"/>
            </w:tcBorders>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20" w:type="dxa"/>
            <w:vAlign w:val="bottom"/>
            <w:tcBorders>
              <w:top w:val="single" w:sz="8" w:color="CCEDFF"/>
              <w:bottom w:val="single" w:sz="8" w:color="CCEDFF"/>
            </w:tcBorders>
            <w:shd w:val="clear" w:color="auto" w:fill="CCEDFF"/>
          </w:tcPr>
          <w:p>
            <w:pPr>
              <w:ind w:left="680"/>
              <w:spacing w:after="0"/>
              <w:rPr>
                <w:sz w:val="20"/>
                <w:szCs w:val="20"/>
                <w:color w:val="auto"/>
              </w:rPr>
            </w:pPr>
            <w:r>
              <w:rPr>
                <w:rFonts w:ascii="Times New Roman" w:cs="Times New Roman" w:eastAsia="Times New Roman" w:hAnsi="Times New Roman"/>
                <w:sz w:val="18"/>
                <w:szCs w:val="18"/>
                <w:b w:val="1"/>
                <w:bCs w:val="1"/>
                <w:color w:val="auto"/>
              </w:rPr>
              <w:t>Net loss attributable to CaliberCos Inc.</w:t>
            </w:r>
          </w:p>
        </w:tc>
        <w:tc>
          <w:tcPr>
            <w:tcW w:w="320" w:type="dxa"/>
            <w:vAlign w:val="bottom"/>
            <w:tcBorders>
              <w:top w:val="single" w:sz="8" w:color="auto"/>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(11,785)</w:t>
            </w:r>
          </w:p>
        </w:tc>
        <w:tc>
          <w:tcPr>
            <w:tcW w:w="120" w:type="dxa"/>
            <w:vAlign w:val="bottom"/>
            <w:tcBorders>
              <w:top w:val="single" w:sz="8" w:color="CCEDFF"/>
              <w:bottom w:val="single" w:sz="8" w:color="CCEDFF"/>
            </w:tcBorders>
            <w:shd w:val="clear" w:color="auto" w:fill="CCEDFF"/>
          </w:tcPr>
          <w:p>
            <w:pPr>
              <w:spacing w:after="0"/>
              <w:rPr>
                <w:sz w:val="21"/>
                <w:szCs w:val="21"/>
                <w:color w:val="auto"/>
              </w:rPr>
            </w:pPr>
          </w:p>
        </w:tc>
        <w:tc>
          <w:tcPr>
            <w:tcW w:w="320" w:type="dxa"/>
            <w:vAlign w:val="bottom"/>
            <w:tcBorders>
              <w:top w:val="single" w:sz="8" w:color="auto"/>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tcBorders>
              <w:top w:val="single" w:sz="8" w:color="CCEDFF"/>
              <w:bottom w:val="single" w:sz="8" w:color="CCEDFF"/>
            </w:tcBorders>
            <w:shd w:val="clear" w:color="auto" w:fill="CCEDFF"/>
          </w:tcPr>
          <w:p>
            <w:pPr>
              <w:spacing w:after="0"/>
              <w:rPr>
                <w:sz w:val="21"/>
                <w:szCs w:val="21"/>
                <w:color w:val="auto"/>
              </w:rPr>
            </w:pPr>
          </w:p>
        </w:tc>
        <w:tc>
          <w:tcPr>
            <w:tcW w:w="280" w:type="dxa"/>
            <w:vAlign w:val="bottom"/>
            <w:tcBorders>
              <w:top w:val="single" w:sz="8" w:color="auto"/>
              <w:bottom w:val="single" w:sz="8" w:color="auto"/>
            </w:tcBorders>
            <w:shd w:val="clear" w:color="auto" w:fill="CCED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140" w:type="dxa"/>
            <w:vAlign w:val="bottom"/>
            <w:tcBorders>
              <w:top w:val="single" w:sz="8" w:color="CCEDFF"/>
              <w:bottom w:val="single" w:sz="8" w:color="CCEDFF"/>
            </w:tcBorders>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DFF"/>
            </w:tcBorders>
          </w:tcPr>
          <w:p>
            <w:pPr>
              <w:spacing w:after="0" w:line="20" w:lineRule="exact"/>
              <w:rPr>
                <w:sz w:val="1"/>
                <w:szCs w:val="1"/>
                <w:color w:val="auto"/>
              </w:rPr>
            </w:pP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420" w:type="dxa"/>
            <w:vAlign w:val="bottom"/>
            <w:tcBorders>
              <w:top w:val="single" w:sz="8" w:color="CCEDFF"/>
              <w:bottom w:val="single" w:sz="8" w:color="auto"/>
            </w:tcBorders>
          </w:tcPr>
          <w:p>
            <w:pPr>
              <w:spacing w:after="0" w:line="20" w:lineRule="exact"/>
              <w:rPr>
                <w:sz w:val="1"/>
                <w:szCs w:val="1"/>
                <w:color w:val="auto"/>
              </w:rPr>
            </w:pPr>
          </w:p>
        </w:tc>
        <w:tc>
          <w:tcPr>
            <w:tcW w:w="120" w:type="dxa"/>
            <w:vAlign w:val="bottom"/>
            <w:tcBorders>
              <w:top w:val="single" w:sz="8" w:color="CCEDFF"/>
            </w:tcBorders>
          </w:tcPr>
          <w:p>
            <w:pPr>
              <w:spacing w:after="0" w:line="20" w:lineRule="exact"/>
              <w:rPr>
                <w:sz w:val="1"/>
                <w:szCs w:val="1"/>
                <w:color w:val="auto"/>
              </w:rPr>
            </w:pP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42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280" w:type="dxa"/>
            <w:vAlign w:val="bottom"/>
            <w:tcBorders>
              <w:top w:val="single" w:sz="8" w:color="CCEDFF"/>
              <w:bottom w:val="single" w:sz="8" w:color="auto"/>
            </w:tcBorders>
          </w:tcPr>
          <w:p>
            <w:pPr>
              <w:spacing w:after="0" w:line="20" w:lineRule="exact"/>
              <w:rPr>
                <w:sz w:val="1"/>
                <w:szCs w:val="1"/>
                <w:color w:val="auto"/>
              </w:rPr>
            </w:pPr>
          </w:p>
        </w:tc>
        <w:tc>
          <w:tcPr>
            <w:tcW w:w="146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generally accepted accounting principles applicable to a going concern, which contemplates the realization of assets and the satisfaction of liabilities in the normal course of business.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2024, the Company had a portfolio of corporate notes, whose composition and characteristics are similar to those reported in prior periods. At December 31, 2024, the portfolio consisted of 202 unsecured notes with an aggregate principal balance of $32.8 million. As of March 31, 2025, $26.6 million of the corporate notes have matured or will mature within the 12-month period subsequent to March 31, 2025. Each note generally has a 12-month period with an option to extend for an additional 12-months.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the Company incurred operating losses and negative cash flow from operations and could experience additional future operating losses and negative cash flow in the near term, combined with the fact that the Company does not have sufficient cash on hand to satisfy the total of the notes that mature within the next 12 months, these conditions and events raise substantial doubt about the Company’s ability to continue as a going concern.</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response to these conditions, management considered the impact of these near-term maturities on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Management evaluated the impact a default of one or many of these notes might have on the Company. As these notes are unsecured, the terms in the agreements do not afford the note holder avenues of recourse in a default that could or would impact the Company adversely in the normal course of business, as the terms lack provisions for rights or claims against the Company’s assets, nor is there a scenario where a default could force liquidation of the Company. Management believes that even in the event of default of one or many of these notes, the Company would be able to negotiate a waiver of the default either through an extension of the maturity or principal repayment schedule.</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satisfy the maturity of these corporate notes, the Company intends to raise $20 million of preferred stock series AA financing through its Reg A+ offering, which was qualified on March 12, 2024, and refinance existing 12-month term notes into a new 36-month term corporate note program. From the balance sheet date through March 31, 2025, the Company has successfully refinanced $2.7 million of 12-month term corporate notes into the 36-month term corporate note program.</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financing actions noted, management continues to execute various plans implemented in the year to address operating losses and near-term maturities or demands for repayment of its notes. Consistent with reported actions taken in prior fiscal periods, management plans to continue to</w:t>
      </w:r>
    </w:p>
    <w:p>
      <w:pPr>
        <w:jc w:val="both"/>
        <w:ind w:firstLine="8"/>
        <w:spacing w:after="0" w:line="255" w:lineRule="auto"/>
        <w:tabs>
          <w:tab w:leader="none" w:pos="16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operating costs, ii) collect all or part of its $7.7 million in receivables, iii) collect all or part of its $16.1 million in investments from its managed funds, iv) increase capital raise through continued expansion of fundraising channels, v) sell or accept investment into its corporate headquarters, vi) place debt on unencumbered assets, and/or vii) generate planned cash from operations.</w:t>
      </w:r>
    </w:p>
    <w:p>
      <w:pPr>
        <w:spacing w:after="0" w:line="21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After consideration of the implemented and planned actions, management concluded these plans are not within the Company’s control and therefore cannot be deemed probable. As a result, the Company has concluded that management’s plans do not alleviate substantial doubt about the Company’s ability to continue as a going concern.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Corporate Debt</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2024, we have issued and outstanding unsecured promissory notes of $32.8 million with an average outstanding principal balance of $0.2 million, a weighted average interest rate of 11.30%, and maturity dates ranging from April 2023 to December 2027. The purpose of this financing program is to provide us with flexible, short-term capital to be used to grow its assets under management and assist funds in a fast-moving acquisition or investment, as well as general corporate purposes. Additionally, the program provides customers of our funds access to a short-term lending opportunity. Management actively manages each relationship to determine if the respective customer would like to redeem upon maturity or extend for an additional period of time. Management has historically been successful at extending these note programs and, as a result, continues to expect similar outcomes. This outstanding debt resulted in $4.0 million of interest expense for each of the years ended December 31, 2024 and 2023.</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Analysis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section below discusses in more detail the Company’s primary sources and uses of cash and primary drivers of cash flows within the Company’s consolidated statements of cash flows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6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78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19"/>
                <w:szCs w:val="19"/>
                <w:color w:val="auto"/>
              </w:rPr>
            </w:pP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(18,720)</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6"/>
              </w:rPr>
              <w:t>19,275</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6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(14,265)</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6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25,790</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(19,459)</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(12,743)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1,706</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(14,449)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48</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32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assets of our consolidated funds, on a gross basis, can be substantially larger than the assets of our core business and, accordingly could have a substantial effect on the accompanying statements of cash flows. The table below summarizes our consolidated statements of cash flow by activity attributable to the Company and to our consolidated funds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30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6"/>
        </w:trPr>
        <w:tc>
          <w:tcPr>
            <w:tcW w:w="60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the Company's operating activities</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r>
      <w:tr>
        <w:trPr>
          <w:trHeight w:val="229"/>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the consolidated funds' operating activities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16,748</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the Company's operating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555</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(18,720)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19,275</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the Company's investing activities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8,398</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the consolidated funds' investing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(24,540)</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(22,663)</w:t>
            </w:r>
          </w:p>
        </w:tc>
      </w:tr>
      <w:tr>
        <w:trPr>
          <w:trHeight w:val="22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the Company's investing activities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(19,629)</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(14,265)</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the Company's financing activities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(25,923)</w:t>
            </w:r>
          </w:p>
        </w:tc>
      </w:tr>
      <w:tr>
        <w:trPr>
          <w:trHeight w:val="229"/>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the consolidated funds' financing activities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the Company's financing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6,331</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25,790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(19,459)</w:t>
            </w:r>
          </w:p>
        </w:tc>
      </w:tr>
      <w:tr>
        <w:trPr>
          <w:trHeight w:val="223"/>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(12,743)</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(14,449)</w:t>
            </w:r>
          </w:p>
        </w:tc>
      </w:tr>
      <w:tr>
        <w:trPr>
          <w:trHeight w:val="20"/>
        </w:trPr>
        <w:tc>
          <w:tcPr>
            <w:tcW w:w="6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net cash flows from operating activities are generally comprised of asset management revenues and performance allocations, less cash used for operating expenses, including interest paid on our debt obligations. Net cash flows used in operating activities of the Company during the year ended December 31, 2024 remained relatively consistent as compared to the same period in 2023. The increase in net cash flows provided by operating activities of the consolidated funds during the year ended December 31, 2024, as compared to the net cash flows used in operating activities during the same period in 2023, was primarily due to decreased interest payments related to the consolidated funds notes payable.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increase in net cash flows provided by investing activities of the Company for the year ended December 31, 2024, as compared to net cash flows used in investing activities of the Company the same period in 2023, primarily relates to payments received on related party notes receivable and a decrease in the acquisition of real estate assets. The increase in net cash flows used in investing activities of the consolidated funds is primarily due to a decrease sales proceeds from the sale of real estate assets and the net impact of the consolidation and deconsolidation of VIEs, offset by an increase in the payments received on related party notes receivable, a decrease in investments in real estate assets and a decrease in the acquisition of real estate assets.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increase in net cash flows used in financing activities of the Company for the year ended December 31, 2024, as compared to the net cash flows provided by in the same period in 2023, was primarily due to a decrease of $26.0 million of net proceeds on notes payable. The increase in net cash flows provided by financing activities of the consolidated funds is primarily due to a decrease in redemptions and distributions to noncontrolling interest holders of $13.2 million, offset by a decrease in contributions to noncontrolling interest holders of $9.5 million.</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from those estimates, perhaps in adverse ways, and those estimates could be different under different assumptions or conditions.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and Estimates of the Company</w:t>
      </w:r>
    </w:p>
    <w:p>
      <w:pPr>
        <w:spacing w:after="0" w:line="20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affect the Company’s more significant estimates and judgements used in the preparation of our consolidated financial statements.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w:t>
      </w:r>
    </w:p>
    <w:p>
      <w:pPr>
        <w:spacing w:after="0" w:line="15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spacing w:after="0" w:line="14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performance obligations satisfied over time, significant judgment is required to determine how to allocate transaction prices where multiple performance obligations are identified;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its anticipated performance and all information that is reasonably available to the Company. Revenues are recognized when control of the promised services is transferred to customers in an amount that reflects the consideration the Company expects to be entitled to in exchange for those services.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describes revenue recognition for the fees the Company earns from providing services under its asset management Platform:</w:t>
      </w:r>
    </w:p>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consolidated statements of operations. Fund set-up fees replaced fund formation fees that are earned at a point in time at a fixed rate based on the amount of capital raised into certain managed funds.</w:t>
      </w:r>
    </w:p>
    <w:p>
      <w:pPr>
        <w:spacing w:after="0" w:line="1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(as defined in Note 3 – VIEs), the Company earns a fund management fee of 0.7% of the Caliber Hospitality Trust’s enterprise value and is reimbursed for certain costs incurred on behalf of the Caliber Hospitality Trust. These revenues are included in asset management revenues in the accompanying consolidated statements of operations.</w:t>
      </w:r>
    </w:p>
    <w:p>
      <w:pPr>
        <w:spacing w:after="0" w:line="14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guaranteeing certain loans, representing a performance obligation that the Company satisfies over time. These revenues are included in asset management revenues in the accompanying consolidated statements of operations.</w:t>
      </w:r>
    </w:p>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as the related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 These revenues are included in asset management revenues in the accompanying consolidated statements of operations.</w:t>
      </w:r>
    </w:p>
    <w:p>
      <w:pPr>
        <w:spacing w:after="0" w:line="14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Brokerage fees are earned at a point in time at fixed rates for services performed related to acquisitions, dispositions, leasing, and financing transaction, and are included in asset management revenues in the accompanying consolidated statements of operations.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consolidated statements of operations.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the asset and liability method in accordance with ASC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Deferred tax assets and liabilities are determined based on temporary differences between the financial reporting and tax basis of assets and liabilities and operating loss and tax credit carry forwards. Deferred tax assets and liabilities are measured by applying enacted tax rates and laws and are released in the years in which the temporary differences are expected to be recovered or settled. The effect on deferred tax assets and liabilities of a change in tax rates is recognized in income in the period that includes the enactment date. Valuation allowances are provided against deferred tax assets when it is more-likely-than-not that some portion or all of the deferred tax assets will not be realized.</w:t>
      </w:r>
    </w:p>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valuation allowance is required to reduce the balance of a deferred tax asset if it is determined that it is more-likely-than-not that all or some portion of the deferred tax asset will not be realized due to the lack of sufficient taxable income or other limitation on the Company’s ability to utilize the loss carryforward.</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recognize the impact of an income tax position, if that position is more-likely-than-not of being sustained on audit, based on the technical merits of the position. Related interest and penalties are classified as income taxes in the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and Estimates of Consolidated Funds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affect the consolidated funds’ more significant estimates and judgements used in the preparation of our consolidated financial statements.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Consolidated Fund Revenues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Our consolidated funds’ revenues primarily consist of hospitality revenues, rental income and interest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funds – hospitality revenue</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funds receive deposits for events and rooms. Such deposits are deferred and included in other liabilities on the accompanying consolidated balance sheets. The deposits are credited to consolidated funds – hospitality revenue when the specific event takes place.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funds – other revenue</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Consolidated funds – other revenue primarily consists of interest income of $5.9 million and $3.7 million for the years ended December 31, 2024 and 2023, respectively, which is generated by a consolidated fund’s lending activity. Interest income is recognized on the accrual basis of accounting in accordance with the lending agreements over the term of the respective loan agreement.</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consolidated funds - other revenue includes rental revenue of $1.4 million and $4.0 million for the years ended December 31, 2024 and 2023, respectively. Rental revenue includes the revenues generated primarily by the rental operations of the residential (multi-family and single-family) and commercial properties of our consolidated funds.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Fund Expenses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Consolidated fund expenses consist primarily of costs, expenses and fees that are incurred by, or arise out of the operation and activities of or otherwise related to, our consolidated funds, including, without limitation, operating costs, depreciation and amortization, interest expense on debt held by our consolidated funds, gain on extinguishment of debt, gain on derivative instruments, insurance expenses, professional fees and other costs associated with administering and supporting those funds.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financial instruments is disclosed in accordance with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fair value of our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7A. Quantitative and Qualitative Disclosures About Market Risk</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market risk associated with financial instruments and derivative financial instruments is the risk of loss from adverse changes in market prices or interest rates. Our market risk arises primarily from interest rate risk relating to variable-rate borrowings. To meet our short and long-term liquidity requirements, we borrow funds at a combination of fixed and variable rates. Our interest rate risk management objectives are to limit the impact of interest rate changes on earnings and cash flows and to manage our overall borrowing costs. To achieve these objectives, from time to time, we may enter into interest rate hedge contracts such as swaps, caps, collars, treasury locks, options and forwards in order to mitigate our interest rate risk with respect to various debt instruments. We would not hold or issue these derivative contracts for trading or speculative purposes.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our debt included fixed-rate debt with a fair value and carrying value of $57.9 million and $62.1 million, respectively. Changes in market interest rates on our fixed rate debt impact the fair value of the debt, but they have no impact on interest incurred or cash flow. For instance, if interest rates rise 100 basis points, and the fixed rate debt balance remains constant, we expect the fair value of our debt to decrease, the same way the price of a bond declines as interest rates rise.</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our debt included variable-rate debt with a fair value and carrying value of $18.0 million. The sensitivity analysis related to our variable-rate debt assumes an immediate 100 basis point move in interest rates from their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December 31, 2024 levels, with all other variables held constant. A 100 basis point increase or decrease in variable interest rates on our variable-rate debt would increase or decrease our interest expense by $0.2 million annually.</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revenues are generated from the management, ownership and/or operations of real estate assets located in Alaska, Arizona, Colorado, Kansas, Texas, and Virginia. The Company mitigates the associated risk by:</w:t>
      </w:r>
    </w:p>
    <w:p>
      <w:pPr>
        <w:spacing w:after="0" w:line="121" w:lineRule="exact"/>
        <w:rPr>
          <w:sz w:val="20"/>
          <w:szCs w:val="20"/>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multiple asset types, including hospitality, commercial, single-family, multi-family, and self-storage properties;</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multiple geographic locations including different markets and sub-markets in which our real estate assets are located;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assets at differing points of stabilization, and in varying states of cash flow optimization;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financing relationships with a diversified mix of lenders (differing size and type), including large national banks, local community banks, private equity lenders, and insurance companies.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8. Financial Statements and Supplementary Data</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8 is hereby incorporated by reference to our consolidated financial statements beginning on page F-1 of this document.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9. Changes in and Disagreements With Accountants on Accounting and Financial Disclosures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of the Securities Exchange Act of 1934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we recognize that no controls and procedures, no matter how well designed and operated, can provide absolute assurance of achieving the desired control objectives.</w:t>
      </w:r>
    </w:p>
    <w:p>
      <w:pPr>
        <w:spacing w:after="0" w:line="1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Rules 13a-15(b) and 15d-15(b) of the Exchange Act, management, under the supervision and with the participation of our Chief Executive Officer and Chief Financial Officer, carried out an evaluation of the effectiveness of our disclosure controls and procedures as of December 31, 2024 and determined that the disclosure controls and procedures were effective at a reasonable assurance level as of that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report does not include a report on management’s assessment regarding internal control over financial reporting or an attestation report of our registered public accounting firm due to a transition period established by the SEC for newly public companies.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Because we are an “emerging growth company” under the JOBS Act, our independent public accounting firm will not be required to attest to the effectiveness of our internal control over financial reporting for so long as we are an emerging growth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No change occurred in our internal control over financial reporting (as defined in Rules 13a-15(f) and 15d-15(f) of the Exchange Act) during the three months ended December 31, 2024 that has materially affected, or is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9B.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Trading Plans</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2024, no director or officer (as defined in Rule 16a-1(f) of the Exchange Act) of the Company adopted or terminated a Rule "10b5-1 trading arrangement" or "non-Rule 10b5-1 trading arrangement", as each term is defined in Item 408(a) of Regulation 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9C. Disclosure Regarding Foreign Jurisdiction that Prevent Inspections.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10. Directors, Executive Officers and 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Board of Directors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and ages of our director nominees: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Age</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6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23"/>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C. “Chris” Loeffler, II</w:t>
            </w:r>
          </w:p>
        </w:tc>
        <w:tc>
          <w:tcPr>
            <w:tcW w:w="3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Borders>
              <w:top w:val="single" w:sz="8" w:color="CCEEFF"/>
            </w:tcBorders>
            <w:shd w:val="clear" w:color="auto" w:fill="CCEEFF"/>
          </w:tcPr>
          <w:p>
            <w:pPr>
              <w:spacing w:after="0"/>
              <w:rPr>
                <w:sz w:val="19"/>
                <w:szCs w:val="19"/>
                <w:color w:val="auto"/>
              </w:rPr>
            </w:pPr>
          </w:p>
        </w:tc>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22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Jennifer Schrader</w:t>
            </w:r>
          </w:p>
        </w:tc>
        <w:tc>
          <w:tcPr>
            <w:tcW w:w="8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Vice-Chairperson</w:t>
            </w:r>
          </w:p>
        </w:tc>
      </w:tr>
      <w:tr>
        <w:trPr>
          <w:trHeight w:val="229"/>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J. Gerber</w:t>
            </w: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shd w:val="clear" w:color="auto" w:fill="CCEEFF"/>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Trzupek</w:t>
            </w:r>
          </w:p>
        </w:tc>
        <w:tc>
          <w:tcPr>
            <w:tcW w:w="8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P. Hansen</w:t>
            </w: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shd w:val="clear" w:color="auto" w:fill="CCEEFF"/>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Lawrence Taylor</w:t>
            </w:r>
          </w:p>
        </w:tc>
        <w:tc>
          <w:tcPr>
            <w:tcW w:w="8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below are our directors’ biographies.</w:t>
      </w:r>
    </w:p>
    <w:p>
      <w:pPr>
        <w:spacing w:after="0" w:line="237"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John C. “Chris” Loeffler, II. </w:t>
      </w:r>
      <w:r>
        <w:rPr>
          <w:rFonts w:ascii="Times New Roman" w:cs="Times New Roman" w:eastAsia="Times New Roman" w:hAnsi="Times New Roman"/>
          <w:sz w:val="18"/>
          <w:szCs w:val="18"/>
          <w:color w:val="auto"/>
        </w:rPr>
        <w:t>Mr. Loeffler has served as the Chief Executive Officer and Chairman of Caliber’s Board of Directors since its inception.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Chief Executive Officer, Mr. Loeffler directs and executes the global strategy, oversees investments and fund management, and contributes to private and public capital formation. As a co-founder Mr. Loeffler took an early role in forming the Company’s financial and operational infrastructure and navigating the vertical integration of all real estate and investment services. Prior to forming Caliber, Mr. Loeffler was in the audit and assurance practice for PwC in Phoenix, Arizona, completing public company audits, developing control systems, and completing several acquisition or sale transactions. Mr. Loeffler earned a Bachelor of Science degree in Business Administration with a concentration in Accounting from California Polytechnic State University, San Luis Obispo. Mr. Loeffler also attended Universidad Complutense de Madrid (University of Madrid) in Madrid, Spain. In addition, Mr. Loeffler is a Board Director for Zennihome Holdings, Inc., a technology-forward manufacturer of stackable housing units. We believe that Mr. Loeffler’s extensive knowledge of Caliber’s business and his extensive corporate and leadership experience as a co- founder of Caliber and its Chief Executive Officer qualify him to serve on our Board of Directors.</w:t>
      </w:r>
    </w:p>
    <w:p>
      <w:pPr>
        <w:spacing w:after="0" w:line="211"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Jennifer Schrader. </w:t>
      </w:r>
      <w:r>
        <w:rPr>
          <w:rFonts w:ascii="Times New Roman" w:cs="Times New Roman" w:eastAsia="Times New Roman" w:hAnsi="Times New Roman"/>
          <w:sz w:val="18"/>
          <w:szCs w:val="18"/>
          <w:color w:val="auto"/>
        </w:rPr>
        <w:t>Ms. Schrader has served as the President and Chief Operating Officer and as Vice-Chairperson and director of Caliber since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inception. Since co-founding Caliber in 2009, Ms. Schrader has overseen the acquisition, design, repositioning, and disposition of over $600 million in assets to date. In addition, she leads the Company’s daily operations, inclusive of Caliber’s asset management activities, focusing on the execution of each investment’s business plan over the asset’s full lifecycle. Prior to forming Caliber, Ms. Schrader was the Managing Partner of First United Equites, LLC, a Michigan business focused on acquiring, renovating and selling homes for profit. Ms. Schrader serves as Chair of the Caliber Foundation, which was launched in 2021, and on the Colangelo College of Business Advisory Board for Grand Canyon University in Phoenix, Arizona. Ms. Schrader attended Lawrence Technological University in Michigan where she studied architecture and interior architecture. She holds a Real Estate Broker’s license from the Arizona School of Real Estate and Business. We believe that Ms. Schrader’s extensive knowledge of Caliber’s business and her extensive corporate and leadership experience as a co-founder of Caliber and its President qualify her to serve on our Board of Directors.</w:t>
      </w:r>
    </w:p>
    <w:p>
      <w:pPr>
        <w:spacing w:after="0" w:line="212"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William J. Gerber. </w:t>
      </w:r>
      <w:r>
        <w:rPr>
          <w:rFonts w:ascii="Times New Roman" w:cs="Times New Roman" w:eastAsia="Times New Roman" w:hAnsi="Times New Roman"/>
          <w:sz w:val="18"/>
          <w:szCs w:val="18"/>
          <w:color w:val="auto"/>
        </w:rPr>
        <w:t>Mr. Gerber has been a member of the Board of Directors of the Company since May 2023. Mr. Gerber has been a member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Board since April 2019. Mr. Gerber has acted as a consultant since October 2015. From October 2006 to October 2015 Mr. Gerber served as Chief Financial Officer of TD Ameritrade Holding Corporation (Nasdaq: AMTD) (“TD Ameritrade”), a provider of securities brokerage services and related technology-based financial services to retail investors, traders and independent registered investment advisors, and has extensive financial experience. In May 2007, he was named Executive Vice President of TD Ameritrade. In his role as Chief Financial Officer, he oversaw investor relations, business development, certain treasury functions and finance operations, including accounting, business planning and forecasting, external and internal reporting, tax and competitive intelligence. From May 1999 until October 2006, he served as the Managing Director of Finance at TD Ameritrade, during which time he played a significant role in evaluating merger and acquisition opportunities. Prior to joining TD Ameritrade, he served as Vice President of Acceptance Insurance Companies, Inc., where he was responsible for all aspects of mergers and acquisitions, investment banking activity, banking relationships, investor communications and portfolio management. Prior to joining Acceptance, Mr. Gerber spent eight years with Coopers &amp; Lybrand, now known as PwC, serving as an audit manager primarily focusing on public company clients. Mr. Gerber was named to Institutional Investor Magazine’s All-America Executive Team as one of the top three CFOs in the Brokerage, Asset Managers and Exchanges category (2012 and 2013). He was also named a member of the CNBC CFO Council (2013 and 2014). Since January 2017, he has served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the Board of Directors of Northwestern Mutual Series Fund, a mutual fund company. He has also served on the Board of Directors of the U.S. holding company for the Royal Bank of Canada since July 2016 and Streck, Inc., a privately held company, since March 2015. In addition, he serves on the Boys Town National Board of Trustees. Mr. Gerber holds a B.B.A. in Accounting from the University of Michigan. Mr. Gerber holds a CPA license in the state of Michigan. We believe that Mr. Gerber’s extensive knowledge of Caliber’s business as a member of the Advisory Board of Caliber and his extensive corporate and leadership experience qualify him to serve on our Board of Directors.</w:t>
      </w:r>
    </w:p>
    <w:p>
      <w:pPr>
        <w:spacing w:after="0" w:line="210"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Michael Trzupek. </w:t>
      </w:r>
      <w:r>
        <w:rPr>
          <w:rFonts w:ascii="Times New Roman" w:cs="Times New Roman" w:eastAsia="Times New Roman" w:hAnsi="Times New Roman"/>
          <w:sz w:val="18"/>
          <w:szCs w:val="18"/>
          <w:color w:val="auto"/>
        </w:rPr>
        <w:t>Mr. Trzupek has been a member of the Board of Directors of the Company since May 2023. Mr. Trzupek has been a member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Board since May 2019. He is currently the Chief Financial Officer for Imagination Technologies a semiconductor and software design company based in the United Kingdom. From September 2020 to April 2022, Mr. Trzupek served as the Chief Financial Officer of Core Scientific, one of the largest digital asset mining infrastructure providers in North America. From February 2019 to June 2020, Mr. Trzupek served as the Chief Financial Officer of Premera Blue Cross, Washington’s leading health plan. Mr. Trzupek oversees accounting, financial planning and analysis, investment and treasury. Prior to joining Premera Blue Cross, Mr. Trzupek served as Group Vice President for Providence St. Joseph Health System, executing finance functions, strategic planning and budgeting, as well as the evaluation of affiliations, acquisitions and strategic investments. Prior to Providence St. Joseph Health System, he was a Corporate Finance General Manager at Microsoft, focused on business planning for the Company’s hardware products, including Xbox and Surface. Mr. Trzupek began his financial career at Intel. Mr. Trzupek received his Master of Business Administration from the University of Chicago. He is a member of the Board of Directors at the Seattle Aquarium, as well as a former Advisory Board member for eCapital Advisors. We believe that Mr. Trzupek’s extensive knowledge of Caliber’s business as a member of the Advisory Board of Caliber and his extensive corporate and leadership experience qualify him to serve on our Board of Directors.</w:t>
      </w:r>
    </w:p>
    <w:p>
      <w:pPr>
        <w:spacing w:after="0" w:line="217"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Daniel P. Hansen. </w:t>
      </w:r>
      <w:r>
        <w:rPr>
          <w:rFonts w:ascii="Times New Roman" w:cs="Times New Roman" w:eastAsia="Times New Roman" w:hAnsi="Times New Roman"/>
          <w:sz w:val="18"/>
          <w:szCs w:val="18"/>
          <w:color w:val="auto"/>
        </w:rPr>
        <w:t>Mr. Hansen has been a member of the Board of Directors of the Company since May 2023. Mr. Hansen has been a member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Board since May 2022. Mr. Hansen is currently the Global Head of Hyatt Studios, Hyatt Hotels first extended stay upper-midscale brand in the Americas. He previously served as the Chairman, President and Chief Executive Officer of Summit Hotel Properties, Inc. (NYSE:INN) from that company’s initial public offering until his retirement in 2021. He served on the Board of the American Hotel &amp; Lodging Association (AHLA) and as a trustee of the AHLA Foundation and on advisory councils of multiple hotel brands. Mr. Hansen was recognized by Institutional Investor Magazine as a top small-cap executive in 2017, and in 2018, received the EY Entrepreneur of The Year Award in the Texas region. Prior to joining The Summit Group, Mr. Hansen spent 11 years with Merrill Lynch in various leadership positions culminating as a Vice President and Regional Sales Manager in the Texas Mid-South Region. Mr. Hansen graduated from South Dakota State University with a B.A. in Economics. We believe that Mr. Hansen’s extensive corporate and leadership experience qualify him to serve on our Board of Directors.</w:t>
      </w:r>
    </w:p>
    <w:p>
      <w:pPr>
        <w:spacing w:after="0" w:line="212"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i w:val="1"/>
          <w:iCs w:val="1"/>
          <w:color w:val="auto"/>
        </w:rPr>
        <w:t>Lawrence Taylor</w:t>
      </w:r>
      <w:r>
        <w:rPr>
          <w:rFonts w:ascii="Times New Roman" w:cs="Times New Roman" w:eastAsia="Times New Roman" w:hAnsi="Times New Roman"/>
          <w:sz w:val="18"/>
          <w:szCs w:val="18"/>
          <w:color w:val="auto"/>
        </w:rPr>
        <w:t>. Mr. Taylor has been a member of the Board of Directors of the Company since August 2023. Mr. Taylor is President of Taylor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Strategy Group advising companies on finance, strategy, growth initiatives and related activities. His experience spans start-ups, private companies, and publicly traded companies across diverse industries, including casino gaming, hospitality, manufacturing, aviation, commercial real estate, retail, and healthcare. Previously, Mr. Taylor served as Partner and Managing Director at Odyssey Capital Group, Chief Financial Officer at Excorp Medical, Inc., Corporate Director of Investment Relations at Grand Casinos, Inc., and others. He is a Board Leadership Fellow of the National Association of Corporate Directors (NACD), is Directorship Certified by the NACD, and was recognized as a “Director to Watch” in 2020 by the Private Company Director Magazine. Mr. Taylor earned a bachelor’s degree in finance from Louisiana Tech University.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 and Risk Oversight</w:t>
      </w:r>
    </w:p>
    <w:p>
      <w:pPr>
        <w:spacing w:after="0" w:line="243"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Our Board of Directors does not have a policy on whether or not the role of the Chief Executive Officer and Chairman should be separate or, if it is to be separate, whether the Chairman should be selected from the non-employee directors or be an employee. Currently, we operate with Mr. Loeffler serving as our Chairman and our Chief Executive Officer. We currently believe that Mr. Loeffler serving in both capacities best serves the Company and suits the talents, expertise and experience that Mr. Loeffler brings to the Company.</w:t>
      </w:r>
    </w:p>
    <w:p>
      <w:pPr>
        <w:spacing w:after="0" w:line="208"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The Board of Directors as a whole is responsible for consideration and oversight of the risks we face and is responsible for ensuring that material risks are identified and managed appropriately. Certain risks are overseen by committees of the Board of Directors and these committees make reports to the full Board of Directors, including reports on noteworthy risk-management issues. Members of the Company’s senior management team regularly report to the full Board about their areas of responsibility and a component of these reports is the risks within their areas of responsibility and the steps management has taken to monitor and control such exposures. Additional review or reporting on risks is conducted as needed or as requested by the Board or one of its committees.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Independence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We are listed on the Nasdaq Capital Market (“NASDAQ”) and accordingly, we have applied NASDAQ listing standards in determining the “independence” of the members of our Board of Directors. In addition, we are subject to the rules of the SEC and NASDAQ relating to the membership, qualifications, and operations of the Audit Committee, as discussed below. The Nominating and Corporate Governance Committee also evaluates the composition of the Board as a whole and each of its committees to ensure the Company’s on-going compliance with NASDAQ independence standards. Based on the NASDAQ listing standards and SEC rules and after reviewing the relationships with members of our Board, our Board of Directors, with the assistance of the Nominating and Corporate Governance Committee, has determined that each of William J. Gerber, Michael Trzupek, Daniel P. Hansen, and Lawrence Taylor qualifies as an independent director.</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the Company is a “controlled company” as defined under the NASDAQ rules and thus is entitled to an exemption from the majority independence rule, the Company has not elected this exemption for its 2025 election of directors but reserves the right to claim this exemption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compensation paid to or earned by each non-employee director of the Company during fiscal year December 31,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Fees Earned or Paid</w:t>
            </w:r>
          </w:p>
        </w:tc>
        <w:tc>
          <w:tcPr>
            <w:tcW w:w="120" w:type="dxa"/>
            <w:vAlign w:val="bottom"/>
          </w:tcPr>
          <w:p>
            <w:pPr>
              <w:spacing w:after="0"/>
              <w:rPr>
                <w:sz w:val="17"/>
                <w:szCs w:val="17"/>
                <w:color w:val="auto"/>
              </w:rPr>
            </w:pPr>
          </w:p>
        </w:tc>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Option Awards ($)</w:t>
            </w:r>
          </w:p>
        </w:tc>
        <w:tc>
          <w:tcPr>
            <w:tcW w:w="140" w:type="dxa"/>
            <w:vAlign w:val="bottom"/>
          </w:tcPr>
          <w:p>
            <w:pPr>
              <w:spacing w:after="0"/>
              <w:rPr>
                <w:sz w:val="17"/>
                <w:szCs w:val="17"/>
                <w:color w:val="auto"/>
              </w:rPr>
            </w:pPr>
          </w:p>
        </w:tc>
        <w:tc>
          <w:tcPr>
            <w:tcW w:w="1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Stock Awards ($)</w:t>
            </w:r>
          </w:p>
        </w:tc>
        <w:tc>
          <w:tcPr>
            <w:tcW w:w="300" w:type="dxa"/>
            <w:vAlign w:val="bottom"/>
          </w:tcPr>
          <w:p>
            <w:pPr>
              <w:spacing w:after="0"/>
              <w:rPr>
                <w:sz w:val="17"/>
                <w:szCs w:val="17"/>
                <w:color w:val="auto"/>
              </w:rPr>
            </w:pPr>
          </w:p>
        </w:tc>
        <w:tc>
          <w:tcPr>
            <w:tcW w:w="13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243"/>
        </w:trPr>
        <w:tc>
          <w:tcPr>
            <w:tcW w:w="29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center"/>
              <w:ind w:right="380"/>
              <w:spacing w:after="0" w:line="243" w:lineRule="exact"/>
              <w:rPr>
                <w:sz w:val="20"/>
                <w:szCs w:val="20"/>
                <w:color w:val="auto"/>
              </w:rPr>
            </w:pPr>
            <w:r>
              <w:rPr>
                <w:rFonts w:ascii="Times New Roman" w:cs="Times New Roman" w:eastAsia="Times New Roman" w:hAnsi="Times New Roman"/>
                <w:sz w:val="18"/>
                <w:szCs w:val="18"/>
                <w:b w:val="1"/>
                <w:bCs w:val="1"/>
                <w:color w:val="auto"/>
                <w:w w:val="96"/>
              </w:rPr>
              <w:t>in Cash ($)</w:t>
            </w:r>
            <w:r>
              <w:rPr>
                <w:rFonts w:ascii="Times New Roman" w:cs="Times New Roman" w:eastAsia="Times New Roman" w:hAnsi="Times New Roman"/>
                <w:sz w:val="23"/>
                <w:szCs w:val="23"/>
                <w:b w:val="1"/>
                <w:bCs w:val="1"/>
                <w:color w:val="auto"/>
                <w:w w:val="96"/>
                <w:vertAlign w:val="superscript"/>
              </w:rPr>
              <w:t>(1)</w:t>
            </w:r>
          </w:p>
        </w:tc>
        <w:tc>
          <w:tcPr>
            <w:tcW w:w="120" w:type="dxa"/>
            <w:vAlign w:val="bottom"/>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J. Gerber</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47,072</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122,072</w:t>
            </w:r>
          </w:p>
        </w:tc>
        <w:tc>
          <w:tcPr>
            <w:tcW w:w="0" w:type="dxa"/>
            <w:vAlign w:val="bottom"/>
          </w:tcPr>
          <w:p>
            <w:pPr>
              <w:spacing w:after="0"/>
              <w:rPr>
                <w:sz w:val="1"/>
                <w:szCs w:val="1"/>
                <w:color w:val="auto"/>
              </w:rPr>
            </w:pPr>
          </w:p>
        </w:tc>
      </w:tr>
      <w:tr>
        <w:trPr>
          <w:trHeight w:val="22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Trzupek</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47,072</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122,072</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P. Hansen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122,072</w:t>
            </w:r>
          </w:p>
        </w:tc>
        <w:tc>
          <w:tcPr>
            <w:tcW w:w="0" w:type="dxa"/>
            <w:vAlign w:val="bottom"/>
          </w:tcPr>
          <w:p>
            <w:pPr>
              <w:spacing w:after="0"/>
              <w:rPr>
                <w:sz w:val="1"/>
                <w:szCs w:val="1"/>
                <w:color w:val="auto"/>
              </w:rPr>
            </w:pPr>
          </w:p>
        </w:tc>
      </w:tr>
      <w:tr>
        <w:trPr>
          <w:trHeight w:val="234"/>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Lawrence Taylor</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50,937</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8599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267" w:lineRule="exact"/>
        <w:rPr>
          <w:sz w:val="20"/>
          <w:szCs w:val="20"/>
          <w:color w:val="auto"/>
        </w:rPr>
      </w:pPr>
    </w:p>
    <w:p>
      <w:pPr>
        <w:ind w:firstLine="8"/>
        <w:spacing w:after="0" w:line="266" w:lineRule="auto"/>
        <w:tabs>
          <w:tab w:leader="none" w:pos="2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listed in this column represent the retainer paid to each director for their service on the board and any committees on which they served during 2024.</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non-employee director compensation is comprised of cash compensation. Further, we reimburse all of our non-employee directors for their reasonable expenses incurred in attending meetings of our Board and committees of the Board.</w:t>
      </w:r>
    </w:p>
    <w:p>
      <w:pPr>
        <w:spacing w:after="0" w:line="54"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Board believes that a significant portion of director compensation should align director interests with the long-term interests of stockholders. The Board makes changes in its director compensation practices only upon the recommendation of the Compensation Committee, and discussion and approval by the Board.</w:t>
      </w:r>
    </w:p>
    <w:p>
      <w:pPr>
        <w:spacing w:after="0" w:line="6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Our Board, following the Compensation Committee’s recommendation, has approved the compensation of our non-employee directors, as described below. The Compensation Committee believes that our non-employee director compensation remains aligned with director compensation practices at our peer companies while considering the ongoing cash constraints of the Company.</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2024, our non-employee director annual compensation consisted of $75,000 in cash.</w:t>
      </w:r>
    </w:p>
    <w:p>
      <w:pPr>
        <w:spacing w:after="0" w:line="239"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During fiscal 2024, our Board held four meetings and the Audit Committee, Compensation Committee, and Nominating and Corporate Governance Committee each held four meetings. During the period for which a person served as a director, each director attended at least 75% of the aggregate of the total number of meetings held by the Board of Directors and the total number of meetings held by those committees of the Board of Directors on which such director served.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policy is to encourage, but not require, Board members to attend annual stockholder meetings.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and Membership</w:t>
      </w:r>
    </w:p>
    <w:p>
      <w:pPr>
        <w:spacing w:after="0" w:line="24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We maintain the following committees of the Board of Directors: the Audit Committee, the Compensation Committee and the Nominating and Corporate Governance Committee. Each committee is comprised entirely of directors who are “independent” within the meaning of the rules of NASDAQ Rule 5605(a)(2) and all applicable SEC rules and regulations. Each committee acts pursuant to a separate written charter, and each such charter has been adopted and approved by the Board of Directors. Each committee charter is available on our website at caliberco.com under the heading “Investments - Public Investors” (</w:t>
      </w:r>
      <w:r>
        <w:rPr>
          <w:rFonts w:ascii="Times New Roman" w:cs="Times New Roman" w:eastAsia="Times New Roman" w:hAnsi="Times New Roman"/>
          <w:sz w:val="18"/>
          <w:szCs w:val="18"/>
          <w:color w:val="0000FF"/>
        </w:rPr>
        <w:t>https://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0000FF"/>
        </w:rPr>
        <w:t>ir.caliberco.com/corporate-governance/governance-documents</w:t>
      </w:r>
      <w:r>
        <w:rPr>
          <w:rFonts w:ascii="Times New Roman" w:cs="Times New Roman" w:eastAsia="Times New Roman" w:hAnsi="Times New Roman"/>
          <w:sz w:val="18"/>
          <w:szCs w:val="18"/>
          <w:color w:val="000000"/>
        </w:rPr>
        <w:t>). The members of the committees and a description of the principal responsibilities of each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committee are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43"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Our Audit Committee consists of William J. Gerber, Daniel P. Hansen, and Michael Trzupek, who are independent pursuant to the Direction Independence Standards of NASDAQ and SEC rules and regulations applicable to audit committees. Our Board of Directors has determined that each William J. Gerber, Daniel P. Hansen, and Michael Trzupek satisfies the independence requirements under NASDAQ listing standards and Rule 10A-3(b)(1) of the Exchange Act. The chair of our Audit Committee is Mr. Trzupek, whom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duties and responsibilities of our Audit Committee include, among other things:</w:t>
      </w:r>
    </w:p>
    <w:p>
      <w:pPr>
        <w:spacing w:after="0" w:line="293" w:lineRule="exact"/>
        <w:rPr>
          <w:sz w:val="20"/>
          <w:szCs w:val="20"/>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49" w:lineRule="exact"/>
        <w:rPr>
          <w:rFonts w:ascii="Times New Roman" w:cs="Times New Roman" w:eastAsia="Times New Roman" w:hAnsi="Times New Roman"/>
          <w:sz w:val="18"/>
          <w:szCs w:val="18"/>
          <w:color w:val="auto"/>
        </w:rPr>
      </w:pPr>
    </w:p>
    <w:p>
      <w:pPr>
        <w:ind w:left="660" w:hanging="247"/>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ind w:left="660" w:hanging="247"/>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financial statements;</w:t>
      </w:r>
    </w:p>
    <w:p>
      <w:pPr>
        <w:ind w:left="660" w:right="20" w:hanging="247"/>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w:t>
      </w:r>
    </w:p>
    <w:p>
      <w:pPr>
        <w:spacing w:after="0" w:line="36" w:lineRule="exact"/>
        <w:rPr>
          <w:rFonts w:ascii="Times New Roman" w:cs="Times New Roman" w:eastAsia="Times New Roman" w:hAnsi="Times New Roman"/>
          <w:sz w:val="18"/>
          <w:szCs w:val="18"/>
          <w:color w:val="auto"/>
        </w:rPr>
      </w:pPr>
    </w:p>
    <w:p>
      <w:pPr>
        <w:ind w:left="660" w:hanging="247"/>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the audit committee’s review and discussions with management and our independent registered public accounting firm, whether our audited financial statements shall be included in our Annual Report on Form 10-K;</w:t>
      </w:r>
    </w:p>
    <w:p>
      <w:pPr>
        <w:ind w:left="660" w:hanging="247"/>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 and</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quarterly earnings releases.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Charter is available on our website (</w:t>
      </w:r>
      <w:r>
        <w:rPr>
          <w:rFonts w:ascii="Times New Roman" w:cs="Times New Roman" w:eastAsia="Times New Roman" w:hAnsi="Times New Roman"/>
          <w:sz w:val="18"/>
          <w:szCs w:val="18"/>
          <w:color w:val="0000FF"/>
        </w:rPr>
        <w:t>https://ir.caliberco.com/corporate-governance/governance-documents</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4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William J. Gerber, Daniel P. Hansen, and Michael Trzupek. The chair of our Compensation Committee is Mr. Hansen. Each member of our Compensation Committee is independent under NASDAQ listing standards.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duties and responsibilities of our compensation committee include, among other things:</w:t>
      </w:r>
    </w:p>
    <w:p>
      <w:pPr>
        <w:spacing w:after="0" w:line="293" w:lineRule="exact"/>
        <w:rPr>
          <w:sz w:val="20"/>
          <w:szCs w:val="20"/>
          <w:color w:val="auto"/>
        </w:rPr>
      </w:pPr>
    </w:p>
    <w:p>
      <w:pPr>
        <w:jc w:val="both"/>
        <w:ind w:left="660" w:hanging="247"/>
        <w:spacing w:after="0" w:line="24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such corporate goals and objectives and based on such evaluation: (i) recommending to the board of directors the cash compensation of our Chief Executive Officer, and (ii) reviewing and approving grants and awards to our Chief Executive Officer under equity-based plans;</w:t>
      </w:r>
    </w:p>
    <w:p>
      <w:pPr>
        <w:spacing w:after="0" w:line="2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cash compensation of our other executive officers;</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our overall management compensation, philosophy, and policy;</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49" w:lineRule="exact"/>
        <w:rPr>
          <w:rFonts w:ascii="Times New Roman" w:cs="Times New Roman" w:eastAsia="Times New Roman" w:hAnsi="Times New Roman"/>
          <w:sz w:val="18"/>
          <w:szCs w:val="18"/>
          <w:color w:val="auto"/>
        </w:rPr>
      </w:pPr>
    </w:p>
    <w:p>
      <w:pPr>
        <w:jc w:val="both"/>
        <w:ind w:left="660" w:hanging="247"/>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NASDAQ rules;</w:t>
      </w:r>
    </w:p>
    <w:p>
      <w:pPr>
        <w:spacing w:after="0" w:line="1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approving the compensation of any compensation advisors;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policies and procedures for the grant of equity-based awards;</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of our directors; and</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by SEC rules, if and when required, to be included in our annual proxy statement.</w:t>
      </w:r>
    </w:p>
    <w:p>
      <w:pPr>
        <w:spacing w:after="0" w:line="293"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 The Compensation Committee Charter is available on our website (</w:t>
      </w:r>
      <w:r>
        <w:rPr>
          <w:rFonts w:ascii="Times New Roman" w:cs="Times New Roman" w:eastAsia="Times New Roman" w:hAnsi="Times New Roman"/>
          <w:sz w:val="18"/>
          <w:szCs w:val="18"/>
          <w:color w:val="0000FF"/>
        </w:rPr>
        <w:t>https://ir.caliberco.com/corporate-governance/governance-documents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4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William J. Gerber, Daniel P. Hansen, and Michael Trzupek. The chair of our Nominating and Corporate Governance Committee is Mr. Gerber. Each member of our Nominating and Corporate Governance Committee independent under NASDAQ listing standards.</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include, among other things:</w:t>
      </w:r>
    </w:p>
    <w:p>
      <w:pPr>
        <w:spacing w:after="0" w:line="293" w:lineRule="exact"/>
        <w:rPr>
          <w:sz w:val="20"/>
          <w:szCs w:val="20"/>
          <w:color w:val="auto"/>
        </w:rPr>
      </w:pPr>
    </w:p>
    <w:p>
      <w:pPr>
        <w:ind w:left="660" w:hanging="247"/>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criteria for board and committee membership;</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board of director candidates, including nominees recommended by stockholders;</w:t>
      </w:r>
    </w:p>
    <w:p>
      <w:pPr>
        <w:spacing w:after="0" w:line="49" w:lineRule="exact"/>
        <w:rPr>
          <w:rFonts w:ascii="Times New Roman" w:cs="Times New Roman" w:eastAsia="Times New Roman" w:hAnsi="Times New Roman"/>
          <w:sz w:val="18"/>
          <w:szCs w:val="18"/>
          <w:color w:val="auto"/>
        </w:rPr>
      </w:pPr>
    </w:p>
    <w:p>
      <w:pPr>
        <w:ind w:left="660" w:hanging="247"/>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composition of the board of directors to ensure that it is composed of members containing the appropriate skills and expertise to advise us;</w:t>
      </w:r>
    </w:p>
    <w:p>
      <w:pPr>
        <w:ind w:left="660" w:hanging="247"/>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of directors;</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of the board’s committees;</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appropriate corporate governance guidelines; and</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of directors.</w:t>
      </w:r>
    </w:p>
    <w:p>
      <w:pPr>
        <w:spacing w:after="0" w:line="33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Charter is available on our website (</w:t>
      </w:r>
      <w:r>
        <w:rPr>
          <w:rFonts w:ascii="Times New Roman" w:cs="Times New Roman" w:eastAsia="Times New Roman" w:hAnsi="Times New Roman"/>
          <w:sz w:val="18"/>
          <w:szCs w:val="18"/>
          <w:color w:val="0000FF"/>
        </w:rPr>
        <w:t>https://ir.caliberco.com/corporate-governance/governance-documents</w:t>
      </w:r>
      <w:r>
        <w:rPr>
          <w:rFonts w:ascii="Times New Roman" w:cs="Times New Roman" w:eastAsia="Times New Roman" w:hAnsi="Times New Roman"/>
          <w:sz w:val="18"/>
          <w:szCs w:val="18"/>
          <w:color w:val="000000"/>
        </w:rPr>
        <w:t>).</w:t>
      </w:r>
    </w:p>
    <w:p>
      <w:pPr>
        <w:spacing w:after="0" w:line="2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The Director Nomination Process</w:t>
      </w:r>
    </w:p>
    <w:p>
      <w:pPr>
        <w:spacing w:after="0" w:line="24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nominees from all sources, including stockholders. The Nominating and Corporate Governance Committee has the authority to lead the search for individuals qualified to become members of the Company’s Board of Directors and to select or recommend to the Board of Directors director nominees to be presented for stockholder approval. The Nominating and Corporate Governance Committee may use its network of contacts to compile a list of potential candidates, but may also engage, if it deems appropriate, a professional search firm.</w:t>
      </w:r>
    </w:p>
    <w:p>
      <w:pPr>
        <w:spacing w:after="0" w:line="212"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Our Nominating and Corporate Governance Committee nominates individuals to our Board of Directors based on a variety of factors, including the criteria set forth below. Nominees to our Board of Directors are expected to possess fundamental qualities of intelligence, integrity, ethics, and accountability; have proven achievements and competence in their fields; and have a background that demonstrates an understanding of business, real estate, and financial affairs. Nominees must be willing and able to spend the time required to effectively fulfill duties as a director, collaborate with other directors and the executives of the Company. Members of our Board of Directors are expected to be committed to the success of the Company, to think critically and independently, and to be willing to communicate in a constructive manner. Directors are selected on the basis of qualifications and experience. Other factors in the selection process may include expertise; business experience; knowledge regarding real estate, finance, marketing, financial reporting, cybersecurity, or management. A nominee’s ability to meet the independence criteria established by the NASDAQ or NYSE is also a factor in the selection process. The Nominating and Corporate Governance Committee will consider candidates for the Board of Directors that are recommended by stockholders so long as the recommendations comply with our Third Amended and Restated Certificate of Incorporation; our Amended and Restated Bylaws; and applicable laws, rules, and regulations, including those promulgated by the SEC. The Nominating and Corporate Governance Committee will evaluate such recommendations in accordance with the Third Amended and Restated Certificate of Incorporation, Amended and Restated Bylaws, Corporate Governance Guidelines, and with the nominee criteria described above.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Communications</w:t>
      </w:r>
    </w:p>
    <w:p>
      <w:pPr>
        <w:spacing w:after="0" w:line="243"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Any stockholder who desires to contact any of our directors can write to CaliberCos Inc., 8901 E. Mountain View Rd. Ste. 150, Scottsdale, Arizona 85258, Attention: Corporate Secretary. Your letter should include the following information: (i) if you are a security holder, a statement of the type and number of Company securities you hold; (ii) if you are not a security holder and are submitting the communication to the non-management directors as an interested party, the nature of your interest in the Company; (iii) any special interest, meaning an interest not in the capacity as a securityholder of the Company, of the person in the subject matter of the communication; (iv) and your address, telephone number and e-mail address, if any. All communications will be reviewed by our Corporate Secretary and, if appropriate, directed to the appropriate member(s) of the Board.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Conduct and Code of Ethics</w:t>
      </w:r>
    </w:p>
    <w:p>
      <w:pPr>
        <w:spacing w:after="0" w:line="24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 xml:space="preserve">We have adopted a written Code of Conduct and a Code of Ethics each of which applies to our directors, officers, and employees, including our principal executive officer, principal financial officer, principal accounting officer, or controller, or persons performing similar functions. Current copies of the codes are posted on the Corporate Governance section of our website, located at </w:t>
      </w:r>
      <w:r>
        <w:rPr>
          <w:rFonts w:ascii="Times New Roman" w:cs="Times New Roman" w:eastAsia="Times New Roman" w:hAnsi="Times New Roman"/>
          <w:sz w:val="18"/>
          <w:szCs w:val="18"/>
          <w:color w:val="0000FF"/>
        </w:rPr>
        <w:t>https://ir.caliberco.com/corporate-governance/governance-documents</w:t>
      </w:r>
      <w:r>
        <w:rPr>
          <w:rFonts w:ascii="Times New Roman" w:cs="Times New Roman" w:eastAsia="Times New Roman" w:hAnsi="Times New Roman"/>
          <w:sz w:val="18"/>
          <w:szCs w:val="18"/>
          <w:color w:val="auto"/>
        </w:rPr>
        <w:t>. If we make any substantive amendments to, or grant any waivers from, the Code of Conduct and the Code of Ethics for any officer or director, we will disclose the nature of such amendment or waiver on our website or in a current report on Form 8-K.</w:t>
      </w:r>
    </w:p>
    <w:p>
      <w:pPr>
        <w:spacing w:after="0" w:line="2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written request to our Corporate Secretary, CaliberCos Inc. 8901 E. Mountain View Rd. Ste. 150, Scottsdale, Arizona 85258, we will provide you with a copy of our Code of Conduct and/or our Code of Ethics, without cost.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Sale and Hedging and Pledging Policies</w:t>
      </w:r>
    </w:p>
    <w:p>
      <w:pPr>
        <w:spacing w:after="0" w:line="24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Our Amended and Restated Insider Trading Policy applies to our directors, officers, employees, and family members who reside in the household of each person. The policy prohibits directors, officers, employees, and family members who reside in the household of each person, from engaging in short sales, derivatives trading or hedging involving the Company’s securities or pledging or margining the Company’s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16(a) Beneficial Ownership Reporting Compliance</w:t>
      </w:r>
    </w:p>
    <w:p>
      <w:pPr>
        <w:spacing w:after="0" w:line="229" w:lineRule="exact"/>
        <w:rPr>
          <w:sz w:val="20"/>
          <w:szCs w:val="20"/>
          <w:color w:val="auto"/>
        </w:rPr>
      </w:pPr>
    </w:p>
    <w:p>
      <w:pPr>
        <w:ind w:right="20" w:firstLine="324"/>
        <w:spacing w:after="0" w:line="241"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the persons who beneficially own more than ten percent of our Common Stock, to file reports of ownership and changes in ownership with the Securities and Exchange Commission. Copies of all filed reports are required to be furnished to us. Based solely on the reports received by us and on the representations of the reporting persons, we believe that our directors and executive officers complied with all applicable filing requirements during the fiscal year ended December 31, 2024</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except Ignacio Martinez, who filed one late Form 3 and one late Form 4; Michael Trzupek, Jennifer Schrader and Jade Leung, each of whom filed one late Form 4; and John C. Loeffler II, who filed two late Form 4s.</w:t>
      </w:r>
    </w:p>
    <w:p>
      <w:pPr>
        <w:spacing w:after="0" w:line="2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based solely on the reports received by us and on the representations of the reporting persons, we believe each greater than ten percent holder complied with all applicable filing requirements during the fiscal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Executive Officers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names, ages and titles of our executive officers: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Age</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6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23"/>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C. “Chris” Loeffler, II</w:t>
            </w:r>
          </w:p>
        </w:tc>
        <w:tc>
          <w:tcPr>
            <w:tcW w:w="3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Borders>
              <w:top w:val="single" w:sz="8" w:color="CCEEFF"/>
            </w:tcBorders>
            <w:shd w:val="clear" w:color="auto" w:fill="CCEEFF"/>
          </w:tcPr>
          <w:p>
            <w:pPr>
              <w:spacing w:after="0"/>
              <w:rPr>
                <w:sz w:val="19"/>
                <w:szCs w:val="19"/>
                <w:color w:val="auto"/>
              </w:rPr>
            </w:pPr>
          </w:p>
        </w:tc>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23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Jennifer Schrader</w:t>
            </w:r>
          </w:p>
        </w:tc>
        <w:tc>
          <w:tcPr>
            <w:tcW w:w="8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 Chief Operating Officer and Vice-Chairperson</w:t>
            </w:r>
          </w:p>
        </w:tc>
      </w:tr>
      <w:tr>
        <w:trPr>
          <w:trHeight w:val="230"/>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Jade Leung</w:t>
            </w: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CEEFF"/>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 Bade</w:t>
            </w:r>
          </w:p>
        </w:tc>
        <w:tc>
          <w:tcPr>
            <w:tcW w:w="8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229"/>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Ignacio Martinez</w:t>
            </w: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shd w:val="clear" w:color="auto" w:fill="CCEEFF"/>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2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Information about John C. Loeffler, II our Chief Executive Officer, and Jennifer Schrader, our President, is set forth above under “PROPOSAL 1 Election of Directors - </w:t>
      </w:r>
      <w:r>
        <w:rPr>
          <w:rFonts w:ascii="Times New Roman" w:cs="Times New Roman" w:eastAsia="Times New Roman" w:hAnsi="Times New Roman"/>
          <w:sz w:val="18"/>
          <w:szCs w:val="18"/>
          <w:i w:val="1"/>
          <w:iCs w:val="1"/>
          <w:color w:val="auto"/>
        </w:rPr>
        <w:t>Nominees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Jade Leung. </w:t>
      </w:r>
      <w:r>
        <w:rPr>
          <w:rFonts w:ascii="Times New Roman" w:cs="Times New Roman" w:eastAsia="Times New Roman" w:hAnsi="Times New Roman"/>
          <w:sz w:val="18"/>
          <w:szCs w:val="18"/>
          <w:color w:val="auto"/>
        </w:rPr>
        <w:t>Mr. Leung has served as Caliber’s Chief Financial Officer and corporate secretary since April 2017. As Chief Financial Officer,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Leung oversees all aspects of accounting and controllership, financial planning and analysis, tax, financial reporting, and treasury functions at Caliber. Before being named Chief Financial Officer, Mr. Leung served as Caliber’s Vice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President of Finance and was responsible for managing and streamlining the Company’s accounting and compliance functions across all divisions and functions. In August 2016, he was also named the Chief Compliance Officer for the Company’s Arizona issuer-dealer, Caliber Securities, LLC, which established a new revenue stream for the Caliber group of companies. Prior to joining Caliber, Mr. Leung spent 12 years with PwC where he managed audit and accounting advisory services for some of PwC’s largest Fortune 500 companies in the United States, Canada, and Japan. Notably, Mr. Leung participated in over $1 billion of public market transactions and financing arrangements. Mr. Leung earned an accounting degree from Ryerson University and a Bachelor of Arts degree in Psychology from the University of British Columbia and holds an active CPA license in the states of Arizona and Maine.</w:t>
      </w:r>
    </w:p>
    <w:p>
      <w:pPr>
        <w:spacing w:after="0" w:line="20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Roy Bade. </w:t>
      </w:r>
      <w:r>
        <w:rPr>
          <w:rFonts w:ascii="Times New Roman" w:cs="Times New Roman" w:eastAsia="Times New Roman" w:hAnsi="Times New Roman"/>
          <w:sz w:val="18"/>
          <w:szCs w:val="18"/>
          <w:color w:val="auto"/>
        </w:rPr>
        <w:t>Mr. Bade has served as the Chief Development Officer of Caliber since November 2019. Roy is responsible for managing real estate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lines provided by Caliber’s vertically integrated group of operating businesses. His four areas of responsibility include vertical and horizontal real estate development, construction, acquisitions, and project financing. Mr. Bade joined Caliber in 2014 as Fund Manager and was quickly promoted to Executive Vice President and Fund Manager. He was responsible for maximizing returns on existing properties and managing Caliber’s development and construction activity. For nearly 30 years prior to joining Caliber, Mr. Bade acted as the principal and managing partner of two businesses, Bade Commercial Services Inc and BCS Development Group, LLC, which included the development, construction, and property management of commercial, retail and industrial properties throughout Phoenix, Arizona. During this time, Mr. Bade developed, constructed and owned over 750,000 square feet of property. Mr. Bade graduated from Washington State University with a Bachelor of Science in Business Information Systems, and holds a Commercial General Contractor’s license, and holds an Arizona Real Estate Broker’s license.</w:t>
      </w:r>
    </w:p>
    <w:p>
      <w:pPr>
        <w:spacing w:after="0" w:line="212"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Ignacio Martinez. </w:t>
      </w:r>
      <w:r>
        <w:rPr>
          <w:rFonts w:ascii="Times New Roman" w:cs="Times New Roman" w:eastAsia="Times New Roman" w:hAnsi="Times New Roman"/>
          <w:sz w:val="18"/>
          <w:szCs w:val="18"/>
          <w:color w:val="auto"/>
        </w:rPr>
        <w:t>Mr. Martinez has served as the Chief Operating Officer of the Company since April, 1 2024. Prior to serving as Chief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Mr. Martinez was the Senior Vice President of Operations since he joined the Company in June 2023. Prior to joining Caliber, Mr. Martinez had served as Senior Vice President of Security, Risk and Compliance for Smartsheet (NYSE: SMAR), an enterprise Software as a Service (SaaS) work management platform since July 2017, where he played a key role in helping to build and scale the business in preparation for its initial public offering. Mr. Martinez holds a degree in business from New Mexico State University.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Proceedings</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None of our directors or executive officers has been involved in any events enumerated under Item 401(f) of Regulation S-K during the past ten years that are material to an evaluation of the ability or integrity of such persons to be our directors or executive officers.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material proceedings exist in which any of our directors or executive officers is an adverse party to the Company or any of its subsidiaries or has a material interest adverse to the Company or any of its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11. Executive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Named Executive Officers</w:t>
      </w:r>
    </w:p>
    <w:p>
      <w:pPr>
        <w:spacing w:after="0" w:line="22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The summary compensation table below shows certain compensation information for services rendered in all capacities for the fiscal years ended December 31, 2024 and 2023. Other than as set forth herein, no executive officer’s salary and bonus exceeded $100,000 in any of the applicable years. The following information includes the dollar value of base salaries, bonus awards, the number of stock options granted and certain other compensation, if any, whether paid or deferred.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3"/>
                <w:szCs w:val="13"/>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22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Bonus</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 xml:space="preserve"> ($)</w:t>
            </w:r>
          </w:p>
        </w:tc>
        <w:tc>
          <w:tcPr>
            <w:tcW w:w="6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8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6"/>
              </w:rPr>
              <w:t>Awards</w:t>
            </w:r>
            <w:r>
              <w:rPr>
                <w:rFonts w:ascii="Times New Roman" w:cs="Times New Roman" w:eastAsia="Times New Roman" w:hAnsi="Times New Roman"/>
                <w:sz w:val="18"/>
                <w:szCs w:val="18"/>
                <w:b w:val="1"/>
                <w:bCs w:val="1"/>
                <w:color w:val="auto"/>
                <w:w w:val="96"/>
                <w:vertAlign w:val="superscript"/>
              </w:rPr>
              <w:t>(2)</w:t>
            </w:r>
            <w:r>
              <w:rPr>
                <w:rFonts w:ascii="Times New Roman" w:cs="Times New Roman" w:eastAsia="Times New Roman" w:hAnsi="Times New Roman"/>
                <w:sz w:val="14"/>
                <w:szCs w:val="14"/>
                <w:b w:val="1"/>
                <w:bCs w:val="1"/>
                <w:color w:val="auto"/>
                <w:w w:val="96"/>
              </w:rPr>
              <w:t xml:space="preserve"> ($)</w:t>
            </w:r>
          </w:p>
        </w:tc>
        <w:tc>
          <w:tcPr>
            <w:tcW w:w="120" w:type="dxa"/>
            <w:vAlign w:val="bottom"/>
          </w:tcPr>
          <w:p>
            <w:pPr>
              <w:spacing w:after="0"/>
              <w:rPr>
                <w:sz w:val="17"/>
                <w:szCs w:val="17"/>
                <w:color w:val="auto"/>
              </w:rPr>
            </w:pPr>
          </w:p>
        </w:tc>
        <w:tc>
          <w:tcPr>
            <w:tcW w:w="5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36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8"/>
                <w:szCs w:val="18"/>
                <w:b w:val="1"/>
                <w:bCs w:val="1"/>
                <w:color w:val="auto"/>
                <w:vertAlign w:val="superscript"/>
              </w:rPr>
              <w:t>(3)</w:t>
            </w:r>
            <w:r>
              <w:rPr>
                <w:rFonts w:ascii="Times New Roman" w:cs="Times New Roman" w:eastAsia="Times New Roman" w:hAnsi="Times New Roman"/>
                <w:sz w:val="14"/>
                <w:szCs w:val="14"/>
                <w:b w:val="1"/>
                <w:bCs w:val="1"/>
                <w:color w:val="auto"/>
              </w:rPr>
              <w:t xml:space="preserve"> ($)</w:t>
            </w: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7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John C. “Chris”</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Loeffler, II</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490,000</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$ 10,000</w:t>
            </w:r>
          </w:p>
        </w:tc>
        <w:tc>
          <w:tcPr>
            <w:tcW w:w="6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$ 326,087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63,177</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889,264</w:t>
            </w:r>
          </w:p>
        </w:tc>
        <w:tc>
          <w:tcPr>
            <w:tcW w:w="0" w:type="dxa"/>
            <w:vAlign w:val="bottom"/>
          </w:tcPr>
          <w:p>
            <w:pPr>
              <w:spacing w:after="0"/>
              <w:rPr>
                <w:sz w:val="1"/>
                <w:szCs w:val="1"/>
                <w:color w:val="auto"/>
              </w:rPr>
            </w:pPr>
          </w:p>
        </w:tc>
      </w:tr>
      <w:tr>
        <w:trPr>
          <w:trHeight w:val="175"/>
        </w:trPr>
        <w:tc>
          <w:tcPr>
            <w:tcW w:w="18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Chief Executive</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Officer and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Chairman of the</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490,000</w:t>
            </w: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6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397,493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1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28,025</w:t>
            </w: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958,018</w:t>
            </w:r>
          </w:p>
        </w:tc>
        <w:tc>
          <w:tcPr>
            <w:tcW w:w="0" w:type="dxa"/>
            <w:vAlign w:val="bottom"/>
          </w:tcPr>
          <w:p>
            <w:pPr>
              <w:spacing w:after="0"/>
              <w:rPr>
                <w:sz w:val="1"/>
                <w:szCs w:val="1"/>
                <w:color w:val="auto"/>
              </w:rPr>
            </w:pPr>
          </w:p>
        </w:tc>
      </w:tr>
      <w:tr>
        <w:trPr>
          <w:trHeight w:val="229"/>
        </w:trPr>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Board</w:t>
            </w: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Jennifer Schrader</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869,465</w:t>
            </w:r>
          </w:p>
        </w:tc>
        <w:tc>
          <w:tcPr>
            <w:tcW w:w="0" w:type="dxa"/>
            <w:vAlign w:val="bottom"/>
          </w:tcPr>
          <w:p>
            <w:pPr>
              <w:spacing w:after="0"/>
              <w:rPr>
                <w:sz w:val="1"/>
                <w:szCs w:val="1"/>
                <w:color w:val="auto"/>
              </w:rPr>
            </w:pPr>
          </w:p>
        </w:tc>
      </w:tr>
      <w:tr>
        <w:trPr>
          <w:trHeight w:val="175"/>
        </w:trPr>
        <w:tc>
          <w:tcPr>
            <w:tcW w:w="18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President &amp; Chief</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Operating Officer</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and Vice-</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6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397,493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1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899,893</w:t>
            </w:r>
          </w:p>
        </w:tc>
        <w:tc>
          <w:tcPr>
            <w:tcW w:w="0" w:type="dxa"/>
            <w:vAlign w:val="bottom"/>
          </w:tcPr>
          <w:p>
            <w:pPr>
              <w:spacing w:after="0"/>
              <w:rPr>
                <w:sz w:val="1"/>
                <w:szCs w:val="1"/>
                <w:color w:val="auto"/>
              </w:rPr>
            </w:pPr>
          </w:p>
        </w:tc>
      </w:tr>
      <w:tr>
        <w:trPr>
          <w:trHeight w:val="229"/>
        </w:trPr>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Chairperson</w:t>
            </w: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Jade Leung</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253,623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662,423</w:t>
            </w:r>
          </w:p>
        </w:tc>
        <w:tc>
          <w:tcPr>
            <w:tcW w:w="0" w:type="dxa"/>
            <w:vAlign w:val="bottom"/>
          </w:tcPr>
          <w:p>
            <w:pPr>
              <w:spacing w:after="0"/>
              <w:rPr>
                <w:sz w:val="1"/>
                <w:szCs w:val="1"/>
                <w:color w:val="auto"/>
              </w:rPr>
            </w:pPr>
          </w:p>
        </w:tc>
      </w:tr>
      <w:tr>
        <w:trPr>
          <w:trHeight w:val="176"/>
        </w:trPr>
        <w:tc>
          <w:tcPr>
            <w:tcW w:w="18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Chief Financial</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Officer</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219,175</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913,785</w:t>
            </w:r>
          </w:p>
        </w:tc>
        <w:tc>
          <w:tcPr>
            <w:tcW w:w="0" w:type="dxa"/>
            <w:vAlign w:val="bottom"/>
          </w:tcPr>
          <w:p>
            <w:pPr>
              <w:spacing w:after="0"/>
              <w:rPr>
                <w:sz w:val="1"/>
                <w:szCs w:val="1"/>
                <w:color w:val="auto"/>
              </w:rPr>
            </w:pPr>
          </w:p>
        </w:tc>
      </w:tr>
      <w:tr>
        <w:trPr>
          <w:trHeight w:val="230"/>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 Bade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743,343</w:t>
            </w:r>
          </w:p>
        </w:tc>
        <w:tc>
          <w:tcPr>
            <w:tcW w:w="0" w:type="dxa"/>
            <w:vAlign w:val="bottom"/>
          </w:tcPr>
          <w:p>
            <w:pPr>
              <w:spacing w:after="0"/>
              <w:rPr>
                <w:sz w:val="1"/>
                <w:szCs w:val="1"/>
                <w:color w:val="auto"/>
              </w:rPr>
            </w:pPr>
          </w:p>
        </w:tc>
      </w:tr>
      <w:tr>
        <w:trPr>
          <w:trHeight w:val="175"/>
        </w:trPr>
        <w:tc>
          <w:tcPr>
            <w:tcW w:w="18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Chief Development</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Officer</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315,344</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1,031,093</w:t>
            </w:r>
          </w:p>
        </w:tc>
        <w:tc>
          <w:tcPr>
            <w:tcW w:w="0" w:type="dxa"/>
            <w:vAlign w:val="bottom"/>
          </w:tcPr>
          <w:p>
            <w:pPr>
              <w:spacing w:after="0"/>
              <w:rPr>
                <w:sz w:val="1"/>
                <w:szCs w:val="1"/>
                <w:color w:val="auto"/>
              </w:rPr>
            </w:pPr>
          </w:p>
        </w:tc>
      </w:tr>
      <w:tr>
        <w:trPr>
          <w:trHeight w:val="229"/>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Ignacio Martinez</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776,159</w:t>
            </w:r>
          </w:p>
        </w:tc>
        <w:tc>
          <w:tcPr>
            <w:tcW w:w="0" w:type="dxa"/>
            <w:vAlign w:val="bottom"/>
          </w:tcPr>
          <w:p>
            <w:pPr>
              <w:spacing w:after="0"/>
              <w:rPr>
                <w:sz w:val="1"/>
                <w:szCs w:val="1"/>
                <w:color w:val="auto"/>
              </w:rPr>
            </w:pPr>
          </w:p>
        </w:tc>
      </w:tr>
      <w:tr>
        <w:trPr>
          <w:trHeight w:val="176"/>
        </w:trPr>
        <w:tc>
          <w:tcPr>
            <w:tcW w:w="18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Chief Operating</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Officer</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cash bonus payments made in the respective year for performance.</w:t>
      </w:r>
    </w:p>
    <w:p>
      <w:pPr>
        <w:spacing w:after="0" w:line="15" w:lineRule="exact"/>
        <w:rPr>
          <w:rFonts w:ascii="Times New Roman" w:cs="Times New Roman" w:eastAsia="Times New Roman" w:hAnsi="Times New Roman"/>
          <w:sz w:val="18"/>
          <w:szCs w:val="18"/>
          <w:color w:val="auto"/>
        </w:rPr>
      </w:pPr>
    </w:p>
    <w:p>
      <w:pPr>
        <w:ind w:left="260" w:hanging="252"/>
        <w:spacing w:after="0" w:line="234" w:lineRule="auto"/>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restricted stock units awarded in the respective year for performance.</w:t>
      </w:r>
    </w:p>
    <w:p>
      <w:pPr>
        <w:ind w:right="380" w:firstLine="8"/>
        <w:spacing w:after="0" w:line="226"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employer 401(k) contributions. Mr. Loeffler’s and Ms. Schrader’s other compensation includes loan guarantee fees of $70,952 and $69,578, respectively.</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Ignacio Martinez was determined to be a Named Executive Officer in connection with his appointment as Chief Operating Officer on April 1,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4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Company entered into Executive Employment Agreement, dated January 1, 2019, with each of John C. Loeffler, II, Jennifer Schrader, Jade Leung and Roy Bade (each an “Executive”, and together the “Executives”). The Executive Employment Agreements (the “Employment Agreements”) provide for certain base salary and termination payments to the Executives as follows:</w:t>
      </w:r>
    </w:p>
    <w:p>
      <w:pPr>
        <w:spacing w:after="0" w:line="204"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The Employment Agreements are for an indefinite term until the agreement is terminated. Mr. Loeffler’s annual base salary is $490,000 and his employment agreement provides for compensation of $2,083.33 per month for any and all leadership services rendered in any capacity (“Leadership Compensation”). Ms. Schrader’s annual base salary is $450,000 and her employment agreement provides for Leadership Compensation of $2,083.33 per month. Mr. Leung’s annual base salary is $375,000 and his employment agreement provides for Leadership Compensation of $2,083.33 per month. Mr. Bade’s annual base salary is $350,000 and his employment agreement provides for Leadership Compensation of $2,083.33 per month. Mr. Martinez’s annual base salary is $325,000.</w:t>
      </w:r>
    </w:p>
    <w:p>
      <w:pPr>
        <w:spacing w:after="0" w:line="19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Following the termination of the employment of an Executive under the circumstances described below, the Company will pay to Executive in accordance with its regular payroll practices the following compensation and provide the following benefits:</w:t>
      </w:r>
    </w:p>
    <w:p>
      <w:pPr>
        <w:spacing w:after="0" w:line="185" w:lineRule="exact"/>
        <w:rPr>
          <w:sz w:val="20"/>
          <w:szCs w:val="20"/>
          <w:color w:val="auto"/>
        </w:rPr>
      </w:pPr>
    </w:p>
    <w:p>
      <w:pPr>
        <w:jc w:val="both"/>
        <w:ind w:left="660" w:hanging="328"/>
        <w:spacing w:after="0" w:line="245"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Death; Disability. </w:t>
      </w:r>
      <w:r>
        <w:rPr>
          <w:rFonts w:ascii="Times New Roman" w:cs="Times New Roman" w:eastAsia="Times New Roman" w:hAnsi="Times New Roman"/>
          <w:sz w:val="18"/>
          <w:szCs w:val="18"/>
          <w:color w:val="auto"/>
        </w:rPr>
        <w:t>In the event that an Executive's employment is terminated by reason of an Executive's death or disability, an Executive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his/her estate, as the case may be, shall be entitled to the following payments: (i) payment of an Executive’s Base Salary plus Leadership Compensation; (ii) any pro rata Bonus earned by an Executive; and (iii) payment of amounts and benefits available under the employee benefit plans.</w:t>
      </w:r>
    </w:p>
    <w:p>
      <w:pPr>
        <w:ind w:left="660" w:hanging="328"/>
        <w:spacing w:after="0" w:line="24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by the Company for Cause. </w:t>
      </w:r>
      <w:r>
        <w:rPr>
          <w:rFonts w:ascii="Times New Roman" w:cs="Times New Roman" w:eastAsia="Times New Roman" w:hAnsi="Times New Roman"/>
          <w:sz w:val="18"/>
          <w:szCs w:val="18"/>
          <w:color w:val="auto"/>
        </w:rPr>
        <w:t>In the event that an Executive's employment is terminated by the Company for cause, an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not be entitled to compensation, pro rata Bonus or other benefits.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43"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by the Company Without Cause. </w:t>
      </w:r>
      <w:r>
        <w:rPr>
          <w:rFonts w:ascii="Times New Roman" w:cs="Times New Roman" w:eastAsia="Times New Roman" w:hAnsi="Times New Roman"/>
          <w:sz w:val="18"/>
          <w:szCs w:val="18"/>
          <w:color w:val="auto"/>
        </w:rPr>
        <w:t>In the event that an Executive's employment is terminated by the Company without cause,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will be entitled to receive their Base Salary, any pro rata Bonus and any expenses earned or incurred through the date of termination. An Executive will be entitled to receive a severance payment of their current Base Salary plus Leadership Compensation for twelve (12) or thirty-six (36) months, depending on the Executive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60" w:hanging="328"/>
        <w:spacing w:after="0" w:line="245"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Voluntary Resignation by Executive for Good Reason. </w:t>
      </w:r>
      <w:r>
        <w:rPr>
          <w:rFonts w:ascii="Times New Roman" w:cs="Times New Roman" w:eastAsia="Times New Roman" w:hAnsi="Times New Roman"/>
          <w:sz w:val="18"/>
          <w:szCs w:val="18"/>
          <w:color w:val="auto"/>
        </w:rPr>
        <w:t>In the event of an Executive's resignation for Good Reason, an Executive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receive their Base Salary plus Leadership Compensation, any pro rata Bonus and any expenses earned or incurred through the date of termination. An Executive will be entitled to receive a severance payment of their current Base Salary plus Leadership Compensation for twelve (12) or thirty-six (36) months, depending on the Executive.</w:t>
      </w:r>
    </w:p>
    <w:p>
      <w:pPr>
        <w:ind w:left="660" w:right="20" w:hanging="328"/>
        <w:spacing w:after="0" w:line="245"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Resignation. </w:t>
      </w:r>
      <w:r>
        <w:rPr>
          <w:rFonts w:ascii="Times New Roman" w:cs="Times New Roman" w:eastAsia="Times New Roman" w:hAnsi="Times New Roman"/>
          <w:sz w:val="18"/>
          <w:szCs w:val="18"/>
          <w:color w:val="auto"/>
        </w:rPr>
        <w:t>In the event an Executive resigns from the Company regardless of circumstances or reason, the Executive shall be entitled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the Base Salary plus Leadership Compensation and Bonus earned by him through the effective date of his resignation</w:t>
      </w:r>
    </w:p>
    <w:p>
      <w:pPr>
        <w:spacing w:after="0" w:line="194"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In September 2022, the Company adopted new compensation arrangements for its Named Executive Officers; these arrangements are in the process of being reduced to formal agreements which will replace existing agreements in place with such officers. Other than as set forth below, each of the formal agreements will contain identical terms and conditions. The agreements will (i) provide for at-will employment, (ii) provide an auto allowance equal to $19,500 per year, (iii) provide for severance equal to 12 months of salary upon termination without cause or voluntary resignation for good reason and (iv) require that the Named Executive Officer shall devote substantially all of his/her time and attention to the performance of his/her duties and responsibilities for and on behalf of the Company except as may be consented to by the Company.</w:t>
      </w:r>
    </w:p>
    <w:p>
      <w:pPr>
        <w:spacing w:after="0" w:line="21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Company entered into an Employment Agreement, dated May 25, 2023, with Ignacio Martinez. The Employment Agreement is for an indefinite term until the agreement is terminated. Mr. Martinez’s annual base salary is $325,000. He is eligible to receive an annual bonus based on performance of up to 125% of his base compensation and long-term incentives via the Company’s 2017 Incentive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agreed to compensation arrangements with each of our Named Executive Officers: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Long Term</w:t>
            </w:r>
          </w:p>
        </w:tc>
        <w:tc>
          <w:tcPr>
            <w:tcW w:w="140" w:type="dxa"/>
            <w:vAlign w:val="bottom"/>
          </w:tcPr>
          <w:p>
            <w:pPr>
              <w:spacing w:after="0"/>
              <w:rPr>
                <w:sz w:val="17"/>
                <w:szCs w:val="17"/>
                <w:color w:val="auto"/>
              </w:rPr>
            </w:pPr>
          </w:p>
        </w:tc>
        <w:tc>
          <w:tcPr>
            <w:tcW w:w="11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5"/>
        </w:trPr>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Bonus as a</w:t>
            </w:r>
          </w:p>
        </w:tc>
        <w:tc>
          <w:tcPr>
            <w:tcW w:w="140" w:type="dxa"/>
            <w:vAlign w:val="bottom"/>
          </w:tcPr>
          <w:p>
            <w:pPr>
              <w:spacing w:after="0"/>
              <w:rPr>
                <w:sz w:val="15"/>
                <w:szCs w:val="15"/>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Pr>
          <w:p>
            <w:pPr>
              <w:spacing w:after="0"/>
              <w:rPr>
                <w:sz w:val="16"/>
                <w:szCs w:val="16"/>
                <w:color w:val="auto"/>
              </w:rPr>
            </w:pPr>
          </w:p>
        </w:tc>
        <w:tc>
          <w:tcPr>
            <w:tcW w:w="1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Base Salary ($)</w:t>
            </w:r>
          </w:p>
        </w:tc>
        <w:tc>
          <w:tcPr>
            <w:tcW w:w="150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b w:val="1"/>
                <w:bCs w:val="1"/>
                <w:color w:val="auto"/>
              </w:rPr>
              <w:t>Incentive</w:t>
            </w:r>
          </w:p>
        </w:tc>
        <w:tc>
          <w:tcPr>
            <w:tcW w:w="12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0" w:type="dxa"/>
            <w:vAlign w:val="bottom"/>
          </w:tcPr>
          <w:p>
            <w:pPr>
              <w:spacing w:after="0"/>
              <w:rPr>
                <w:sz w:val="1"/>
                <w:szCs w:val="1"/>
                <w:color w:val="auto"/>
              </w:rPr>
            </w:pPr>
          </w:p>
        </w:tc>
      </w:tr>
      <w:tr>
        <w:trPr>
          <w:trHeight w:val="229"/>
        </w:trPr>
        <w:tc>
          <w:tcPr>
            <w:tcW w:w="28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Base Salary ($)</w:t>
            </w:r>
          </w:p>
        </w:tc>
        <w:tc>
          <w:tcPr>
            <w:tcW w:w="140" w:type="dxa"/>
            <w:vAlign w:val="bottom"/>
          </w:tcPr>
          <w:p>
            <w:pPr>
              <w:spacing w:after="0"/>
              <w:rPr>
                <w:sz w:val="19"/>
                <w:szCs w:val="19"/>
                <w:color w:val="auto"/>
              </w:rPr>
            </w:pPr>
          </w:p>
        </w:tc>
        <w:tc>
          <w:tcPr>
            <w:tcW w:w="1240" w:type="dxa"/>
            <w:vAlign w:val="bottom"/>
            <w:gridSpan w:val="2"/>
          </w:tcPr>
          <w:p>
            <w:pPr>
              <w:jc w:val="center"/>
              <w:ind w:right="300"/>
              <w:spacing w:after="0" w:line="230" w:lineRule="exact"/>
              <w:rPr>
                <w:sz w:val="20"/>
                <w:szCs w:val="20"/>
                <w:color w:val="auto"/>
              </w:rPr>
            </w:pPr>
            <w:r>
              <w:rPr>
                <w:rFonts w:ascii="Times New Roman" w:cs="Times New Roman" w:eastAsia="Times New Roman" w:hAnsi="Times New Roman"/>
                <w:sz w:val="18"/>
                <w:szCs w:val="18"/>
                <w:b w:val="1"/>
                <w:bCs w:val="1"/>
                <w:color w:val="auto"/>
                <w:w w:val="93"/>
              </w:rPr>
              <w:t xml:space="preserve">Bonus ($) </w:t>
            </w:r>
            <w:r>
              <w:rPr>
                <w:rFonts w:ascii="Times New Roman" w:cs="Times New Roman" w:eastAsia="Times New Roman" w:hAnsi="Times New Roman"/>
                <w:sz w:val="23"/>
                <w:szCs w:val="23"/>
                <w:b w:val="1"/>
                <w:bCs w:val="1"/>
                <w:color w:val="auto"/>
                <w:w w:val="93"/>
                <w:vertAlign w:val="superscript"/>
              </w:rPr>
              <w:t>(1)</w:t>
            </w:r>
          </w:p>
        </w:tc>
        <w:tc>
          <w:tcPr>
            <w:tcW w:w="140" w:type="dxa"/>
            <w:vAlign w:val="bottom"/>
          </w:tcPr>
          <w:p>
            <w:pPr>
              <w:spacing w:after="0"/>
              <w:rPr>
                <w:sz w:val="19"/>
                <w:szCs w:val="19"/>
                <w:color w:val="auto"/>
              </w:rPr>
            </w:pPr>
          </w:p>
        </w:tc>
        <w:tc>
          <w:tcPr>
            <w:tcW w:w="1220" w:type="dxa"/>
            <w:vAlign w:val="bottom"/>
            <w:gridSpan w:val="2"/>
          </w:tcPr>
          <w:p>
            <w:pPr>
              <w:jc w:val="center"/>
              <w:ind w:right="300"/>
              <w:spacing w:after="0" w:line="230" w:lineRule="exact"/>
              <w:rPr>
                <w:sz w:val="20"/>
                <w:szCs w:val="20"/>
                <w:color w:val="auto"/>
              </w:rPr>
            </w:pPr>
            <w:r>
              <w:rPr>
                <w:rFonts w:ascii="Times New Roman" w:cs="Times New Roman" w:eastAsia="Times New Roman" w:hAnsi="Times New Roman"/>
                <w:sz w:val="18"/>
                <w:szCs w:val="18"/>
                <w:b w:val="1"/>
                <w:bCs w:val="1"/>
                <w:color w:val="auto"/>
                <w:w w:val="92"/>
              </w:rPr>
              <w:t xml:space="preserve">(LTI) ($) </w:t>
            </w:r>
            <w:r>
              <w:rPr>
                <w:rFonts w:ascii="Times New Roman" w:cs="Times New Roman" w:eastAsia="Times New Roman" w:hAnsi="Times New Roman"/>
                <w:sz w:val="23"/>
                <w:szCs w:val="23"/>
                <w:b w:val="1"/>
                <w:bCs w:val="1"/>
                <w:color w:val="auto"/>
                <w:w w:val="92"/>
                <w:vertAlign w:val="superscript"/>
              </w:rPr>
              <w:t>(2)</w:t>
            </w:r>
          </w:p>
        </w:tc>
        <w:tc>
          <w:tcPr>
            <w:tcW w:w="140" w:type="dxa"/>
            <w:vAlign w:val="bottom"/>
          </w:tcPr>
          <w:p>
            <w:pPr>
              <w:spacing w:after="0"/>
              <w:rPr>
                <w:sz w:val="19"/>
                <w:szCs w:val="19"/>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Potential ($)</w:t>
            </w:r>
          </w:p>
        </w:tc>
        <w:tc>
          <w:tcPr>
            <w:tcW w:w="0" w:type="dxa"/>
            <w:vAlign w:val="bottom"/>
          </w:tcPr>
          <w:p>
            <w:pPr>
              <w:spacing w:after="0"/>
              <w:rPr>
                <w:sz w:val="1"/>
                <w:szCs w:val="1"/>
                <w:color w:val="auto"/>
              </w:rPr>
            </w:pPr>
          </w:p>
        </w:tc>
      </w:tr>
      <w:tr>
        <w:trPr>
          <w:trHeight w:val="223"/>
        </w:trPr>
        <w:tc>
          <w:tcPr>
            <w:tcW w:w="2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C. “Chris” Loeffler, II</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490,000</w:t>
            </w:r>
          </w:p>
        </w:tc>
        <w:tc>
          <w:tcPr>
            <w:tcW w:w="1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980,000</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1,920,000</w:t>
            </w:r>
          </w:p>
        </w:tc>
        <w:tc>
          <w:tcPr>
            <w:tcW w:w="0" w:type="dxa"/>
            <w:vAlign w:val="bottom"/>
          </w:tcPr>
          <w:p>
            <w:pPr>
              <w:spacing w:after="0"/>
              <w:rPr>
                <w:sz w:val="1"/>
                <w:szCs w:val="1"/>
                <w:color w:val="auto"/>
              </w:rPr>
            </w:pPr>
          </w:p>
        </w:tc>
      </w:tr>
      <w:tr>
        <w:trPr>
          <w:trHeight w:val="229"/>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Jennifer Schrader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1,575,000</w:t>
            </w: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Jade Leung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0" w:type="dxa"/>
            <w:vAlign w:val="bottom"/>
          </w:tcPr>
          <w:p>
            <w:pPr>
              <w:spacing w:after="0"/>
              <w:rPr>
                <w:sz w:val="1"/>
                <w:szCs w:val="1"/>
                <w:color w:val="auto"/>
              </w:rPr>
            </w:pPr>
          </w:p>
        </w:tc>
      </w:tr>
      <w:tr>
        <w:trPr>
          <w:trHeight w:val="229"/>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 Bade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0" w:type="dxa"/>
            <w:vAlign w:val="bottom"/>
          </w:tcPr>
          <w:p>
            <w:pPr>
              <w:spacing w:after="0"/>
              <w:rPr>
                <w:sz w:val="1"/>
                <w:szCs w:val="1"/>
                <w:color w:val="auto"/>
              </w:rPr>
            </w:pPr>
          </w:p>
        </w:tc>
      </w:tr>
      <w:tr>
        <w:trPr>
          <w:trHeight w:val="229"/>
        </w:trPr>
        <w:tc>
          <w:tcPr>
            <w:tcW w:w="2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Ignacio Martinez</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406,250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8599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72" w:lineRule="exact"/>
        <w:rPr>
          <w:sz w:val="20"/>
          <w:szCs w:val="20"/>
          <w:color w:val="auto"/>
        </w:rPr>
      </w:pPr>
    </w:p>
    <w:p>
      <w:pPr>
        <w:jc w:val="both"/>
        <w:ind w:firstLine="8"/>
        <w:spacing w:after="0" w:line="242" w:lineRule="auto"/>
        <w:tabs>
          <w:tab w:leader="none" w:pos="27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are discretionary, will be dependent on both individual and company performance and will be issued following the close of each year. The amounts listed under Maximum Bonus ($) are target totals assuming the Named Executive Officer achieves his/her designated goals and expected outcomes in the annual plan.</w:t>
      </w:r>
    </w:p>
    <w:p>
      <w:pPr>
        <w:spacing w:after="0" w:line="1" w:lineRule="exact"/>
        <w:rPr>
          <w:rFonts w:ascii="Times New Roman" w:cs="Times New Roman" w:eastAsia="Times New Roman" w:hAnsi="Times New Roman"/>
          <w:sz w:val="18"/>
          <w:szCs w:val="18"/>
          <w:color w:val="auto"/>
        </w:rPr>
      </w:pPr>
    </w:p>
    <w:p>
      <w:pPr>
        <w:jc w:val="both"/>
        <w:ind w:firstLine="8"/>
        <w:spacing w:after="0" w:line="234" w:lineRule="auto"/>
        <w:tabs>
          <w:tab w:leader="none" w:pos="2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LTI will be payable in the form of RSU's from the 2024 Equity Incentive Plan, subject to vesting further to the provisions in the plan. The calculation of total shares to issue for the year will be completed annually as of the first business day each year and the corresponding share price average for the preceding 20 trading days, or as otherwise agreed upon by the Board of Directors.</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Ignacio Martinez was determined to be a Named Executive Officer in connection with his appointment as Chief Operating Officer on April 1, 2024.</w:t>
      </w:r>
    </w:p>
    <w:p>
      <w:pPr>
        <w:spacing w:after="0" w:line="21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Other than the employment arrangements described above, we have not entered into any arrangements providing for payments or benefits in connection with the resignation, severance, retirement or other termination of any of our named executive officers, changes in their compensation or a change in control.</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general, Caliber's pay philosophy with respect to its Named Executive Officers is to target at or about the market median of peer group companies for a Named Executive Officer's total compensation, with actual compensation varying based on performance and tenure.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Caliber makes such compensation decisions for the Named Executive Officers based on:</w:t>
      </w:r>
    </w:p>
    <w:p>
      <w:pPr>
        <w:spacing w:after="0" w:line="293" w:lineRule="exact"/>
        <w:rPr>
          <w:sz w:val="20"/>
          <w:szCs w:val="20"/>
          <w:color w:val="auto"/>
        </w:rPr>
      </w:pPr>
    </w:p>
    <w:p>
      <w:pPr>
        <w:ind w:left="660" w:hanging="247"/>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strategic and human resources objectives;</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data for peer group companies and for a broader group of asset management firms;</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individual performance on key initiatives;</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performance compared to our competitors;</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 of outside executive compensation consultants and that of our Advisory Board; and</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elements of compensation contribute to and interrelate to total compensation.</w:t>
      </w:r>
    </w:p>
    <w:p>
      <w:pPr>
        <w:spacing w:after="0" w:line="239"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The peer group of companies was compiled by an unaffiliated compensation consultant's study. The compensation consultant recommends an appropriate peer group of public, similarly sized, asset management companies, considering the Company's and the competitors' strategy, mix of business and size, as measured primarily by annual revenues, market capitalization and total assets. These companies are the major competitors in one or more of the Company's businesses, but none represent the exact business mix of the Company. Caliber strives to target compensation for the Named Executive Officers at the median of the compensation of the named executive officers at the peer group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Employment Agreements, and the employment arrangements approved in 2022, provide for severance benefits upon a termination of employment under certain circumstances. For a discussion regarding the benefits see “</w:t>
      </w:r>
      <w:r>
        <w:rPr>
          <w:rFonts w:ascii="Times New Roman" w:cs="Times New Roman" w:eastAsia="Times New Roman" w:hAnsi="Times New Roman"/>
          <w:sz w:val="18"/>
          <w:szCs w:val="18"/>
          <w:i w:val="1"/>
          <w:iCs w:val="1"/>
          <w:color w:val="auto"/>
        </w:rPr>
        <w:t>Employment Agreements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 Table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1"/>
                <w:szCs w:val="11"/>
                <w:color w:val="auto"/>
              </w:rPr>
            </w:pPr>
          </w:p>
        </w:tc>
        <w:tc>
          <w:tcPr>
            <w:tcW w:w="760" w:type="dxa"/>
            <w:vAlign w:val="bottom"/>
          </w:tcPr>
          <w:p>
            <w:pPr>
              <w:jc w:val="center"/>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37"/>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0" w:type="dxa"/>
            <w:vAlign w:val="bottom"/>
          </w:tcPr>
          <w:p>
            <w:pPr>
              <w:spacing w:after="0"/>
              <w:rPr>
                <w:sz w:val="11"/>
                <w:szCs w:val="11"/>
                <w:color w:val="auto"/>
              </w:rPr>
            </w:pPr>
          </w:p>
        </w:tc>
        <w:tc>
          <w:tcPr>
            <w:tcW w:w="760" w:type="dxa"/>
            <w:vAlign w:val="bottom"/>
          </w:tcPr>
          <w:p>
            <w:pPr>
              <w:jc w:val="center"/>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Pr>
          <w:p>
            <w:pPr>
              <w:spacing w:after="0"/>
              <w:rPr>
                <w:sz w:val="12"/>
                <w:szCs w:val="12"/>
                <w:color w:val="auto"/>
              </w:rPr>
            </w:pPr>
          </w:p>
        </w:tc>
        <w:tc>
          <w:tcPr>
            <w:tcW w:w="76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7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9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Payout Value</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Unearned</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9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100" w:type="dxa"/>
            <w:vAlign w:val="bottom"/>
          </w:tcPr>
          <w:p>
            <w:pPr>
              <w:spacing w:after="0"/>
              <w:rPr>
                <w:sz w:val="11"/>
                <w:szCs w:val="11"/>
                <w:color w:val="auto"/>
              </w:rPr>
            </w:pPr>
          </w:p>
        </w:tc>
        <w:tc>
          <w:tcPr>
            <w:tcW w:w="76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9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0" w:type="dxa"/>
            <w:vAlign w:val="bottom"/>
          </w:tcPr>
          <w:p>
            <w:pPr>
              <w:spacing w:after="0"/>
              <w:rPr>
                <w:sz w:val="1"/>
                <w:szCs w:val="1"/>
                <w:color w:val="auto"/>
              </w:rPr>
            </w:pPr>
          </w:p>
        </w:tc>
      </w:tr>
      <w:tr>
        <w:trPr>
          <w:trHeight w:val="149"/>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vMerge w:val="restart"/>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0" w:type="dxa"/>
            <w:vAlign w:val="bottom"/>
          </w:tcPr>
          <w:p>
            <w:pPr>
              <w:spacing w:after="0"/>
              <w:rPr>
                <w:sz w:val="12"/>
                <w:szCs w:val="12"/>
                <w:color w:val="auto"/>
              </w:rPr>
            </w:pPr>
          </w:p>
        </w:tc>
        <w:tc>
          <w:tcPr>
            <w:tcW w:w="7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96"/>
        </w:trPr>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0" w:type="dxa"/>
            <w:vAlign w:val="bottom"/>
          </w:tcPr>
          <w:p>
            <w:pPr>
              <w:spacing w:after="0"/>
              <w:rPr>
                <w:sz w:val="1"/>
                <w:szCs w:val="1"/>
                <w:color w:val="auto"/>
              </w:rPr>
            </w:pPr>
          </w:p>
        </w:tc>
      </w:tr>
      <w:tr>
        <w:trPr>
          <w:trHeight w:val="135"/>
        </w:trPr>
        <w:tc>
          <w:tcPr>
            <w:tcW w:w="9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John C. “Chris”</w:t>
            </w:r>
          </w:p>
        </w:tc>
        <w:tc>
          <w:tcPr>
            <w:tcW w:w="1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N/A</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482,927</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337,566</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Loeffler, II</w:t>
            </w:r>
          </w:p>
        </w:tc>
        <w:tc>
          <w:tcPr>
            <w:tcW w:w="1100" w:type="dxa"/>
            <w:vAlign w:val="bottom"/>
            <w:gridSpan w:val="2"/>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0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Jennifer</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N/A</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482,927</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337,566</w:t>
            </w:r>
          </w:p>
        </w:tc>
        <w:tc>
          <w:tcPr>
            <w:tcW w:w="100" w:type="dxa"/>
            <w:vAlign w:val="bottom"/>
          </w:tcPr>
          <w:p>
            <w:pPr>
              <w:spacing w:after="0"/>
              <w:rPr>
                <w:sz w:val="11"/>
                <w:szCs w:val="11"/>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Schrader</w:t>
            </w:r>
          </w:p>
        </w:tc>
        <w:tc>
          <w:tcPr>
            <w:tcW w:w="11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Jade Leung</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386,436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271,032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59,452</w:t>
            </w:r>
          </w:p>
        </w:tc>
        <w:tc>
          <w:tcPr>
            <w:tcW w:w="100" w:type="dxa"/>
            <w:vAlign w:val="bottom"/>
          </w:tcPr>
          <w:p>
            <w:pPr>
              <w:spacing w:after="0"/>
              <w:rPr>
                <w:sz w:val="16"/>
                <w:szCs w:val="16"/>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12/31/2029</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Roy Bade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445,888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218,462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10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Ignacio</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59,375</w:t>
            </w:r>
          </w:p>
        </w:tc>
        <w:tc>
          <w:tcPr>
            <w:tcW w:w="100" w:type="dxa"/>
            <w:vAlign w:val="bottom"/>
          </w:tcPr>
          <w:p>
            <w:pPr>
              <w:spacing w:after="0"/>
              <w:rPr>
                <w:sz w:val="11"/>
                <w:szCs w:val="11"/>
                <w:color w:val="auto"/>
              </w:rPr>
            </w:pPr>
          </w:p>
        </w:tc>
        <w:tc>
          <w:tcPr>
            <w:tcW w:w="12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9,625</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11/14/2033</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807,008</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564,099</w:t>
            </w:r>
          </w:p>
        </w:tc>
        <w:tc>
          <w:tcPr>
            <w:tcW w:w="100" w:type="dxa"/>
            <w:vAlign w:val="bottom"/>
          </w:tcPr>
          <w:p>
            <w:pPr>
              <w:spacing w:after="0"/>
              <w:rPr>
                <w:sz w:val="11"/>
                <w:szCs w:val="11"/>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Martinez</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243"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The Board adopted a clawback policy (the “Clawback Policy”) effective as of May 15, 2023. The Clawback Policy, which is administered by the Compensation Committee of the Board of Directors, applies to current and former executive officers of the Company (each an “Covered Person”). In the event the Company is required to prepare an accounting restatement of its financial results as a result of a material noncompliance by the Company with any financial reporting requirement under the federal securities laws, the Company will have the right to use reasonable efforts to recover from any Covered Person who received incentive compensation (whether cash or equity) from the Company during the three-year period preceding the date on which the Company was required to prepare the accounting restatement, any excess incentive compensation awarded as a result of the misstatement. As of December 31, 2024, there have been no Restatements that would require recovery of erroneously awarded compensation under the Clawback Policy.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Incentive Stock Plan</w:t>
      </w:r>
    </w:p>
    <w:p>
      <w:pPr>
        <w:spacing w:after="0" w:line="243"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We currently have adopted the 2017 Incentive Stock Plan, as amended and restated in December 2021 (the “2017 Plan”). The 2017 Plan remains in place for governance of awards made prior to adoption of our 2024 Equity Incentive Plan in 2024. As of December 31, 2024 and 2023, options representing 2,699,252 and 2,285,601 shares, respectively, have been awarded and are outstanding under the 2017 Plan. As of December 31, 2024 and 2023, restricted stock units representing 4,847,067 and 2,386,786 shares have been awarded and are outstanding under the 2017 Plan, respectively. No new awards may be made under the 2017 Plan.</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2024 Incentive Stock Plan</w:t>
      </w:r>
    </w:p>
    <w:p>
      <w:pPr>
        <w:spacing w:after="0" w:line="243"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We have adopted a 2024 Equity Incentive Plan (the “2024 Plan”). An aggregate of 4.0 million shares of our Class A common stock is reserved for issuance and available for awards under the 2024 Plan. The 2024 Plan administrator may grant awards to any employee, director, consultant or other person providing services to us or our affiliates. As of December 31, 2024, options representing 148,000 shares have been awarded and are outstanding under the 2024 Plan. As of December 31, 2024, restricted stock units representing 607,505 shares have been awarded and are outstanding under the 2024 Plan.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12. Security Ownership of Certain Beneficial Owner and Management and Related Stockholder Matters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March 19, 2024 by:</w:t>
      </w:r>
    </w:p>
    <w:p>
      <w:pPr>
        <w:spacing w:after="0" w:line="50" w:lineRule="exact"/>
        <w:rPr>
          <w:sz w:val="20"/>
          <w:szCs w:val="20"/>
          <w:color w:val="auto"/>
        </w:rPr>
      </w:pPr>
    </w:p>
    <w:p>
      <w:pPr>
        <w:ind w:left="660" w:hanging="247"/>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36"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 and</w:t>
      </w:r>
    </w:p>
    <w:p>
      <w:pPr>
        <w:spacing w:after="0" w:line="49" w:lineRule="exact"/>
        <w:rPr>
          <w:rFonts w:ascii="Times New Roman" w:cs="Times New Roman" w:eastAsia="Times New Roman" w:hAnsi="Times New Roman"/>
          <w:sz w:val="18"/>
          <w:szCs w:val="18"/>
          <w:color w:val="auto"/>
        </w:rPr>
      </w:pPr>
    </w:p>
    <w:p>
      <w:pPr>
        <w:ind w:left="660" w:right="220" w:hanging="247"/>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known by us to own beneficially more than 5% of our Class A Common Stock and Class B Common Stock (by number or by voting power).</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204"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Applicable percentage ownership is based on 15,695,959 shares of Class A Common Stock and 7,416,414 shares of Class B Common Stock outstanding as of the Record Date. In computing the number of shares beneficially owned by a person and the percentage ownership of such person, we deemed to be outstanding all shares subject to options held by the person that are currently exercisable, or exercisable or would vest based on service-based vesting conditions within 60 days of the Record Date. However, except as described above, we did not deem such shares outstanding for the purpose of computing the percentage ownership of any other person.</w:t>
      </w:r>
    </w:p>
    <w:p>
      <w:pPr>
        <w:spacing w:after="0" w:line="212"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CaliberCos Inc. 8901 E. Mountain View Rd., Ste 150, Scottsdale, Arizona 85258.</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36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Shares Beneficially Owned</w:t>
            </w:r>
            <w:r>
              <w:rPr>
                <w:rFonts w:ascii="Times New Roman" w:cs="Times New Roman" w:eastAsia="Times New Roman" w:hAnsi="Times New Roman"/>
                <w:sz w:val="23"/>
                <w:szCs w:val="23"/>
                <w:b w:val="1"/>
                <w:bCs w:val="1"/>
                <w:color w:val="auto"/>
                <w:vertAlign w:val="superscript"/>
              </w:rPr>
              <w:t>(1)</w:t>
            </w: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4"/>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2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c>
          <w:tcPr>
            <w:tcW w:w="100" w:type="dxa"/>
            <w:vAlign w:val="bottom"/>
          </w:tcPr>
          <w:p>
            <w:pPr>
              <w:spacing w:after="0"/>
              <w:rPr>
                <w:sz w:val="24"/>
                <w:szCs w:val="24"/>
                <w:color w:val="auto"/>
              </w:rPr>
            </w:pPr>
          </w:p>
        </w:tc>
        <w:tc>
          <w:tcPr>
            <w:tcW w:w="238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7"/>
              </w:rPr>
              <w:t>% Total</w:t>
            </w:r>
          </w:p>
        </w:tc>
        <w:tc>
          <w:tcPr>
            <w:tcW w:w="0" w:type="dxa"/>
            <w:vAlign w:val="bottom"/>
          </w:tcPr>
          <w:p>
            <w:pPr>
              <w:spacing w:after="0"/>
              <w:rPr>
                <w:sz w:val="1"/>
                <w:szCs w:val="1"/>
                <w:color w:val="auto"/>
              </w:rPr>
            </w:pPr>
          </w:p>
        </w:tc>
      </w:tr>
      <w:tr>
        <w:trPr>
          <w:trHeight w:val="54"/>
        </w:trPr>
        <w:tc>
          <w:tcPr>
            <w:tcW w:w="4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380" w:type="dxa"/>
            <w:vAlign w:val="bottom"/>
            <w:gridSpan w:val="2"/>
            <w:vMerge w:val="restart"/>
          </w:tcPr>
          <w:p>
            <w:pPr>
              <w:jc w:val="center"/>
              <w:ind w:right="1160"/>
              <w:spacing w:after="0" w:line="135" w:lineRule="exact"/>
              <w:rPr>
                <w:sz w:val="20"/>
                <w:szCs w:val="20"/>
                <w:color w:val="auto"/>
              </w:rPr>
            </w:pPr>
            <w:r>
              <w:rPr>
                <w:rFonts w:ascii="Times New Roman" w:cs="Times New Roman" w:eastAsia="Times New Roman" w:hAnsi="Times New Roman"/>
                <w:sz w:val="15"/>
                <w:szCs w:val="15"/>
                <w:b w:val="1"/>
                <w:bCs w:val="1"/>
                <w:color w:val="auto"/>
              </w:rPr>
              <w:t>Voting</w:t>
            </w:r>
          </w:p>
        </w:tc>
        <w:tc>
          <w:tcPr>
            <w:tcW w:w="0" w:type="dxa"/>
            <w:vAlign w:val="bottom"/>
          </w:tcPr>
          <w:p>
            <w:pPr>
              <w:spacing w:after="0"/>
              <w:rPr>
                <w:sz w:val="1"/>
                <w:szCs w:val="1"/>
                <w:color w:val="auto"/>
              </w:rPr>
            </w:pPr>
          </w:p>
        </w:tc>
      </w:tr>
      <w:tr>
        <w:trPr>
          <w:trHeight w:val="61"/>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5"/>
                <w:szCs w:val="5"/>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5"/>
                <w:szCs w:val="5"/>
                <w:color w:val="auto"/>
              </w:rPr>
            </w:pPr>
          </w:p>
        </w:tc>
        <w:tc>
          <w:tcPr>
            <w:tcW w:w="2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gridSpan w:val="2"/>
          </w:tcPr>
          <w:p>
            <w:pPr>
              <w:jc w:val="center"/>
              <w:ind w:right="1180"/>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Power</w:t>
            </w:r>
            <w:r>
              <w:rPr>
                <w:rFonts w:ascii="Times New Roman" w:cs="Times New Roman" w:eastAsia="Times New Roman" w:hAnsi="Times New Roman"/>
                <w:sz w:val="10"/>
                <w:szCs w:val="10"/>
                <w:b w:val="1"/>
                <w:bCs w:val="1"/>
                <w:color w:val="auto"/>
              </w:rPr>
              <w:t>(2)(3)</w:t>
            </w:r>
          </w:p>
        </w:tc>
        <w:tc>
          <w:tcPr>
            <w:tcW w:w="0" w:type="dxa"/>
            <w:vAlign w:val="bottom"/>
          </w:tcPr>
          <w:p>
            <w:pPr>
              <w:spacing w:after="0"/>
              <w:rPr>
                <w:sz w:val="1"/>
                <w:szCs w:val="1"/>
                <w:color w:val="auto"/>
              </w:rPr>
            </w:pPr>
          </w:p>
        </w:tc>
      </w:tr>
      <w:tr>
        <w:trPr>
          <w:trHeight w:val="223"/>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Jennifer Schrader</w:t>
            </w:r>
            <w:r>
              <w:rPr>
                <w:rFonts w:ascii="Times New Roman" w:cs="Times New Roman" w:eastAsia="Times New Roman" w:hAnsi="Times New Roman"/>
                <w:sz w:val="23"/>
                <w:szCs w:val="23"/>
                <w:color w:val="auto"/>
                <w:vertAlign w:val="superscript"/>
              </w:rPr>
              <w:t>(4)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271,288</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3,709,693</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C. Loeffler, II</w:t>
            </w:r>
            <w:r>
              <w:rPr>
                <w:rFonts w:ascii="Times New Roman" w:cs="Times New Roman" w:eastAsia="Times New Roman" w:hAnsi="Times New Roman"/>
                <w:sz w:val="23"/>
                <w:szCs w:val="23"/>
                <w:color w:val="auto"/>
                <w:vertAlign w:val="superscript"/>
              </w:rPr>
              <w:t>(5)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291,287</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3,706,721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Roy Bade</w:t>
            </w:r>
            <w:r>
              <w:rPr>
                <w:rFonts w:ascii="Times New Roman" w:cs="Times New Roman" w:eastAsia="Times New Roman" w:hAnsi="Times New Roman"/>
                <w:sz w:val="23"/>
                <w:szCs w:val="23"/>
                <w:color w:val="auto"/>
                <w:vertAlign w:val="superscript"/>
              </w:rPr>
              <w:t>(6)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952,334</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Jade Leung</w:t>
            </w:r>
            <w:r>
              <w:rPr>
                <w:rFonts w:ascii="Times New Roman" w:cs="Times New Roman" w:eastAsia="Times New Roman" w:hAnsi="Times New Roman"/>
                <w:sz w:val="23"/>
                <w:szCs w:val="23"/>
                <w:color w:val="auto"/>
                <w:vertAlign w:val="superscript"/>
              </w:rPr>
              <w:t>(7)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843,763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William Gerber</w:t>
            </w:r>
            <w:r>
              <w:rPr>
                <w:rFonts w:ascii="Times New Roman" w:cs="Times New Roman" w:eastAsia="Times New Roman" w:hAnsi="Times New Roman"/>
                <w:sz w:val="23"/>
                <w:szCs w:val="23"/>
                <w:color w:val="auto"/>
                <w:vertAlign w:val="superscript"/>
              </w:rPr>
              <w:t>(8)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190,982</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Michael Trzupek</w:t>
            </w:r>
            <w:r>
              <w:rPr>
                <w:rFonts w:ascii="Times New Roman" w:cs="Times New Roman" w:eastAsia="Times New Roman" w:hAnsi="Times New Roman"/>
                <w:sz w:val="23"/>
                <w:szCs w:val="23"/>
                <w:color w:val="auto"/>
                <w:vertAlign w:val="superscript"/>
              </w:rPr>
              <w:t>(9)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189,036</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Daniel P. Hansen</w:t>
            </w:r>
            <w:r>
              <w:rPr>
                <w:rFonts w:ascii="Times New Roman" w:cs="Times New Roman" w:eastAsia="Times New Roman" w:hAnsi="Times New Roman"/>
                <w:sz w:val="23"/>
                <w:szCs w:val="23"/>
                <w:color w:val="auto"/>
                <w:vertAlign w:val="superscript"/>
              </w:rPr>
              <w:t>(10)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272,125</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Lawrence Taylor</w:t>
            </w:r>
            <w:r>
              <w:rPr>
                <w:rFonts w:ascii="Times New Roman" w:cs="Times New Roman" w:eastAsia="Times New Roman" w:hAnsi="Times New Roman"/>
                <w:sz w:val="23"/>
                <w:szCs w:val="23"/>
                <w:color w:val="auto"/>
                <w:vertAlign w:val="superscript"/>
              </w:rPr>
              <w:t>(13)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171,101</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Ignacio Martinez</w:t>
            </w:r>
            <w:r>
              <w:rPr>
                <w:rFonts w:ascii="Times New Roman" w:cs="Times New Roman" w:eastAsia="Times New Roman" w:hAnsi="Times New Roman"/>
                <w:sz w:val="23"/>
                <w:szCs w:val="23"/>
                <w:color w:val="auto"/>
                <w:vertAlign w:val="superscript"/>
              </w:rPr>
              <w:t>(11)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253,460</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20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Directors, Director Nominees and Executive Officers</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200" w:type="dxa"/>
            <w:vAlign w:val="bottom"/>
            <w:gridSpan w:val="2"/>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b w:val="1"/>
                <w:bCs w:val="1"/>
                <w:color w:val="auto"/>
              </w:rPr>
              <w:t>as a Group (9 Persons)</w:t>
            </w:r>
            <w:r>
              <w:rPr>
                <w:rFonts w:ascii="Times New Roman" w:cs="Times New Roman" w:eastAsia="Times New Roman" w:hAnsi="Times New Roman"/>
                <w:sz w:val="23"/>
                <w:szCs w:val="23"/>
                <w:b w:val="1"/>
                <w:bCs w:val="1"/>
                <w:color w:val="auto"/>
                <w:vertAlign w:val="superscript"/>
              </w:rPr>
              <w:t>(12)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3,435,376</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7,416,414</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84.7 %</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 Beneficial Owners: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Donnie R. Schrader</w:t>
            </w:r>
            <w:r>
              <w:rPr>
                <w:rFonts w:ascii="Times New Roman" w:cs="Times New Roman" w:eastAsia="Times New Roman" w:hAnsi="Times New Roman"/>
                <w:sz w:val="23"/>
                <w:szCs w:val="23"/>
                <w:color w:val="auto"/>
                <w:vertAlign w:val="superscript"/>
              </w:rPr>
              <w:t>(14)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3,390,736</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3"/>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ownership of less than 1%</w:t>
      </w:r>
    </w:p>
    <w:p>
      <w:pPr>
        <w:ind w:left="340" w:hanging="332"/>
        <w:spacing w:after="0" w:line="234" w:lineRule="auto"/>
        <w:tabs>
          <w:tab w:leader="none" w:pos="2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computing the number of shares of Common Stock beneficially owned by a person and the percentage of beneficial ownership of that person, shares of Common Stock underlying restricted stock units or options held by that person that are convertible or exercisable, as the case may be, within 60 days of the Record Date are included. Those shares, however, are not deemed outstanding for the purpose of computing the percentage ownership of any other person.</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32" w:lineRule="auto"/>
        <w:tabs>
          <w:tab w:leader="none" w:pos="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give effect to (i) the conversion of Class B Common Stock to Class A Common Stock, (ii) the conversion of convertible debt securities into Class A Common Stock, (iii) the conversion of Series A Preferred Stock into Class A Common Stock or (iv) the vesting of any issued and outstanding stock options or restricted stock units outstanding as of the date hereof under either the 2017 Plan or the 2024 Plan and excludes shares of Class A Common Stock reserved for future issuance pursuant to outstanding awards under our 2024 Plan. None of the named executive officers and directors or Donnie Schrader beneficially own any convertible debt securities. In addition, no holder of convertible debt would become a beneficial owner of 5% or more of the Company’s Class A Common Stock should any such holder convert all convertible debt held by such holder within 60 days of the Record Date.</w:t>
      </w:r>
    </w:p>
    <w:p>
      <w:pPr>
        <w:spacing w:after="0" w:line="3" w:lineRule="exact"/>
        <w:rPr>
          <w:rFonts w:ascii="Times New Roman" w:cs="Times New Roman" w:eastAsia="Times New Roman" w:hAnsi="Times New Roman"/>
          <w:sz w:val="18"/>
          <w:szCs w:val="18"/>
          <w:color w:val="auto"/>
        </w:rPr>
      </w:pPr>
    </w:p>
    <w:p>
      <w:pPr>
        <w:ind w:left="340" w:hanging="332"/>
        <w:spacing w:after="0" w:line="234" w:lineRule="auto"/>
        <w:tabs>
          <w:tab w:leader="none" w:pos="27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total voting power represents voting power with respect to all shares of our Class A Common Stock and Class B Common Stock, as a single class. Each holder of Class B Common Stock is entitled to ten votes per share of Class B Common Stock and each holder of Class A Common Stock is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 The Class B Common Stock is convertible at any time by the holder into shares of Class A Common Stock on a share-for-share basis.</w:t>
      </w:r>
    </w:p>
    <w:p>
      <w:pPr>
        <w:spacing w:after="0" w:line="3" w:lineRule="exact"/>
        <w:rPr>
          <w:rFonts w:ascii="Times New Roman" w:cs="Times New Roman" w:eastAsia="Times New Roman" w:hAnsi="Times New Roman"/>
          <w:sz w:val="18"/>
          <w:szCs w:val="18"/>
          <w:color w:val="auto"/>
        </w:rPr>
      </w:pPr>
    </w:p>
    <w:p>
      <w:pPr>
        <w:ind w:left="340" w:hanging="332"/>
        <w:spacing w:after="0" w:line="230" w:lineRule="auto"/>
        <w:tabs>
          <w:tab w:leader="none" w:pos="27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245,154 fully vested restricted stock units (“RSUs”) and 26,134 RSUs vesting within 60 days of the Record Date, which represent a contingent right to receive Class A Common Stock upon vesting. Class A Common Stock does not include shares of Class A Common Stock held by Jennifer Schrader’s spouse Donnie Schrader. Ms. Schrader disclaims beneficial ownership of all shares of Class A Common Stock held by Donnie Schrader, except to the extent of her pecuniary interest, if any, therein. See also footnote 13.</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34" w:lineRule="auto"/>
        <w:tabs>
          <w:tab w:leader="none" w:pos="28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19,999 shares of Class A Common Stock, 245,154 fully vested RSUs, and 26,134 RSUs vesting within 60 days of the Record Date, which represent a contingent right to receive Class A Common Stock upon vesting. Class B Common Stock includes 1,778,989 shares held in The C LO 2021 Irrevocable Trust under agreement of which Mr. Loeffler is trustee.</w:t>
      </w:r>
    </w:p>
    <w:p>
      <w:pPr>
        <w:spacing w:after="0" w:line="2" w:lineRule="exact"/>
        <w:rPr>
          <w:rFonts w:ascii="Times New Roman" w:cs="Times New Roman" w:eastAsia="Times New Roman" w:hAnsi="Times New Roman"/>
          <w:sz w:val="18"/>
          <w:szCs w:val="18"/>
          <w:color w:val="auto"/>
        </w:rPr>
      </w:pPr>
    </w:p>
    <w:p>
      <w:pPr>
        <w:ind w:left="340" w:hanging="332"/>
        <w:spacing w:after="0" w:line="234" w:lineRule="auto"/>
        <w:tabs>
          <w:tab w:leader="none" w:pos="27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445,888 fully vested and exercisable stock options, 416,792 fully vested RSUs, 18,992 RSUs vesting within 60 days of the Record Date, which represent a contingent right to receive Class A Common Stock upon vesting, and 70,662 shares of Class A Common Stock held by Wave Investments LLC of which Mr. Bade is the sole manager.</w:t>
      </w:r>
    </w:p>
    <w:p>
      <w:pPr>
        <w:spacing w:after="0" w:line="2" w:lineRule="exact"/>
        <w:rPr>
          <w:rFonts w:ascii="Times New Roman" w:cs="Times New Roman" w:eastAsia="Times New Roman" w:hAnsi="Times New Roman"/>
          <w:sz w:val="18"/>
          <w:szCs w:val="18"/>
          <w:color w:val="auto"/>
        </w:rPr>
      </w:pPr>
    </w:p>
    <w:p>
      <w:pPr>
        <w:ind w:left="340" w:right="20" w:hanging="332"/>
        <w:spacing w:after="0" w:line="234" w:lineRule="auto"/>
        <w:tabs>
          <w:tab w:leader="none" w:pos="2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28,500 share of Class A Common Stock, 445,888 fully vested and exercisable stock options, 347,739 fully vested RSUs, and 21,636 RSUs vesting within 60 days of the Record Date, which represent a contingent right to receive Class A Common Stock upon vesting.</w:t>
      </w:r>
    </w:p>
    <w:p>
      <w:pPr>
        <w:spacing w:after="0" w:line="1" w:lineRule="exact"/>
        <w:rPr>
          <w:rFonts w:ascii="Times New Roman" w:cs="Times New Roman" w:eastAsia="Times New Roman" w:hAnsi="Times New Roman"/>
          <w:sz w:val="18"/>
          <w:szCs w:val="18"/>
          <w:color w:val="auto"/>
        </w:rPr>
      </w:pPr>
    </w:p>
    <w:p>
      <w:pPr>
        <w:ind w:left="260" w:hanging="252"/>
        <w:spacing w:after="0" w:line="234" w:lineRule="auto"/>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13,006 shares of Class A Common Stock and 177,976 fully vested and exercisable stock options.</w:t>
      </w:r>
    </w:p>
    <w:p>
      <w:pPr>
        <w:ind w:left="260" w:hanging="252"/>
        <w:spacing w:after="0" w:line="234" w:lineRule="auto"/>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11,060 shares of Class A Common Stock and 177,976 fully vested and exercisable stock options.</w:t>
      </w:r>
    </w:p>
    <w:p>
      <w:pPr>
        <w:ind w:left="360" w:hanging="352"/>
        <w:spacing w:after="0" w:line="219" w:lineRule="auto"/>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109,012 shares of Class A Common Stock and 163,113 fully vested and exercisable stock options.</w:t>
      </w:r>
    </w:p>
    <w:p>
      <w:pPr>
        <w:ind w:left="340" w:hanging="332"/>
        <w:spacing w:after="0" w:line="248" w:lineRule="auto"/>
        <w:tabs>
          <w:tab w:leader="none" w:pos="354"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65,625 fully vested and exercisable stock options, 164,636 fully vested RSUs, 16,949 RSUs vesting within 60 days of the Record Date, which represent a contingent right to receive Class A Common Stock upon vesting, and 6,250 stock options exercisable within 60 days of the Record Date.</w:t>
      </w:r>
    </w:p>
    <w:p>
      <w:pPr>
        <w:spacing w:after="0" w:line="1" w:lineRule="exact"/>
        <w:rPr>
          <w:rFonts w:ascii="Times New Roman" w:cs="Times New Roman" w:eastAsia="Times New Roman" w:hAnsi="Times New Roman"/>
          <w:sz w:val="17"/>
          <w:szCs w:val="17"/>
          <w:color w:val="auto"/>
        </w:rPr>
      </w:pPr>
    </w:p>
    <w:p>
      <w:pPr>
        <w:ind w:left="340" w:hanging="332"/>
        <w:spacing w:after="0" w:line="234" w:lineRule="auto"/>
        <w:tabs>
          <w:tab w:leader="none" w:pos="3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1,645,817 fully vested stock options and options exercisable within 60 days of the Record Date and 109,845 RSUs vesting within 60 days of the Record Date.</w:t>
      </w:r>
    </w:p>
    <w:p>
      <w:pPr>
        <w:spacing w:after="0" w:line="1" w:lineRule="exact"/>
        <w:rPr>
          <w:rFonts w:ascii="Times New Roman" w:cs="Times New Roman" w:eastAsia="Times New Roman" w:hAnsi="Times New Roman"/>
          <w:sz w:val="18"/>
          <w:szCs w:val="18"/>
          <w:color w:val="auto"/>
        </w:rPr>
      </w:pPr>
    </w:p>
    <w:p>
      <w:pPr>
        <w:ind w:left="360" w:hanging="352"/>
        <w:spacing w:after="0" w:line="234" w:lineRule="auto"/>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8,000 shares of Class A Common Stock and 163,101 fully vested and exercisable stock options.</w:t>
      </w:r>
    </w:p>
    <w:p>
      <w:pPr>
        <w:jc w:val="both"/>
        <w:ind w:left="340" w:hanging="332"/>
        <w:spacing w:after="0" w:line="239" w:lineRule="auto"/>
        <w:tabs>
          <w:tab w:leader="none" w:pos="37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known to the Company and Mr. Schrader’s Form 3 filed May 15, 2023. Does not include Class A Common Stock or Class B Common Stock held by Donnie Schrader’s spouse Jennifer Schrader. Mr. Schrader disclaims beneficial ownership of all shares of Common Stock held by Jennifer Schrader, except to the extent of his pecuniary interest, if any,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13. Certain Relationships and Related Transactions, and Director Independence</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to be filed within 120 days following the end of our fiscal year, and is incorporated herein by reference.</w:t>
      </w:r>
    </w:p>
    <w:p>
      <w:pPr>
        <w:spacing w:after="0" w:line="175"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Historically, the Company’s operations were organized into three reportable segments, fund management, development, and brokerage. During the three months ended December 31, 2024, the Company reevaluated its reportable segments, considering (i) the evolution of the Company after closing its initial public offering and how the Company’s chief operating decision maker (“CODM”), the Company’s Chief Executive Officer, assesses performance and allocates resources, (ii) changes to the budgeting process and in key personnel driven by the Company’s growth initiatives, and (iii) how management reports ongoing company performance to the Board of Directors. With the evolution and growth of the Company, the Company’s CODM assesses performance and resource allocation on an aggregate basis under the Company’s asset management platform and no longer reviews operating results for development or brokerage activity separately. As such, management concluded that the Company operates through one operating segment.</w:t>
      </w:r>
    </w:p>
    <w:p>
      <w:pPr>
        <w:spacing w:after="0" w:line="216"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The Company’s CODM assesses revenue, operating expenses and key operating statistics to evaluate performance and allocate resources on a basis that eliminates the impact of the consolidated investment funds (intercompany eliminations required by U.S. GAAP) and noncontrolling interests. Management concluded that the consolidated investment funds do not meet the requirements in ASC 280, Segment Reporting, of operating segments, as The Company’s CODM does not review the operating results of these investment funds for the purposes of allocating resources, assessing performance or determining whether additional investments or advances will be made to these funds. The investment funds are consolidated based on the requirement in ASC 810, Consolidation, as the Company was determined to be the primary beneficiary of each of these variable interest entities since it has the power to direct the activities of the entities and the right to absorb losses, generally in the form of guarantees of indebtedness that are significant to the individual investment funds.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describes revenue recognition for the fees the Company earns from providing services under its asset management platform:</w:t>
      </w:r>
    </w:p>
    <w:p>
      <w:pPr>
        <w:spacing w:after="0" w:line="23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consolidated statements of operations. Fund set-up fees replaced fund formation fees that are earned at a point in time at a fixed rate based on the amount of capital raised into certain managed funds.</w:t>
      </w:r>
    </w:p>
    <w:p>
      <w:pPr>
        <w:spacing w:after="0" w:line="208"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(as defined in Note 3 – VIEs), the Company earns a fund management fee of 0.70% of the Caliber Hospitality Trust’s enterprise value and is reimbursed for certain costs incurred on behalf of the Caliber Hospitality Trust. These revenues are included in asset management revenues in the accompanying consolidated statements of operations.</w:t>
      </w:r>
    </w:p>
    <w:p>
      <w:pPr>
        <w:spacing w:after="0" w:line="211"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guarantying certain loans, representing a performance obligation that the Company satisfies over time. These revenues are included in asset management revenues in the accompanying consolidated statements of operations.</w:t>
      </w:r>
    </w:p>
    <w:p>
      <w:pPr>
        <w:spacing w:after="0" w:line="212"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 These revenues are included in asset management revenues in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Brokerage fees are earned at a point in time at fixed rates for services performed related to acquisitions, dispositions, leasing, and financing transaction, and are included in asset management revenues in the accompanying consolidated statements of operations.</w:t>
      </w:r>
    </w:p>
    <w:p>
      <w:pPr>
        <w:spacing w:after="0" w:line="18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consolidated statements of operations</w:t>
      </w:r>
    </w:p>
    <w:p>
      <w:pPr>
        <w:spacing w:after="0" w:line="2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 below shows the consolidated revenues earned for providing services under the Company’s asset management platform for the years ended December 31, 2024 and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39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40" w:type="dxa"/>
            <w:vAlign w:val="bottom"/>
            <w:tcBorders>
              <w:bottom w:val="single" w:sz="8" w:color="auto"/>
            </w:tcBorders>
          </w:tcPr>
          <w:p>
            <w:pPr>
              <w:spacing w:after="0"/>
              <w:rPr>
                <w:sz w:val="20"/>
                <w:szCs w:val="20"/>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Borders>
              <w:bottom w:val="single" w:sz="8" w:color="auto"/>
            </w:tcBorders>
          </w:tcPr>
          <w:p>
            <w:pPr>
              <w:spacing w:after="0"/>
              <w:rPr>
                <w:sz w:val="19"/>
                <w:szCs w:val="19"/>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set-up fees</w:t>
            </w:r>
          </w:p>
        </w:tc>
        <w:tc>
          <w:tcPr>
            <w:tcW w:w="150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 management fees</w:t>
            </w:r>
          </w:p>
        </w:tc>
        <w:tc>
          <w:tcPr>
            <w:tcW w:w="1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fees</w:t>
            </w:r>
          </w:p>
        </w:tc>
        <w:tc>
          <w:tcPr>
            <w:tcW w:w="1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and construction fees</w:t>
            </w:r>
          </w:p>
        </w:tc>
        <w:tc>
          <w:tcPr>
            <w:tcW w:w="1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Brokerage fees</w:t>
            </w:r>
          </w:p>
        </w:tc>
        <w:tc>
          <w:tcPr>
            <w:tcW w:w="1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3"/>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 management</w:t>
            </w:r>
          </w:p>
        </w:tc>
        <w:tc>
          <w:tcPr>
            <w:tcW w:w="1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16,879</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10,571</w:t>
            </w:r>
          </w:p>
        </w:tc>
      </w:tr>
      <w:tr>
        <w:trPr>
          <w:trHeight w:val="230"/>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r>
      <w:tr>
        <w:trPr>
          <w:trHeight w:val="223"/>
        </w:trPr>
        <w:tc>
          <w:tcPr>
            <w:tcW w:w="5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related party revenue</w:t>
            </w:r>
          </w:p>
        </w:tc>
        <w:tc>
          <w:tcPr>
            <w:tcW w:w="150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17,237</w:t>
            </w:r>
          </w:p>
        </w:tc>
        <w:tc>
          <w:tcPr>
            <w:tcW w:w="180" w:type="dxa"/>
            <w:vAlign w:val="bottom"/>
          </w:tcPr>
          <w:p>
            <w:pPr>
              <w:spacing w:after="0"/>
              <w:rPr>
                <w:sz w:val="19"/>
                <w:szCs w:val="19"/>
                <w:color w:val="auto"/>
              </w:rPr>
            </w:pPr>
          </w:p>
        </w:tc>
        <w:tc>
          <w:tcPr>
            <w:tcW w:w="150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14,210</w:t>
            </w:r>
          </w:p>
        </w:tc>
      </w:tr>
      <w:tr>
        <w:trPr>
          <w:trHeight w:val="20"/>
        </w:trPr>
        <w:tc>
          <w:tcPr>
            <w:tcW w:w="54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and 2023, amounts due to the Company from related parties for services performed under the Company’s asset management platform was $6.2 million.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has various amounts due from and/or due to related parties, including affiliate entities and individuals, for various expenses paid for by the Company on their behalf and other charges. These amounts are generally unsecured, interest-free, and due on demand. As of December 31, 2024 and 2023, other amounts due from related parties was $0.8 million and $1.9 million. As of December 31, 2024 and 2023, other amounts due to related parties from the Company were $0.3 million and $0.3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entered into unsecured promissory notes with related parties. No payments are required prior to the maturity of the notes. The notes may be prepaid in whole, or in part, without penalty.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notes payable – related parties as of December 31, 2024 and 2023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Notes Receivable - Related Parties</w:t>
            </w: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xml:space="preserve">Maturity Date </w:t>
            </w:r>
            <w:r>
              <w:rPr>
                <w:rFonts w:ascii="Times New Roman" w:cs="Times New Roman" w:eastAsia="Times New Roman" w:hAnsi="Times New Roman"/>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175"/>
        </w:trPr>
        <w:tc>
          <w:tcPr>
            <w:tcW w:w="3740" w:type="dxa"/>
            <w:vAlign w:val="bottom"/>
            <w:gridSpan w:val="2"/>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280" w:type="dxa"/>
            <w:vAlign w:val="bottom"/>
            <w:gridSpan w:val="2"/>
          </w:tcPr>
          <w:p>
            <w:pPr>
              <w:jc w:val="center"/>
              <w:ind w:left="16"/>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10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Caliber Hospitality LP</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c>
          <w:tcPr>
            <w:tcW w:w="0" w:type="dxa"/>
            <w:vAlign w:val="bottom"/>
          </w:tcPr>
          <w:p>
            <w:pPr>
              <w:spacing w:after="0"/>
              <w:rPr>
                <w:sz w:val="1"/>
                <w:szCs w:val="1"/>
                <w:color w:val="auto"/>
              </w:rPr>
            </w:pPr>
          </w:p>
        </w:tc>
      </w:tr>
      <w:tr>
        <w:trPr>
          <w:trHeight w:val="229"/>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Olathe</w:t>
            </w:r>
          </w:p>
        </w:tc>
        <w:tc>
          <w:tcPr>
            <w:tcW w:w="6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25</w:t>
            </w:r>
          </w:p>
        </w:tc>
        <w:tc>
          <w:tcPr>
            <w:tcW w:w="128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2025</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DFW Behavioral Health LLC</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25</w:t>
            </w:r>
          </w:p>
        </w:tc>
        <w:tc>
          <w:tcPr>
            <w:tcW w:w="128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2025</w:t>
            </w:r>
          </w:p>
        </w:tc>
        <w:tc>
          <w:tcPr>
            <w:tcW w:w="0" w:type="dxa"/>
            <w:vAlign w:val="bottom"/>
          </w:tcPr>
          <w:p>
            <w:pPr>
              <w:spacing w:after="0"/>
              <w:rPr>
                <w:sz w:val="1"/>
                <w:szCs w:val="1"/>
                <w:color w:val="auto"/>
              </w:rPr>
            </w:pPr>
          </w:p>
        </w:tc>
      </w:tr>
      <w:tr>
        <w:trPr>
          <w:trHeight w:val="229"/>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Blue Spruce Ridge</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2026</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 Ridge</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2026</w:t>
            </w: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Notes Receivable - Related Parties</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260" w:hanging="252"/>
        <w:spacing w:after="0" w:line="236" w:lineRule="auto"/>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w:t>
      </w:r>
    </w:p>
    <w:p>
      <w:pPr>
        <w:ind w:right="20" w:firstLine="8"/>
        <w:spacing w:after="0" w:line="243" w:lineRule="auto"/>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the Company deconsolidated Caliber Hospitality, LP and Caliber Hospitality Trust, which included activity from six hospitality funds, Elliot, and Caliber Fixed Income Fund III.</w:t>
      </w:r>
    </w:p>
    <w:p>
      <w:pPr>
        <w:spacing w:after="0" w:line="2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earned $0.2 million and an immaterial amount of interest in connection with the notes, which is included in interest income on the accompanying consolidated statements of operations. Interest that accrues on certain related party notes receivable can be added to the principal outstanding balance, due at the respective loan maturity date and incurs interest at the respective interest rate. There was an immaterial amount of interest due to the Company as of December 31, 2024 and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 Related parties of consolidated funds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funds entered into unsecured promissory notes with related parties. The notes may be repaid in whole, or in part, without penalty. The notes receivable – related parties consisted of the following as of December 31, 2024 and 2023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Receivable - Related Parties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SF Alaska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Edgewater/The Ketch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Circle Lofts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Elliot 10 (ESP)</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Elliot 10 (ESP)</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J-25 Development Group</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CDOF</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Ridge II</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Ironwood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47th Fund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Southridge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Caliber Hospitality LP</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Caliber Hospitality LP</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Blue Spruce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West Ridge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Notes Receivable - Related Parties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As of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Maturity Date</w:t>
            </w:r>
            <w:r>
              <w:rPr>
                <w:rFonts w:ascii="Times New Roman" w:cs="Times New Roman" w:eastAsia="Times New Roman" w:hAnsi="Times New Roman"/>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124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18"/>
                <w:szCs w:val="18"/>
                <w:b w:val="1"/>
                <w:bCs w:val="1"/>
                <w:color w:val="auto"/>
                <w:w w:val="89"/>
              </w:rPr>
              <w:t>Rate</w:t>
            </w:r>
            <w:r>
              <w:rPr>
                <w:rFonts w:ascii="Times New Roman" w:cs="Times New Roman" w:eastAsia="Times New Roman" w:hAnsi="Times New Roman"/>
                <w:sz w:val="23"/>
                <w:szCs w:val="23"/>
                <w:b w:val="1"/>
                <w:bCs w:val="1"/>
                <w:color w:val="auto"/>
                <w:w w:val="89"/>
                <w:vertAlign w:val="superscript"/>
              </w:rPr>
              <w:t>(1)</w:t>
            </w:r>
          </w:p>
        </w:tc>
        <w:tc>
          <w:tcPr>
            <w:tcW w:w="1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14,976</w:t>
            </w:r>
          </w:p>
        </w:tc>
        <w:tc>
          <w:tcPr>
            <w:tcW w:w="10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2025</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2026</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2026</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2026</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2026</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2025</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2025</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2025</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2026</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2026</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2026</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-2082165</wp:posOffset>
            </wp:positionV>
            <wp:extent cx="638619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86195" cy="14605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-1790700</wp:posOffset>
            </wp:positionV>
            <wp:extent cx="6386195"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86195" cy="14541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-1499235</wp:posOffset>
            </wp:positionV>
            <wp:extent cx="638619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86195" cy="14605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-1207770</wp:posOffset>
            </wp:positionV>
            <wp:extent cx="6386195"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86195" cy="14541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-916305</wp:posOffset>
            </wp:positionV>
            <wp:extent cx="6386195"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86195" cy="14605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-624840</wp:posOffset>
            </wp:positionV>
            <wp:extent cx="6386195"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86195" cy="14541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-333375</wp:posOffset>
            </wp:positionV>
            <wp:extent cx="638619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86195" cy="14605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-2382520</wp:posOffset>
            </wp:positionV>
            <wp:extent cx="6386195"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86195" cy="154305"/>
                    </a:xfrm>
                    <a:prstGeom prst="rect">
                      <a:avLst/>
                    </a:prstGeom>
                    <a:noFill/>
                  </pic:spPr>
                </pic:pic>
              </a:graphicData>
            </a:graphic>
          </wp:anchor>
        </w:drawing>
      </w:r>
    </w:p>
    <w:p>
      <w:pPr>
        <w:spacing w:after="0" w:line="717" w:lineRule="exact"/>
        <w:rPr>
          <w:sz w:val="20"/>
          <w:szCs w:val="20"/>
          <w:color w:val="auto"/>
        </w:rPr>
      </w:pPr>
    </w:p>
    <w:p>
      <w:pPr>
        <w:sectPr>
          <w:pgSz w:w="11900" w:h="16838" w:orient="portrait"/>
          <w:cols w:equalWidth="0" w:num="3">
            <w:col w:w="3200" w:space="720"/>
            <w:col w:w="140" w:space="140"/>
            <w:col w:w="7040"/>
          </w:cols>
          <w:pgMar w:left="320" w:top="121" w:right="339" w:bottom="1440" w:gutter="0" w:footer="0" w:header="0"/>
          <w:type w:val="continuous"/>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right="420" w:hanging="332"/>
        <w:spacing w:after="0" w:line="266" w:lineRule="auto"/>
        <w:tabs>
          <w:tab w:leader="none" w:pos="27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the Company deconsolidated Caliber Hospitality, LP and the Caliber Hospitality Trust, which included activity from six hospitality funds, Elliot, and Caliber Fixed Income Fund III.</w:t>
      </w:r>
    </w:p>
    <w:p>
      <w:pPr>
        <w:spacing w:after="0" w:line="189" w:lineRule="exact"/>
        <w:rPr>
          <w:sz w:val="20"/>
          <w:szCs w:val="20"/>
          <w:color w:val="auto"/>
        </w:rPr>
      </w:pPr>
    </w:p>
    <w:p>
      <w:pPr>
        <w:ind w:right="100" w:firstLine="324"/>
        <w:spacing w:after="0" w:line="242" w:lineRule="auto"/>
        <w:rPr>
          <w:sz w:val="20"/>
          <w:szCs w:val="20"/>
          <w:color w:val="auto"/>
        </w:rPr>
      </w:pPr>
      <w:r>
        <w:rPr>
          <w:rFonts w:ascii="Times New Roman" w:cs="Times New Roman" w:eastAsia="Times New Roman" w:hAnsi="Times New Roman"/>
          <w:sz w:val="18"/>
          <w:szCs w:val="18"/>
          <w:color w:val="auto"/>
        </w:rPr>
        <w:t>During the years ended December 31, 2024 and 2023, the consolidated fund earned $5.9 million and $3.7 million, respectively, of interest in connection with the notes. Interest that accrues on certain related party notes receivable, in which the consolidated fund and respective borrower mutually agreed, is added to the principal outstanding balance, due at the respective loan maturity date and incurs interest at the respective interest rate. $0.3 million and no interest was due to the Company as of December 31, 2024 and 2023, respectively, which is included in due from related parties on the accompanying consolidated balance sheets.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Notes Payable – Related parties of consolidated funds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funds entered into unsecured promissory notes with related parties. The notes may be repaid in whole, or in part, without penalty. The notes payable – related parties consisted of the following as of December 31, 2024 and 2023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 - Related Parties</w:t>
            </w:r>
          </w:p>
        </w:tc>
        <w:tc>
          <w:tcPr>
            <w:tcW w:w="16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7"/>
                <w:szCs w:val="17"/>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7"/>
                <w:szCs w:val="17"/>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Interest Rate</w:t>
            </w:r>
            <w:r>
              <w:rPr>
                <w:rFonts w:ascii="Times New Roman" w:cs="Times New Roman" w:eastAsia="Times New Roman" w:hAnsi="Times New Roman"/>
                <w:sz w:val="23"/>
                <w:szCs w:val="23"/>
                <w:b w:val="1"/>
                <w:bCs w:val="1"/>
                <w:color w:val="auto"/>
                <w:w w:val="96"/>
                <w:vertAlign w:val="superscript"/>
              </w:rPr>
              <w:t>(1)</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Maturity Date</w:t>
            </w:r>
            <w:r>
              <w:rPr>
                <w:rFonts w:ascii="Times New Roman" w:cs="Times New Roman" w:eastAsia="Times New Roman" w:hAnsi="Times New Roman"/>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238"/>
        </w:trPr>
        <w:tc>
          <w:tcPr>
            <w:tcW w:w="38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70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Caliber Tax Advantaged Opportunity Zone Fund,</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84"/>
        </w:trPr>
        <w:tc>
          <w:tcPr>
            <w:tcW w:w="38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Caliber Tax Advantaged Opportunity Zone Fund</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II, LP</w:t>
            </w:r>
          </w:p>
        </w:tc>
        <w:tc>
          <w:tcPr>
            <w:tcW w:w="16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8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Elliot, LLC</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Caliber Fixed Income Fund III</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Payable - Related Parties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As of December 31, 2024.</w:t>
      </w:r>
    </w:p>
    <w:p>
      <w:pPr>
        <w:spacing w:after="0" w:line="2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the consolidated funds incurred $0.3 million and $1.2 million, respectively, of interest expense in connection with the notes payable – related parties. No interest was payable as of December 31, 2024. As of December 31, 2023, there was $0.1 million of interest expense payable. Management expects to extend these notes at maturity.</w:t>
      </w: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Corporate Governance Guidelines outline the policies and procedures related to reviewing and approving related party transactions. The Board and its committees review and approve all related party transactions and any contracts or other transactions with current or former directors and executive officers of the Company, including consulting arrangements, employment agreements, change-in-control agreements, termination arrangements, and loans to officers made or guaranteed by the Company. The Audit Committee generally take the lead in reviewing related party transactions, and the Compensation Committee and the Nominating and Corporate Governance Committee generally take the lead in reviewing related party contracts, such as consulting arrangements, termination agreements, and any other contracts or arrangements involving any compensatory or monetary terms. The Company does not enter into any such transaction unless the transaction is determined by the disinterested directors to be fair to the Company or is approved by the disinterested directors or by the stockholders. Any determination by the Company’s disinterested directors is based on a review of the particular transaction, applicable laws and regulations, policies of the Company, and the listing standards of NASDAQ.</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Buyback Program</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2018, the Company agreed to repurchase 3,709,693 shares (“Buyback Program”) owned by one of its non-participating founders for $4.54 per share of Class A Common Stock in exchange for an amendment to such non-participating founder’s shareholder voting rights and other Company protections. Due to the length of time of the liability, the Company recorded a liability of $13.6 million and a corresponding reduction to equity in treasury stock at the inception of the Buyback Program using a present value discount rate of 10.00%. As of December 31, 2022, remaining number of shares to be repurchased was 3,432,351 and the balance of the liability was $12.4 million, which is included in buyback obligation on the accompanying consolidated balance sheets. During the year ended December 31, 2023, the Company repurchased 41,615 shares of Class A Common Stock pursuant to the Buyback Program and on May 19, 2023, the Company’s Class A Common Stock began trading on the NASDAQ Capital Market, at which point the buyback obligation was relieved and no further amounts were due under the Buyback Program.</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14. Principal Accounting Fees and Services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fees billed to us by Deloitte &amp; Touche in the fiscal years ended December 31, 2024 and 2023.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described below were approved by the Audit Committee: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422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For the fiscal years ended December 31,</w:t>
            </w:r>
          </w:p>
        </w:tc>
      </w:tr>
      <w:tr>
        <w:trPr>
          <w:trHeight w:val="223"/>
        </w:trPr>
        <w:tc>
          <w:tcPr>
            <w:tcW w:w="58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8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1,166,000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w:t>
            </w:r>
          </w:p>
        </w:tc>
      </w:tr>
      <w:tr>
        <w:trPr>
          <w:trHeight w:val="230"/>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Audit Related Fees</w:t>
            </w:r>
            <w:r>
              <w:rPr>
                <w:rFonts w:ascii="Times New Roman" w:cs="Times New Roman" w:eastAsia="Times New Roman" w:hAnsi="Times New Roman"/>
                <w:sz w:val="23"/>
                <w:szCs w:val="23"/>
                <w:color w:val="auto"/>
                <w:vertAlign w:val="superscript"/>
              </w:rPr>
              <w:t>(2)</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290,000</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1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1,221,395</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1,165,000</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6" w:lineRule="exact"/>
        <w:rPr>
          <w:sz w:val="20"/>
          <w:szCs w:val="20"/>
          <w:color w:val="auto"/>
        </w:rPr>
      </w:pPr>
    </w:p>
    <w:p>
      <w:pPr>
        <w:ind w:left="340" w:right="20" w:hanging="332"/>
        <w:spacing w:after="0" w:line="234" w:lineRule="auto"/>
        <w:tabs>
          <w:tab w:leader="none" w:pos="2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related fees include fees associated with the initial public offering of shares of the Company’s Class A common stock.</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PART IV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15. Exhibits, Financial Statement Schedules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Statements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Financial Statements are included herein at pages F-</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 xml:space="preserve"> through F-</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Statement Schedules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financial statement schedules for which provision is made in the applicable accounting regulations of the SEC are not required under the related instructions, the required information is contained elsewhere in this Annual Report on Form 10-K, or the schedules are inapplicable and have therefore been omitted.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Exhibits</w:t>
      </w:r>
    </w:p>
    <w:p>
      <w:pPr>
        <w:spacing w:after="0" w:line="20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exhibits are included in this Annual Report on Form 10-K for the fiscal year ended December 31, 2024 (and are numbered in accordance with Item 601 of Regulation S-K):</w:t>
      </w:r>
    </w:p>
    <w:p>
      <w:pPr>
        <w:sectPr>
          <w:pgSz w:w="11900" w:h="16838" w:orient="portrait"/>
          <w:cols w:equalWidth="0" w:num="1">
            <w:col w:w="11240"/>
          </w:cols>
          <w:pgMar w:left="320" w:top="121" w:right="339" w:bottom="1440" w:gutter="0" w:footer="0" w:header="0"/>
        </w:sectPr>
      </w:pPr>
    </w:p>
    <w:p>
      <w:pPr>
        <w:spacing w:after="0" w:line="158"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68"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3.1</w:t>
        </w:r>
      </w:hyperlink>
    </w:p>
    <w:p>
      <w:pPr>
        <w:spacing w:after="0" w:line="212"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3.2</w:t>
        </w:r>
      </w:hyperlink>
    </w:p>
    <w:p>
      <w:pPr>
        <w:spacing w:after="0" w:line="212"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3.3</w:t>
        </w:r>
      </w:hyperlink>
    </w:p>
    <w:p>
      <w:pPr>
        <w:spacing w:after="0" w:line="38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3.4</w:t>
        </w:r>
      </w:hyperlink>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4.1*</w:t>
      </w:r>
    </w:p>
    <w:p>
      <w:pPr>
        <w:spacing w:after="0" w:line="20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4.2</w:t>
        </w:r>
      </w:hyperlink>
    </w:p>
    <w:p>
      <w:pPr>
        <w:spacing w:after="0" w:line="38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4.3</w:t>
        </w:r>
      </w:hyperlink>
    </w:p>
    <w:p>
      <w:pPr>
        <w:spacing w:after="0" w:line="387" w:lineRule="exact"/>
        <w:rPr>
          <w:sz w:val="20"/>
          <w:szCs w:val="20"/>
          <w:color w:val="auto"/>
        </w:rPr>
      </w:pPr>
    </w:p>
    <w:p>
      <w:pPr>
        <w:jc w:val="center"/>
        <w:ind w:left="240"/>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4.3.1</w:t>
        </w:r>
      </w:hyperlink>
    </w:p>
    <w:p>
      <w:pPr>
        <w:spacing w:after="0" w:line="212"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4.4</w:t>
        </w:r>
      </w:hyperlink>
    </w:p>
    <w:p>
      <w:pPr>
        <w:spacing w:after="0" w:line="212"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4.5</w:t>
        </w:r>
      </w:hyperlink>
    </w:p>
    <w:p>
      <w:pPr>
        <w:spacing w:after="0" w:line="212" w:lineRule="exact"/>
        <w:rPr>
          <w:sz w:val="20"/>
          <w:szCs w:val="20"/>
          <w:color w:val="auto"/>
        </w:rPr>
      </w:pPr>
    </w:p>
    <w:p>
      <w:pPr>
        <w:jc w:val="center"/>
        <w:ind w:left="240"/>
        <w:spacing w:after="0"/>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4.6</w:t>
        </w:r>
      </w:hyperlink>
    </w:p>
    <w:p>
      <w:pPr>
        <w:spacing w:after="0" w:line="212" w:lineRule="exact"/>
        <w:rPr>
          <w:sz w:val="20"/>
          <w:szCs w:val="20"/>
          <w:color w:val="auto"/>
        </w:rPr>
      </w:pPr>
    </w:p>
    <w:p>
      <w:pPr>
        <w:ind w:left="480"/>
        <w:spacing w:after="0"/>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u w:val="single" w:color="auto"/>
          <w:color w:val="000000"/>
        </w:rPr>
        <w:t>†</w:t>
      </w:r>
    </w:p>
    <w:p>
      <w:pPr>
        <w:spacing w:after="0" w:line="212" w:lineRule="exact"/>
        <w:rPr>
          <w:sz w:val="20"/>
          <w:szCs w:val="20"/>
          <w:color w:val="auto"/>
        </w:rPr>
      </w:pPr>
    </w:p>
    <w:p>
      <w:pPr>
        <w:ind w:left="480"/>
        <w:spacing w:after="0"/>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u w:val="single" w:color="auto"/>
          <w:color w:val="000000"/>
        </w:rPr>
        <w:t>†</w:t>
      </w:r>
    </w:p>
    <w:p>
      <w:pPr>
        <w:spacing w:after="0" w:line="212" w:lineRule="exact"/>
        <w:rPr>
          <w:sz w:val="20"/>
          <w:szCs w:val="20"/>
          <w:color w:val="auto"/>
        </w:rPr>
      </w:pPr>
    </w:p>
    <w:p>
      <w:pPr>
        <w:ind w:left="480"/>
        <w:spacing w:after="0"/>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u w:val="single" w:color="auto"/>
          <w:color w:val="000000"/>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36830</wp:posOffset>
            </wp:positionV>
            <wp:extent cx="675513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6755130" cy="274320"/>
                    </a:xfrm>
                    <a:prstGeom prst="rect">
                      <a:avLst/>
                    </a:prstGeom>
                    <a:noFill/>
                  </pic:spPr>
                </pic:pic>
              </a:graphicData>
            </a:graphic>
          </wp:anchor>
        </w:drawing>
      </w:r>
    </w:p>
    <w:p>
      <w:pPr>
        <w:spacing w:after="0" w:line="47" w:lineRule="exact"/>
        <w:rPr>
          <w:sz w:val="20"/>
          <w:szCs w:val="20"/>
          <w:color w:val="auto"/>
        </w:rPr>
      </w:pPr>
    </w:p>
    <w:p>
      <w:pPr>
        <w:ind w:right="1080"/>
        <w:spacing w:after="0" w:line="237"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Third Amended and Restated Certificate of Incorporation of CaliberCos Inc. (incorporated by reference to Exhibit 3.1 of</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CaliberCos Inc.’s Form 8-K filed with the SEC on May 19, 2023</w:t>
        </w:r>
      </w:hyperlink>
    </w:p>
    <w:p>
      <w:pPr>
        <w:spacing w:after="0" w:line="10" w:lineRule="exact"/>
        <w:rPr>
          <w:sz w:val="20"/>
          <w:szCs w:val="20"/>
          <w:color w:val="auto"/>
        </w:rPr>
      </w:pPr>
    </w:p>
    <w:p>
      <w:pPr>
        <w:ind w:right="920"/>
        <w:spacing w:after="0" w:line="237" w:lineRule="auto"/>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Amended and Restated Bylaws of CaliberCos Inc. (incorporated by reference to Exhibit 3.2 of CaliberCos Inc.’s Form 8-K</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filed with the SEC on May 19, 2023)</w:t>
        </w:r>
      </w:hyperlink>
    </w:p>
    <w:p>
      <w:pPr>
        <w:spacing w:after="0" w:line="10" w:lineRule="exact"/>
        <w:rPr>
          <w:sz w:val="20"/>
          <w:szCs w:val="20"/>
          <w:color w:val="auto"/>
        </w:rPr>
      </w:pPr>
    </w:p>
    <w:p>
      <w:pPr>
        <w:ind w:right="840"/>
        <w:spacing w:after="0" w:line="237"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Certificate of Designation, Preferences and Rights relating to the Series A Convertible Preferred Stock, dated November 26,</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2024 (incorporated by reference to Exhibit 3.1 of CaliberCos Inc.’s Form 8-K filed with the SEC on December 4,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-255905</wp:posOffset>
            </wp:positionV>
            <wp:extent cx="6755130" cy="265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6755130" cy="265430"/>
                    </a:xfrm>
                    <a:prstGeom prst="rect">
                      <a:avLst/>
                    </a:prstGeom>
                    <a:noFill/>
                  </pic:spPr>
                </pic:pic>
              </a:graphicData>
            </a:graphic>
          </wp:anchor>
        </w:drawing>
      </w:r>
    </w:p>
    <w:p>
      <w:pPr>
        <w:ind w:right="860"/>
        <w:spacing w:after="0" w:line="236" w:lineRule="auto"/>
        <w:rPr>
          <w:rFonts w:ascii="Times New Roman" w:cs="Times New Roman" w:eastAsia="Times New Roman" w:hAnsi="Times New Roman"/>
          <w:sz w:val="17"/>
          <w:szCs w:val="17"/>
          <w:u w:val="single" w:color="auto"/>
          <w:color w:val="0000FF"/>
        </w:rPr>
      </w:pPr>
      <w:hyperlink r:id="rId113">
        <w:r>
          <w:rPr>
            <w:rFonts w:ascii="Times New Roman" w:cs="Times New Roman" w:eastAsia="Times New Roman" w:hAnsi="Times New Roman"/>
            <w:sz w:val="17"/>
            <w:szCs w:val="17"/>
            <w:u w:val="single" w:color="auto"/>
            <w:color w:val="0000FF"/>
          </w:rPr>
          <w:t>Certificate of Designation, Preferences and Rights relating to the Series AA Cumulative Redeemable Preferred Stock, dated</w:t>
        </w:r>
      </w:hyperlink>
      <w:r>
        <w:rPr>
          <w:rFonts w:ascii="Times New Roman" w:cs="Times New Roman" w:eastAsia="Times New Roman" w:hAnsi="Times New Roman"/>
          <w:sz w:val="17"/>
          <w:szCs w:val="17"/>
          <w:u w:val="single" w:color="auto"/>
          <w:color w:val="0000FF"/>
        </w:rPr>
        <w:t xml:space="preserve"> </w:t>
      </w:r>
      <w:hyperlink r:id="rId113">
        <w:r>
          <w:rPr>
            <w:rFonts w:ascii="Times New Roman" w:cs="Times New Roman" w:eastAsia="Times New Roman" w:hAnsi="Times New Roman"/>
            <w:sz w:val="17"/>
            <w:szCs w:val="17"/>
            <w:u w:val="single" w:color="auto"/>
            <w:color w:val="0000FF"/>
          </w:rPr>
          <w:t>March 5, 20245 (incorporated by reference to Exhibit 3.1 of CaliberCos Inc.’s Form 8-K filed with the SEC on March 11,</w:t>
        </w:r>
      </w:hyperlink>
    </w:p>
    <w:p>
      <w:pPr>
        <w:spacing w:after="0"/>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4445</wp:posOffset>
            </wp:positionV>
            <wp:extent cx="675513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675513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Description of Securities</w:t>
      </w:r>
    </w:p>
    <w:p>
      <w:pPr>
        <w:spacing w:after="0" w:line="23" w:lineRule="exact"/>
        <w:rPr>
          <w:sz w:val="20"/>
          <w:szCs w:val="20"/>
          <w:color w:val="auto"/>
        </w:rPr>
      </w:pPr>
    </w:p>
    <w:p>
      <w:pPr>
        <w:ind w:right="640"/>
        <w:spacing w:after="0" w:line="234" w:lineRule="auto"/>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Form of Class A common stock Certificate (incorporated by reference to Exhibit 4.1 to the Registrant’s Registration Statement</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on Form S-1/A, filed with the SEC on October 28, 2022 (File No. 333-267657))</w:t>
        </w:r>
      </w:hyperlink>
    </w:p>
    <w:p>
      <w:pPr>
        <w:spacing w:after="0" w:line="10" w:lineRule="exact"/>
        <w:rPr>
          <w:sz w:val="20"/>
          <w:szCs w:val="20"/>
          <w:color w:val="auto"/>
        </w:rPr>
      </w:pPr>
    </w:p>
    <w:p>
      <w:pPr>
        <w:ind w:right="700"/>
        <w:spacing w:after="0" w:line="236" w:lineRule="auto"/>
        <w:rPr>
          <w:rFonts w:ascii="Times New Roman" w:cs="Times New Roman" w:eastAsia="Times New Roman" w:hAnsi="Times New Roman"/>
          <w:sz w:val="17"/>
          <w:szCs w:val="17"/>
          <w:u w:val="single" w:color="auto"/>
          <w:color w:val="0000FF"/>
        </w:rPr>
      </w:pPr>
      <w:hyperlink r:id="rId115">
        <w:r>
          <w:rPr>
            <w:rFonts w:ascii="Times New Roman" w:cs="Times New Roman" w:eastAsia="Times New Roman" w:hAnsi="Times New Roman"/>
            <w:sz w:val="17"/>
            <w:szCs w:val="17"/>
            <w:u w:val="single" w:color="auto"/>
            <w:color w:val="0000FF"/>
          </w:rPr>
          <w:t>Amended and Restated Stockholders’ Agreement dated March 22, 2023, by and among the Company, John C. Loeffler,</w:t>
        </w:r>
      </w:hyperlink>
      <w:r>
        <w:rPr>
          <w:rFonts w:ascii="Times New Roman" w:cs="Times New Roman" w:eastAsia="Times New Roman" w:hAnsi="Times New Roman"/>
          <w:sz w:val="17"/>
          <w:szCs w:val="17"/>
          <w:u w:val="single" w:color="auto"/>
          <w:color w:val="0000FF"/>
        </w:rPr>
        <w:t xml:space="preserve"> </w:t>
      </w:r>
      <w:hyperlink r:id="rId115">
        <w:r>
          <w:rPr>
            <w:rFonts w:ascii="Times New Roman" w:cs="Times New Roman" w:eastAsia="Times New Roman" w:hAnsi="Times New Roman"/>
            <w:sz w:val="17"/>
            <w:szCs w:val="17"/>
            <w:u w:val="single" w:color="auto"/>
            <w:color w:val="0000FF"/>
          </w:rPr>
          <w:t>Jennifer Schrader and Donnie Schrader (incorporated by reference to Exhibit 4.2 to the Registrant’s Registration Statement 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-240665</wp:posOffset>
            </wp:positionV>
            <wp:extent cx="6755130" cy="3771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6755130" cy="37719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Form S-1/A, filed with the SEC on March 22, 2023 (File No. 333-267657))</w:t>
        </w:r>
      </w:hyperlink>
    </w:p>
    <w:p>
      <w:pPr>
        <w:spacing w:after="0" w:line="7" w:lineRule="exact"/>
        <w:rPr>
          <w:sz w:val="20"/>
          <w:szCs w:val="20"/>
          <w:color w:val="auto"/>
        </w:rPr>
      </w:pPr>
    </w:p>
    <w:p>
      <w:pPr>
        <w:ind w:right="680"/>
        <w:spacing w:after="0" w:line="233" w:lineRule="auto"/>
        <w:rPr>
          <w:rFonts w:ascii="Times New Roman" w:cs="Times New Roman" w:eastAsia="Times New Roman" w:hAnsi="Times New Roman"/>
          <w:sz w:val="17"/>
          <w:szCs w:val="17"/>
          <w:u w:val="single" w:color="auto"/>
          <w:color w:val="0000FF"/>
        </w:rPr>
      </w:pPr>
      <w:hyperlink r:id="rId116">
        <w:r>
          <w:rPr>
            <w:rFonts w:ascii="Times New Roman" w:cs="Times New Roman" w:eastAsia="Times New Roman" w:hAnsi="Times New Roman"/>
            <w:sz w:val="17"/>
            <w:szCs w:val="17"/>
            <w:u w:val="single" w:color="auto"/>
            <w:color w:val="0000FF"/>
          </w:rPr>
          <w:t>Stock Purchase Agreement dated September 21, 2018, by and among the Company and Donnie Schrader (incorporated by</w:t>
        </w:r>
      </w:hyperlink>
      <w:r>
        <w:rPr>
          <w:rFonts w:ascii="Times New Roman" w:cs="Times New Roman" w:eastAsia="Times New Roman" w:hAnsi="Times New Roman"/>
          <w:sz w:val="17"/>
          <w:szCs w:val="17"/>
          <w:u w:val="single" w:color="auto"/>
          <w:color w:val="0000FF"/>
        </w:rPr>
        <w:t xml:space="preserve"> </w:t>
      </w:r>
      <w:hyperlink r:id="rId116">
        <w:r>
          <w:rPr>
            <w:rFonts w:ascii="Times New Roman" w:cs="Times New Roman" w:eastAsia="Times New Roman" w:hAnsi="Times New Roman"/>
            <w:sz w:val="17"/>
            <w:szCs w:val="17"/>
            <w:u w:val="single" w:color="auto"/>
            <w:color w:val="0000FF"/>
          </w:rPr>
          <w:t>reference to Exhibit 3.2 of CaliberCos Inc.’s offering statement on Form 1-A (File No.024-11016), filed with the SEC on June</w:t>
        </w:r>
      </w:hyperlink>
    </w:p>
    <w:p>
      <w:pPr>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13, 2019)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4445</wp:posOffset>
            </wp:positionV>
            <wp:extent cx="6755130" cy="265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6755130" cy="265430"/>
                    </a:xfrm>
                    <a:prstGeom prst="rect">
                      <a:avLst/>
                    </a:prstGeom>
                    <a:noFill/>
                  </pic:spPr>
                </pic:pic>
              </a:graphicData>
            </a:graphic>
          </wp:anchor>
        </w:drawing>
      </w:r>
    </w:p>
    <w:p>
      <w:pPr>
        <w:ind w:right="780"/>
        <w:spacing w:after="0" w:line="234" w:lineRule="auto"/>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Promissory Note, issued by the Company to the Investor (incorporated by reference to Exhibit 4.1 of CaliberCos Inc.’s Form</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8-K filed with the SEC on March 26, 2025)</w:t>
        </w:r>
      </w:hyperlink>
    </w:p>
    <w:p>
      <w:pPr>
        <w:spacing w:after="0" w:line="10" w:lineRule="exact"/>
        <w:rPr>
          <w:sz w:val="20"/>
          <w:szCs w:val="20"/>
          <w:color w:val="auto"/>
        </w:rPr>
      </w:pPr>
    </w:p>
    <w:p>
      <w:pPr>
        <w:ind w:right="1300"/>
        <w:spacing w:after="0" w:line="237" w:lineRule="auto"/>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Common Stock Purchase Warrant, issued by the Company to the Investor (incorporated by reference to Exhibit 4.2 of</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CaliberCos Inc.’s Form 8-K filed with the SEC on March 26, 2025)</w:t>
        </w:r>
      </w:hyperlink>
    </w:p>
    <w:p>
      <w:pPr>
        <w:spacing w:after="0" w:line="10" w:lineRule="exact"/>
        <w:rPr>
          <w:sz w:val="20"/>
          <w:szCs w:val="20"/>
          <w:color w:val="auto"/>
        </w:rPr>
      </w:pPr>
    </w:p>
    <w:p>
      <w:pPr>
        <w:ind w:right="1300"/>
        <w:spacing w:after="0" w:line="237" w:lineRule="auto"/>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Common Stock Purchase Warrant, issued by the Company to the Investor (incorporated by reference to Exhibit 4.3 of</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CaliberCos Inc.’s Form 8-K filed with the SEC on March 26,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-255905</wp:posOffset>
            </wp:positionV>
            <wp:extent cx="6755130" cy="2660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6755130" cy="266065"/>
                    </a:xfrm>
                    <a:prstGeom prst="rect">
                      <a:avLst/>
                    </a:prstGeom>
                    <a:noFill/>
                  </pic:spPr>
                </pic:pic>
              </a:graphicData>
            </a:graphic>
          </wp:anchor>
        </w:drawing>
      </w:r>
    </w:p>
    <w:p>
      <w:pPr>
        <w:ind w:right="860"/>
        <w:spacing w:after="0" w:line="237" w:lineRule="auto"/>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CaliberCos Inc. Amended and Restated 2017 Stock Incentive Plan (incorporated by reference to Exhibit 99.1 of CaliberCos</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Inc.’s Form S-8 (File No. 333-272078), filed with the SEC on May 19, 2023)</w:t>
        </w:r>
      </w:hyperlink>
    </w:p>
    <w:p>
      <w:pPr>
        <w:spacing w:after="0" w:line="10" w:lineRule="exact"/>
        <w:rPr>
          <w:sz w:val="20"/>
          <w:szCs w:val="20"/>
          <w:color w:val="auto"/>
        </w:rPr>
      </w:pPr>
    </w:p>
    <w:p>
      <w:pPr>
        <w:ind w:right="1000"/>
        <w:spacing w:after="0" w:line="237"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CaliberCos Inc. 2024 Equity Incentive Plan (incorporated by reference to Appendix A to the Company’s Definitive Proxy</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Statement (Schedule 14A) filed with the Commission on May 16,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-255905</wp:posOffset>
            </wp:positionV>
            <wp:extent cx="6755130" cy="265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6755130" cy="265430"/>
                    </a:xfrm>
                    <a:prstGeom prst="rect">
                      <a:avLst/>
                    </a:prstGeom>
                    <a:noFill/>
                  </pic:spPr>
                </pic:pic>
              </a:graphicData>
            </a:graphic>
          </wp:anchor>
        </w:drawing>
      </w:r>
    </w:p>
    <w:p>
      <w:pPr>
        <w:ind w:right="740"/>
        <w:spacing w:after="0" w:line="237"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CaliberCos Inc. Employee Stock Purchase Plan (incorporated by reference to Appendix B to the Company’s Definitive Proxy</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Statement (Schedule 14A) filed with the Commission on May 16, 2024)</w:t>
        </w:r>
      </w:hyperlink>
    </w:p>
    <w:p>
      <w:pPr>
        <w:spacing w:after="0" w:line="10" w:lineRule="exact"/>
        <w:rPr>
          <w:sz w:val="20"/>
          <w:szCs w:val="20"/>
          <w:color w:val="auto"/>
        </w:rPr>
      </w:pPr>
    </w:p>
    <w:p>
      <w:pPr>
        <w:ind w:right="740"/>
        <w:spacing w:after="0" w:line="226" w:lineRule="auto"/>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u w:val="single" w:color="auto"/>
            <w:color w:val="0000FF"/>
          </w:rPr>
          <w:t>Loan Agreement, dated as of January 20, 2023, among 47th Street Phoenix Airport LLC, CHPH Holding, LLC, and 44th and</w:t>
        </w:r>
      </w:hyperlink>
      <w:r>
        <w:rPr>
          <w:rFonts w:ascii="Times New Roman" w:cs="Times New Roman" w:eastAsia="Times New Roman" w:hAnsi="Times New Roman"/>
          <w:sz w:val="17"/>
          <w:szCs w:val="17"/>
          <w:u w:val="single" w:color="auto"/>
          <w:color w:val="0000FF"/>
        </w:rPr>
        <w:t xml:space="preserve"> </w:t>
      </w:r>
      <w:hyperlink r:id="rId129">
        <w:r>
          <w:rPr>
            <w:rFonts w:ascii="Times New Roman" w:cs="Times New Roman" w:eastAsia="Times New Roman" w:hAnsi="Times New Roman"/>
            <w:sz w:val="17"/>
            <w:szCs w:val="17"/>
            <w:color w:val="0000FF"/>
          </w:rPr>
          <w:t>McDowell Holding, LLC, as Borrower and Trimont Real Estate Advisors, LLC, as Agent for BP Holdings SIGMA LLC, 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-229870</wp:posOffset>
            </wp:positionV>
            <wp:extent cx="6755130" cy="4889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6755130" cy="488950"/>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1120" w:space="360"/>
            <w:col w:w="9760"/>
          </w:cols>
          <w:pgMar w:left="320" w:top="121" w:right="339" w:bottom="1440" w:gutter="0" w:footer="0" w:header="0"/>
          <w:type w:val="continuous"/>
        </w:sectPr>
      </w:pPr>
    </w:p>
    <w:tbl>
      <w:tblPr>
        <w:tblLayout w:type="fixed"/>
        <w:tblInd w:w="520" w:type="dxa"/>
        <w:tblCellMar>
          <w:top w:w="0" w:type="dxa"/>
          <w:left w:w="0" w:type="dxa"/>
          <w:bottom w:w="0" w:type="dxa"/>
          <w:right w:w="0" w:type="dxa"/>
        </w:tblCellMar>
      </w:tblP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0" w:type="dxa"/>
            <w:vAlign w:val="bottom"/>
            <w:vMerge w:val="restart"/>
          </w:tcPr>
          <w:p>
            <w:pPr>
              <w:jc w:val="right"/>
              <w:spacing w:after="0"/>
              <w:rPr>
                <w:rFonts w:ascii="Times New Roman" w:cs="Times New Roman" w:eastAsia="Times New Roman" w:hAnsi="Times New Roman"/>
                <w:sz w:val="18"/>
                <w:szCs w:val="18"/>
                <w:color w:val="0000FF"/>
                <w:w w:val="95"/>
              </w:rPr>
            </w:pPr>
            <w:hyperlink r:id="rId129">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hyperlink>
          </w:p>
        </w:tc>
        <w:tc>
          <w:tcPr>
            <w:tcW w:w="640" w:type="dxa"/>
            <w:vAlign w:val="bottom"/>
          </w:tcPr>
          <w:p>
            <w:pPr>
              <w:spacing w:after="0"/>
              <w:rPr>
                <w:sz w:val="12"/>
                <w:szCs w:val="12"/>
                <w:color w:val="auto"/>
              </w:rPr>
            </w:pPr>
          </w:p>
        </w:tc>
        <w:tc>
          <w:tcPr>
            <w:tcW w:w="9140" w:type="dxa"/>
            <w:vAlign w:val="bottom"/>
            <w:gridSpan w:val="7"/>
          </w:tcPr>
          <w:p>
            <w:pPr>
              <w:spacing w:after="0" w:line="149"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Lender (Incorporated by reference to the Company’s Quarterly Report on Form 10-Q (File No. 001-04321), filed with the SEC</w:t>
              </w:r>
            </w:hyperlink>
          </w:p>
        </w:tc>
        <w:tc>
          <w:tcPr>
            <w:tcW w:w="0" w:type="dxa"/>
            <w:vAlign w:val="bottom"/>
          </w:tcPr>
          <w:p>
            <w:pPr>
              <w:spacing w:after="0"/>
              <w:rPr>
                <w:sz w:val="1"/>
                <w:szCs w:val="1"/>
                <w:color w:val="auto"/>
              </w:rPr>
            </w:pPr>
          </w:p>
        </w:tc>
      </w:tr>
      <w:tr>
        <w:trPr>
          <w:trHeight w:val="175"/>
        </w:trPr>
        <w:tc>
          <w:tcPr>
            <w:tcW w:w="320" w:type="dxa"/>
            <w:vAlign w:val="bottom"/>
            <w:tcBorders>
              <w:bottom w:val="single" w:sz="8" w:color="0000FF"/>
            </w:tcBorders>
            <w:vMerge w:val="continue"/>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29">
              <w:r>
                <w:rPr>
                  <w:rFonts w:ascii="Times New Roman" w:cs="Times New Roman" w:eastAsia="Times New Roman" w:hAnsi="Times New Roman"/>
                  <w:sz w:val="18"/>
                  <w:szCs w:val="18"/>
                  <w:color w:val="0000FF"/>
                  <w:w w:val="97"/>
                </w:rPr>
                <w:t>on June 23, 2023)</w:t>
              </w:r>
            </w:hyperlink>
          </w:p>
        </w:tc>
        <w:tc>
          <w:tcPr>
            <w:tcW w:w="784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140" w:type="dxa"/>
            <w:vAlign w:val="bottom"/>
            <w:gridSpan w:val="7"/>
          </w:tcPr>
          <w:p>
            <w:pPr>
              <w:spacing w:after="0" w:line="18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Guaranty of Recourse Obligations dated January 20, 2023, by John C. Loeffler, II, Jennifer Schrader,CDIF, LLC, Caliber</w:t>
              </w:r>
            </w:hyperlink>
          </w:p>
        </w:tc>
        <w:tc>
          <w:tcPr>
            <w:tcW w:w="0" w:type="dxa"/>
            <w:vAlign w:val="bottom"/>
          </w:tcPr>
          <w:p>
            <w:pPr>
              <w:spacing w:after="0"/>
              <w:rPr>
                <w:sz w:val="1"/>
                <w:szCs w:val="1"/>
                <w:color w:val="auto"/>
              </w:rPr>
            </w:pPr>
          </w:p>
        </w:tc>
      </w:tr>
      <w:tr>
        <w:trPr>
          <w:trHeight w:val="155"/>
        </w:trPr>
        <w:tc>
          <w:tcPr>
            <w:tcW w:w="320" w:type="dxa"/>
            <w:vAlign w:val="bottom"/>
            <w:vMerge w:val="restart"/>
          </w:tcPr>
          <w:p>
            <w:pPr>
              <w:jc w:val="right"/>
              <w:spacing w:after="0"/>
              <w:rPr>
                <w:rFonts w:ascii="Times New Roman" w:cs="Times New Roman" w:eastAsia="Times New Roman" w:hAnsi="Times New Roman"/>
                <w:sz w:val="18"/>
                <w:szCs w:val="18"/>
                <w:color w:val="0000FF"/>
                <w:w w:val="95"/>
              </w:rPr>
            </w:pPr>
            <w:hyperlink r:id="rId131">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5</w:t>
              </w:r>
            </w:hyperlink>
          </w:p>
        </w:tc>
        <w:tc>
          <w:tcPr>
            <w:tcW w:w="64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Diversified Opportunity Fund II, LP, and CaliberCos Inc. for the benefit of BP Holdings Sigma, LLC(Incorporated by</w:t>
              </w:r>
            </w:hyperlink>
          </w:p>
        </w:tc>
        <w:tc>
          <w:tcPr>
            <w:tcW w:w="220" w:type="dxa"/>
            <w:vAlign w:val="bottom"/>
            <w:tcBorders>
              <w:top w:val="single" w:sz="8" w:color="0000FF"/>
            </w:tcBorders>
            <w:gridSpan w:val="2"/>
          </w:tcPr>
          <w:p>
            <w:pPr>
              <w:spacing w:after="0"/>
              <w:rPr>
                <w:sz w:val="13"/>
                <w:szCs w:val="13"/>
                <w:color w:val="auto"/>
              </w:rPr>
            </w:pPr>
          </w:p>
        </w:tc>
        <w:tc>
          <w:tcPr>
            <w:tcW w:w="4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0" w:type="dxa"/>
            <w:vAlign w:val="bottom"/>
            <w:tcBorders>
              <w:bottom w:val="single" w:sz="8" w:color="0000FF"/>
            </w:tcBorders>
            <w:vMerge w:val="continue"/>
          </w:tcPr>
          <w:p>
            <w:pPr>
              <w:spacing w:after="0"/>
              <w:rPr>
                <w:sz w:val="14"/>
                <w:szCs w:val="14"/>
                <w:color w:val="auto"/>
              </w:rPr>
            </w:pPr>
          </w:p>
        </w:tc>
        <w:tc>
          <w:tcPr>
            <w:tcW w:w="640" w:type="dxa"/>
            <w:vAlign w:val="bottom"/>
          </w:tcPr>
          <w:p>
            <w:pPr>
              <w:spacing w:after="0"/>
              <w:rPr>
                <w:sz w:val="14"/>
                <w:szCs w:val="14"/>
                <w:color w:val="auto"/>
              </w:rPr>
            </w:pPr>
          </w:p>
        </w:tc>
        <w:tc>
          <w:tcPr>
            <w:tcW w:w="866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reference to the Company’s Quarterly Report on Form 10-Q (File No. 001-04321), filed with the SEC on June 23, 2023)</w:t>
              </w:r>
            </w:hyperlink>
          </w:p>
        </w:tc>
        <w:tc>
          <w:tcPr>
            <w:tcW w:w="4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gridSpan w:val="11"/>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9760" w:type="dxa"/>
            <w:vAlign w:val="bottom"/>
            <w:gridSpan w:val="4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9000" w:type="dxa"/>
            <w:vAlign w:val="bottom"/>
            <w:tcBorders>
              <w:top w:val="single" w:sz="8" w:color="auto"/>
              <w:bottom w:val="single" w:sz="8" w:color="0000FF"/>
            </w:tcBorders>
            <w:gridSpan w:val="31"/>
            <w:shd w:val="clear" w:color="auto" w:fill="CCEEFF"/>
          </w:tcPr>
          <w:p>
            <w:pPr>
              <w:spacing w:after="0" w:line="182"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Loan Agreement dated as of October 17, 2019 between Pollock Gateway II DE LLC, as borrower and Barclays Capital Real</w:t>
              </w:r>
            </w:hyperlink>
          </w:p>
        </w:tc>
        <w:tc>
          <w:tcPr>
            <w:tcW w:w="200" w:type="dxa"/>
            <w:vAlign w:val="bottom"/>
            <w:tcBorders>
              <w:top w:val="single" w:sz="8" w:color="auto"/>
              <w:bottom w:val="single" w:sz="8" w:color="CCEEFF"/>
              <w:right w:val="single" w:sz="8" w:color="CCEEFF"/>
            </w:tcBorders>
            <w:gridSpan w:val="9"/>
            <w:shd w:val="clear" w:color="auto" w:fill="CCEEFF"/>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0" w:type="dxa"/>
            <w:vAlign w:val="bottom"/>
            <w:gridSpan w:val="3"/>
            <w:vMerge w:val="restart"/>
            <w:shd w:val="clear" w:color="auto" w:fill="CCEEFF"/>
          </w:tcPr>
          <w:p>
            <w:pPr>
              <w:spacing w:after="0"/>
              <w:rPr>
                <w:sz w:val="14"/>
                <w:szCs w:val="14"/>
                <w:color w:val="auto"/>
              </w:rPr>
            </w:pPr>
          </w:p>
        </w:tc>
        <w:tc>
          <w:tcPr>
            <w:tcW w:w="340" w:type="dxa"/>
            <w:vAlign w:val="bottom"/>
            <w:gridSpan w:val="3"/>
            <w:vMerge w:val="restart"/>
            <w:shd w:val="clear" w:color="auto" w:fill="CCEEFF"/>
          </w:tcPr>
          <w:p>
            <w:pPr>
              <w:jc w:val="center"/>
              <w:ind w:right="20"/>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20" w:type="dxa"/>
            <w:vAlign w:val="bottom"/>
            <w:vMerge w:val="restart"/>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0" w:type="dxa"/>
            <w:vAlign w:val="bottom"/>
            <w:tcBorders>
              <w:right w:val="single" w:sz="8" w:color="CCEEFF"/>
            </w:tcBorders>
            <w:gridSpan w:val="40"/>
            <w:shd w:val="clear" w:color="auto" w:fill="CCEEFF"/>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Estate Inc., as lender (Incorporated by reference to the Company’s Quarterly Report on Form 10-Q (File No. 001-04321), filed</w:t>
              </w:r>
            </w:hyperlink>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 w:type="dxa"/>
            <w:vAlign w:val="bottom"/>
            <w:tcBorders>
              <w:top w:val="single" w:sz="8" w:color="CCEEFF"/>
            </w:tcBorders>
            <w:gridSpan w:val="3"/>
            <w:vMerge w:val="continue"/>
            <w:shd w:val="clear" w:color="auto" w:fill="CCEEFF"/>
          </w:tcPr>
          <w:p>
            <w:pPr>
              <w:spacing w:after="0"/>
              <w:rPr>
                <w:sz w:val="13"/>
                <w:szCs w:val="13"/>
                <w:color w:val="auto"/>
              </w:rPr>
            </w:pPr>
          </w:p>
        </w:tc>
        <w:tc>
          <w:tcPr>
            <w:tcW w:w="340" w:type="dxa"/>
            <w:vAlign w:val="bottom"/>
            <w:tcBorders>
              <w:top w:val="single" w:sz="8" w:color="CCEEFF"/>
            </w:tcBorders>
            <w:gridSpan w:val="3"/>
            <w:vMerge w:val="continue"/>
            <w:shd w:val="clear" w:color="auto" w:fill="CCEEFF"/>
          </w:tcPr>
          <w:p>
            <w:pPr>
              <w:spacing w:after="0"/>
              <w:rPr>
                <w:sz w:val="13"/>
                <w:szCs w:val="13"/>
                <w:color w:val="auto"/>
              </w:rPr>
            </w:pPr>
          </w:p>
        </w:tc>
        <w:tc>
          <w:tcPr>
            <w:tcW w:w="20" w:type="dxa"/>
            <w:vAlign w:val="bottom"/>
            <w:tcBorders>
              <w:top w:val="single" w:sz="8" w:color="CCEEFF"/>
            </w:tcBorders>
            <w:vMerge w:val="continue"/>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120" w:type="dxa"/>
            <w:vAlign w:val="bottom"/>
            <w:tcBorders>
              <w:top w:val="single" w:sz="8" w:color="0000FF"/>
            </w:tcBorders>
            <w:gridSpan w:val="37"/>
            <w:shd w:val="clear" w:color="auto" w:fill="CCEEFF"/>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with the SEC on June 23, 2023)</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0" w:type="dxa"/>
            <w:vAlign w:val="bottom"/>
            <w:gridSpan w:val="40"/>
          </w:tcPr>
          <w:p>
            <w:pPr>
              <w:spacing w:after="0" w:line="18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Assumption Agreement dated January 25, 2023 by and among Pollock Gateway II DE LLC, original borrower, Gateway II</w:t>
              </w:r>
            </w:hyperlink>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4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Holdco, LLC, new borrower, Guila Pollock and Vita Piazza, trustees of The James and Guila Pollock Trust dated June 27,</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2006, original guarantor, CaliberCos Inc., new guarantor, and Wells Fargo Bank, National Association, as Trustee for the</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benefit of the registered holders of BBCMS Mortgage Trust 2019-C5, Commercial Mortgage Pass Through Certificates,</w:t>
              </w:r>
            </w:hyperlink>
          </w:p>
        </w:tc>
        <w:tc>
          <w:tcPr>
            <w:tcW w:w="1060" w:type="dxa"/>
            <w:vAlign w:val="bottom"/>
            <w:gridSpan w:val="21"/>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Series</w:t>
              </w:r>
            </w:hyperlink>
          </w:p>
        </w:tc>
        <w:tc>
          <w:tcPr>
            <w:tcW w:w="0" w:type="dxa"/>
            <w:vAlign w:val="bottom"/>
          </w:tcPr>
          <w:p>
            <w:pPr>
              <w:spacing w:after="0"/>
              <w:rPr>
                <w:sz w:val="1"/>
                <w:szCs w:val="1"/>
                <w:color w:val="auto"/>
              </w:rPr>
            </w:pPr>
          </w:p>
        </w:tc>
      </w:tr>
      <w:tr>
        <w:trPr>
          <w:trHeight w:val="169"/>
        </w:trPr>
        <w:tc>
          <w:tcPr>
            <w:tcW w:w="880" w:type="dxa"/>
            <w:vAlign w:val="bottom"/>
            <w:gridSpan w:val="7"/>
            <w:vMerge w:val="restart"/>
          </w:tcPr>
          <w:p>
            <w:pPr>
              <w:jc w:val="center"/>
              <w:ind w:left="390"/>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60" w:type="dxa"/>
            <w:vAlign w:val="bottom"/>
            <w:tcBorders>
              <w:top w:val="single" w:sz="8" w:color="0000FF"/>
              <w:bottom w:val="single" w:sz="8" w:color="0000FF"/>
            </w:tcBorders>
            <w:gridSpan w:val="39"/>
          </w:tcPr>
          <w:p>
            <w:pPr>
              <w:spacing w:after="0" w:line="169"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2019-C5, lender (Incorporated by reference to the Company’s Quarterly Report on Form 10-Q (File No. 001-04321), filed with</w:t>
              </w:r>
            </w:hyperlink>
          </w:p>
        </w:tc>
        <w:tc>
          <w:tcPr>
            <w:tcW w:w="40" w:type="dxa"/>
            <w:vAlign w:val="bottom"/>
            <w:tcBorders>
              <w:bottom w:val="single" w:sz="8" w:color="0000FF"/>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80" w:type="dxa"/>
            <w:vAlign w:val="bottom"/>
            <w:gridSpan w:val="7"/>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gridSpan w:val="40"/>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the SEC on June 23, 2023)</w:t>
              </w:r>
            </w:hyperlink>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0" w:type="dxa"/>
            <w:vAlign w:val="bottom"/>
            <w:tcBorders>
              <w:right w:val="single" w:sz="8" w:color="CCEEFF"/>
            </w:tcBorders>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Executive Employment Agreement dated January 1, 2019 by and among CaliberCos Inc. and Jennifer Schrader (incorporated</w:t>
              </w:r>
            </w:hyperlink>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CCEEFF"/>
            </w:tcBorders>
            <w:gridSpan w:val="9"/>
            <w:vMerge w:val="restart"/>
            <w:shd w:val="clear" w:color="auto" w:fill="CCEEFF"/>
          </w:tcPr>
          <w:p>
            <w:pPr>
              <w:jc w:val="center"/>
              <w:ind w:right="580"/>
              <w:spacing w:after="0"/>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8</w:t>
              </w:r>
            </w:hyperlink>
            <w:r>
              <w:rPr>
                <w:rFonts w:ascii="Times New Roman" w:cs="Times New Roman" w:eastAsia="Times New Roman" w:hAnsi="Times New Roman"/>
                <w:sz w:val="18"/>
                <w:szCs w:val="18"/>
                <w:color w:val="000000"/>
                <w:w w:val="98"/>
              </w:rPr>
              <w:t>†</w:t>
            </w:r>
          </w:p>
        </w:tc>
        <w:tc>
          <w:tcPr>
            <w:tcW w:w="20" w:type="dxa"/>
            <w:vAlign w:val="bottom"/>
            <w:tcBorders>
              <w:top w:val="single" w:sz="8" w:color="CCEEFF"/>
            </w:tcBorders>
            <w:shd w:val="clear" w:color="auto" w:fill="CCEEFF"/>
          </w:tcPr>
          <w:p>
            <w:pPr>
              <w:spacing w:after="0"/>
              <w:rPr>
                <w:sz w:val="14"/>
                <w:szCs w:val="14"/>
                <w:color w:val="auto"/>
              </w:rPr>
            </w:pPr>
          </w:p>
        </w:tc>
        <w:tc>
          <w:tcPr>
            <w:tcW w:w="9040" w:type="dxa"/>
            <w:vAlign w:val="bottom"/>
            <w:tcBorders>
              <w:top w:val="single" w:sz="8" w:color="0000FF"/>
            </w:tcBorders>
            <w:gridSpan w:val="33"/>
            <w:shd w:val="clear" w:color="auto" w:fill="CCEEFF"/>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by reference to Exhibit 6.5 of CaliberCos Inc.’s offering statement on Form 1-A (File No.024-11016), filed with the SEC on</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CCEEFF"/>
            </w:tcBorders>
            <w:gridSpan w:val="9"/>
            <w:vMerge w:val="continue"/>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920" w:type="dxa"/>
            <w:vAlign w:val="bottom"/>
            <w:tcBorders>
              <w:top w:val="single" w:sz="8" w:color="0000FF"/>
            </w:tcBorders>
            <w:gridSpan w:val="27"/>
            <w:shd w:val="clear" w:color="auto" w:fill="CCEEFF"/>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August 19, 2019)</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0" w:type="dxa"/>
            <w:vAlign w:val="bottom"/>
            <w:gridSpan w:val="40"/>
          </w:tcPr>
          <w:p>
            <w:pPr>
              <w:spacing w:after="0" w:line="18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Executive Employment Agreement dated January 1, 2019 by and among CaliberCos Inc. and John C. Loeffler II (incorporated</w:t>
              </w:r>
            </w:hyperlink>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9"/>
            <w:vMerge w:val="restart"/>
          </w:tcPr>
          <w:p>
            <w:pPr>
              <w:jc w:val="center"/>
              <w:ind w:right="580"/>
              <w:spacing w:after="0"/>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9</w:t>
              </w:r>
            </w:hyperlink>
            <w:r>
              <w:rPr>
                <w:rFonts w:ascii="Times New Roman" w:cs="Times New Roman" w:eastAsia="Times New Roman" w:hAnsi="Times New Roman"/>
                <w:sz w:val="18"/>
                <w:szCs w:val="18"/>
                <w:color w:val="000000"/>
                <w:w w:val="98"/>
              </w:rPr>
              <w:t>†</w:t>
            </w:r>
          </w:p>
        </w:tc>
        <w:tc>
          <w:tcPr>
            <w:tcW w:w="20" w:type="dxa"/>
            <w:vAlign w:val="bottom"/>
          </w:tcPr>
          <w:p>
            <w:pPr>
              <w:spacing w:after="0"/>
              <w:rPr>
                <w:sz w:val="14"/>
                <w:szCs w:val="14"/>
                <w:color w:val="auto"/>
              </w:rPr>
            </w:pPr>
          </w:p>
        </w:tc>
        <w:tc>
          <w:tcPr>
            <w:tcW w:w="910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by reference to Exhibit 6.6 of CaliberCos Inc.’s offering statement on Form 1-A (File No.024-11016), filed with the SEC on</w:t>
              </w:r>
            </w:hyperlink>
          </w:p>
        </w:tc>
        <w:tc>
          <w:tcPr>
            <w:tcW w:w="40" w:type="dxa"/>
            <w:vAlign w:val="bottom"/>
            <w:gridSpan w:val="2"/>
          </w:tcPr>
          <w:p>
            <w:pPr>
              <w:spacing w:after="0"/>
              <w:rPr>
                <w:sz w:val="14"/>
                <w:szCs w:val="14"/>
                <w:color w:val="auto"/>
              </w:rPr>
            </w:pPr>
          </w:p>
        </w:tc>
        <w:tc>
          <w:tcPr>
            <w:tcW w:w="6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9"/>
            <w:vMerge w:val="continue"/>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August 19,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0" w:type="dxa"/>
            <w:vAlign w:val="bottom"/>
            <w:tcBorders>
              <w:right w:val="single" w:sz="8" w:color="CCEEFF"/>
            </w:tcBorders>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Executive Employment Agreement dated January 1, 2019 by and among CaliberCos Inc. and Roy Bade (incorporated by</w:t>
              </w:r>
            </w:hyperlink>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gridSpan w:val="10"/>
            <w:vMerge w:val="restart"/>
            <w:shd w:val="clear" w:color="auto" w:fill="CCEEFF"/>
          </w:tcPr>
          <w:p>
            <w:pPr>
              <w:jc w:val="center"/>
              <w:ind w:right="520"/>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color w:val="000000"/>
              </w:rPr>
              <w:t>†</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720" w:type="dxa"/>
            <w:vAlign w:val="bottom"/>
            <w:tcBorders>
              <w:top w:val="single" w:sz="8" w:color="0000FF"/>
              <w:bottom w:val="single" w:sz="8" w:color="0000FF"/>
            </w:tcBorders>
            <w:gridSpan w:val="21"/>
            <w:shd w:val="clear" w:color="auto" w:fill="CCEEFF"/>
          </w:tcPr>
          <w:p>
            <w:pPr>
              <w:spacing w:after="0" w:line="169"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reference to Exhibit 6.7 of CaliberCos Inc.’s offering statement on Form 1-A (File No.024-11016), filed with the SEC on</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0" w:type="dxa"/>
            <w:vAlign w:val="bottom"/>
            <w:shd w:val="clear" w:color="auto" w:fill="CCEEFF"/>
          </w:tcPr>
          <w:p>
            <w:pPr>
              <w:spacing w:after="0"/>
              <w:rPr>
                <w:sz w:val="13"/>
                <w:szCs w:val="13"/>
                <w:color w:val="auto"/>
              </w:rPr>
            </w:pPr>
          </w:p>
        </w:tc>
        <w:tc>
          <w:tcPr>
            <w:tcW w:w="1020" w:type="dxa"/>
            <w:vAlign w:val="bottom"/>
            <w:gridSpan w:val="10"/>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740" w:type="dxa"/>
            <w:vAlign w:val="bottom"/>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August 19, 2019)</w:t>
              </w:r>
            </w:hyperlink>
          </w:p>
        </w:tc>
        <w:tc>
          <w:tcPr>
            <w:tcW w:w="60" w:type="dxa"/>
            <w:vAlign w:val="bottom"/>
            <w:gridSpan w:val="2"/>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8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gridSpan w:val="3"/>
            <w:shd w:val="clear" w:color="auto" w:fill="CCEEFF"/>
          </w:tcPr>
          <w:p>
            <w:pPr>
              <w:spacing w:after="0"/>
              <w:rPr>
                <w:sz w:val="13"/>
                <w:szCs w:val="13"/>
                <w:color w:val="auto"/>
              </w:rPr>
            </w:pPr>
          </w:p>
        </w:tc>
        <w:tc>
          <w:tcPr>
            <w:tcW w:w="60" w:type="dxa"/>
            <w:vAlign w:val="bottom"/>
            <w:tcBorders>
              <w:right w:val="single" w:sz="8" w:color="CCEEFF"/>
            </w:tcBorders>
            <w:gridSpan w:val="2"/>
            <w:shd w:val="clear" w:color="auto" w:fill="CCEEFF"/>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0" w:type="dxa"/>
            <w:vAlign w:val="bottom"/>
            <w:gridSpan w:val="40"/>
          </w:tcPr>
          <w:p>
            <w:pPr>
              <w:spacing w:after="0" w:line="18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Executive Employment Agreement dated January 1, 2019 by and among CaliberCos Inc. and Jade Leung (incorporated by</w:t>
              </w:r>
            </w:hyperlink>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1020" w:type="dxa"/>
            <w:vAlign w:val="bottom"/>
            <w:gridSpan w:val="10"/>
            <w:vMerge w:val="restart"/>
          </w:tcPr>
          <w:p>
            <w:pPr>
              <w:jc w:val="center"/>
              <w:ind w:right="540"/>
              <w:spacing w:after="0"/>
              <w:rPr>
                <w:rFonts w:ascii="Times New Roman" w:cs="Times New Roman" w:eastAsia="Times New Roman" w:hAnsi="Times New Roman"/>
                <w:sz w:val="18"/>
                <w:szCs w:val="18"/>
                <w:color w:val="0000FF"/>
                <w:w w:val="96"/>
              </w:rPr>
            </w:pPr>
            <w:hyperlink r:id="rId138">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11</w:t>
              </w:r>
            </w:hyperlink>
            <w:r>
              <w:rPr>
                <w:rFonts w:ascii="Times New Roman" w:cs="Times New Roman" w:eastAsia="Times New Roman" w:hAnsi="Times New Roman"/>
                <w:sz w:val="18"/>
                <w:szCs w:val="18"/>
                <w:color w:val="000000"/>
                <w:w w:val="96"/>
              </w:rPr>
              <w:t>†</w:t>
            </w:r>
          </w:p>
        </w:tc>
        <w:tc>
          <w:tcPr>
            <w:tcW w:w="20" w:type="dxa"/>
            <w:vAlign w:val="bottom"/>
          </w:tcPr>
          <w:p>
            <w:pPr>
              <w:spacing w:after="0"/>
              <w:rPr>
                <w:sz w:val="14"/>
                <w:szCs w:val="14"/>
                <w:color w:val="auto"/>
              </w:rPr>
            </w:pPr>
          </w:p>
        </w:tc>
        <w:tc>
          <w:tcPr>
            <w:tcW w:w="880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reference to Exhibit 6.8 of CaliberCos Inc.’s offering statement on Form 1-A (File No.024-11016), filed with the SEC on</w:t>
              </w:r>
            </w:hyperlink>
          </w:p>
        </w:tc>
        <w:tc>
          <w:tcPr>
            <w:tcW w:w="6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1020" w:type="dxa"/>
            <w:vAlign w:val="bottom"/>
            <w:gridSpan w:val="10"/>
            <w:vMerge w:val="continue"/>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August 19, 2019)</w:t>
              </w:r>
            </w:hyperlink>
          </w:p>
        </w:tc>
        <w:tc>
          <w:tcPr>
            <w:tcW w:w="12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0" w:type="dxa"/>
            <w:vAlign w:val="bottom"/>
            <w:tcBorders>
              <w:right w:val="single" w:sz="8" w:color="CCEEFF"/>
            </w:tcBorders>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Indemnification Agreement between CaliberCos Inc. and its directors and officers (incorporated by reference to</w:t>
              </w:r>
            </w:hyperlink>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0" w:type="dxa"/>
            <w:vAlign w:val="bottom"/>
            <w:tcBorders>
              <w:top w:val="single" w:sz="8" w:color="CCEEFF"/>
            </w:tcBorders>
            <w:gridSpan w:val="2"/>
            <w:vMerge w:val="restart"/>
            <w:shd w:val="clear" w:color="auto" w:fill="CCEEFF"/>
          </w:tcPr>
          <w:p>
            <w:pPr>
              <w:spacing w:after="0"/>
              <w:rPr>
                <w:sz w:val="14"/>
                <w:szCs w:val="14"/>
                <w:color w:val="auto"/>
              </w:rPr>
            </w:pPr>
          </w:p>
        </w:tc>
        <w:tc>
          <w:tcPr>
            <w:tcW w:w="440" w:type="dxa"/>
            <w:vAlign w:val="bottom"/>
            <w:tcBorders>
              <w:top w:val="single" w:sz="8" w:color="CCEEFF"/>
            </w:tcBorders>
            <w:gridSpan w:val="6"/>
            <w:vMerge w:val="restart"/>
            <w:shd w:val="clear" w:color="auto" w:fill="CCEEFF"/>
          </w:tcPr>
          <w:p>
            <w:pPr>
              <w:jc w:val="center"/>
              <w:ind w:right="40"/>
              <w:spacing w:after="0"/>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12</w:t>
              </w:r>
            </w:hyperlink>
          </w:p>
        </w:tc>
        <w:tc>
          <w:tcPr>
            <w:tcW w:w="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660" w:type="dxa"/>
            <w:vAlign w:val="bottom"/>
            <w:tcBorders>
              <w:top w:val="single" w:sz="8" w:color="0000FF"/>
            </w:tcBorders>
            <w:gridSpan w:val="18"/>
            <w:shd w:val="clear" w:color="auto" w:fill="CCEEFF"/>
          </w:tcPr>
          <w:p>
            <w:pPr>
              <w:spacing w:after="0" w:line="169"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Exhibit 10.11 to the Registrant’s Registration Statement on Form S-1/A, filed with the SEC on November 23, 2022 (File</w:t>
              </w:r>
            </w:hyperlink>
          </w:p>
        </w:tc>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right w:val="single" w:sz="8" w:color="CCEEFF"/>
            </w:tcBorders>
            <w:gridSpan w:val="21"/>
            <w:shd w:val="clear" w:color="auto" w:fill="CCEEFF"/>
          </w:tcPr>
          <w:p>
            <w:pPr>
              <w:ind w:left="20"/>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No.</w:t>
              </w:r>
            </w:hyperlink>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0" w:type="dxa"/>
            <w:vAlign w:val="bottom"/>
            <w:tcBorders>
              <w:top w:val="single" w:sz="8" w:color="CCEEFF"/>
            </w:tcBorders>
            <w:gridSpan w:val="2"/>
            <w:vMerge w:val="continue"/>
            <w:shd w:val="clear" w:color="auto" w:fill="CCEEFF"/>
          </w:tcPr>
          <w:p>
            <w:pPr>
              <w:spacing w:after="0"/>
              <w:rPr>
                <w:sz w:val="13"/>
                <w:szCs w:val="13"/>
                <w:color w:val="auto"/>
              </w:rPr>
            </w:pPr>
          </w:p>
        </w:tc>
        <w:tc>
          <w:tcPr>
            <w:tcW w:w="440" w:type="dxa"/>
            <w:vAlign w:val="bottom"/>
            <w:tcBorders>
              <w:top w:val="single" w:sz="8" w:color="CCEEFF"/>
            </w:tcBorders>
            <w:gridSpan w:val="6"/>
            <w:vMerge w:val="continue"/>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0000FF"/>
            </w:tcBorders>
            <w:gridSpan w:val="4"/>
            <w:shd w:val="clear" w:color="auto" w:fill="CCEEFF"/>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333-267657))</w:t>
              </w:r>
            </w:hyperlink>
          </w:p>
        </w:tc>
        <w:tc>
          <w:tcPr>
            <w:tcW w:w="180" w:type="dxa"/>
            <w:vAlign w:val="bottom"/>
            <w:tcBorders>
              <w:top w:val="single" w:sz="8" w:color="0000FF"/>
            </w:tcBorders>
            <w:shd w:val="clear" w:color="auto" w:fill="CCEEFF"/>
          </w:tcPr>
          <w:p>
            <w:pPr>
              <w:spacing w:after="0"/>
              <w:rPr>
                <w:sz w:val="13"/>
                <w:szCs w:val="13"/>
                <w:color w:val="auto"/>
              </w:rPr>
            </w:pPr>
          </w:p>
        </w:tc>
        <w:tc>
          <w:tcPr>
            <w:tcW w:w="36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36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1000" w:type="dxa"/>
            <w:vAlign w:val="bottom"/>
            <w:tcBorders>
              <w:top w:val="single" w:sz="8" w:color="0000FF"/>
            </w:tcBorders>
            <w:shd w:val="clear" w:color="auto" w:fill="CCEEFF"/>
          </w:tcPr>
          <w:p>
            <w:pPr>
              <w:spacing w:after="0"/>
              <w:rPr>
                <w:sz w:val="13"/>
                <w:szCs w:val="13"/>
                <w:color w:val="auto"/>
              </w:rPr>
            </w:pPr>
          </w:p>
        </w:tc>
        <w:tc>
          <w:tcPr>
            <w:tcW w:w="220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2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0" w:type="dxa"/>
            <w:vAlign w:val="bottom"/>
            <w:gridSpan w:val="40"/>
          </w:tcPr>
          <w:p>
            <w:pPr>
              <w:spacing w:after="0" w:line="18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Caliber/ Encore Opportunistic Growth Fund Limited Liability Company Agreement dated May 1, 2022 by and between</w:t>
              </w:r>
            </w:hyperlink>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8"/>
            <w:vMerge w:val="restart"/>
          </w:tcPr>
          <w:p>
            <w:pPr>
              <w:jc w:val="center"/>
              <w:ind w:left="350"/>
              <w:spacing w:after="0"/>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13</w:t>
              </w:r>
            </w:hyperlink>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gridSpan w:val="41"/>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CaliberCos Inc. and Encore Caliber Holdings, LLC (incorporated by reference to Exhibit 10.13 to the Registrant’s Registration</w:t>
              </w:r>
            </w:hyperlink>
          </w:p>
        </w:tc>
        <w:tc>
          <w:tcPr>
            <w:tcW w:w="0" w:type="dxa"/>
            <w:vAlign w:val="bottom"/>
          </w:tcPr>
          <w:p>
            <w:pPr>
              <w:spacing w:after="0"/>
              <w:rPr>
                <w:sz w:val="1"/>
                <w:szCs w:val="1"/>
                <w:color w:val="auto"/>
              </w:rPr>
            </w:pPr>
          </w:p>
        </w:tc>
      </w:tr>
      <w:tr>
        <w:trPr>
          <w:trHeight w:val="155"/>
        </w:trPr>
        <w:tc>
          <w:tcPr>
            <w:tcW w:w="920" w:type="dxa"/>
            <w:vAlign w:val="bottom"/>
            <w:gridSpan w:val="8"/>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Statement on Form S-1/A, filed with the SEC on April 12, 2023 (File No. 333-267657))</w:t>
              </w:r>
            </w:hyperlink>
          </w:p>
        </w:tc>
        <w:tc>
          <w:tcPr>
            <w:tcW w:w="6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0" w:type="dxa"/>
            <w:vAlign w:val="bottom"/>
            <w:tcBorders>
              <w:right w:val="single" w:sz="8" w:color="CCEEFF"/>
            </w:tcBorders>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Managing Dealer Agreement by and among CaliberCos Inc., Skyway Capital Markets, LLC and Issuer (incorporated</w:t>
              </w:r>
            </w:hyperlink>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0" w:type="dxa"/>
            <w:vAlign w:val="bottom"/>
            <w:tcBorders>
              <w:top w:val="single" w:sz="8" w:color="CCEEFF"/>
            </w:tcBorders>
            <w:gridSpan w:val="2"/>
            <w:vMerge w:val="restart"/>
            <w:shd w:val="clear" w:color="auto" w:fill="CCEEFF"/>
          </w:tcPr>
          <w:p>
            <w:pPr>
              <w:spacing w:after="0"/>
              <w:rPr>
                <w:sz w:val="14"/>
                <w:szCs w:val="14"/>
                <w:color w:val="auto"/>
              </w:rPr>
            </w:pPr>
          </w:p>
        </w:tc>
        <w:tc>
          <w:tcPr>
            <w:tcW w:w="440" w:type="dxa"/>
            <w:vAlign w:val="bottom"/>
            <w:tcBorders>
              <w:top w:val="single" w:sz="8" w:color="CCEEFF"/>
            </w:tcBorders>
            <w:gridSpan w:val="6"/>
            <w:vMerge w:val="restart"/>
            <w:shd w:val="clear" w:color="auto" w:fill="CCEEFF"/>
          </w:tcPr>
          <w:p>
            <w:pPr>
              <w:jc w:val="center"/>
              <w:ind w:right="40"/>
              <w:spacing w:after="0"/>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14</w:t>
              </w:r>
            </w:hyperlink>
          </w:p>
        </w:tc>
        <w:tc>
          <w:tcPr>
            <w:tcW w:w="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080" w:type="dxa"/>
            <w:vAlign w:val="bottom"/>
            <w:tcBorders>
              <w:top w:val="single" w:sz="8" w:color="0000FF"/>
            </w:tcBorders>
            <w:gridSpan w:val="35"/>
            <w:shd w:val="clear" w:color="auto" w:fill="CCEEFF"/>
          </w:tcPr>
          <w:p>
            <w:pPr>
              <w:spacing w:after="0" w:line="16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by reference to Exhibit 10.14 to the Registrant’s Registration Statement on Form S-1/A, filed with the SEC on April 12, 2023</w:t>
              </w:r>
            </w:hyperlink>
          </w:p>
        </w:tc>
        <w:tc>
          <w:tcPr>
            <w:tcW w:w="120" w:type="dxa"/>
            <w:vAlign w:val="bottom"/>
            <w:tcBorders>
              <w:top w:val="single" w:sz="8" w:color="CCEEFF"/>
              <w:right w:val="single" w:sz="8" w:color="CCEEFF"/>
            </w:tcBorders>
            <w:gridSpan w:val="5"/>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0" w:type="dxa"/>
            <w:vAlign w:val="bottom"/>
            <w:tcBorders>
              <w:top w:val="single" w:sz="8" w:color="CCEEFF"/>
            </w:tcBorders>
            <w:gridSpan w:val="2"/>
            <w:vMerge w:val="continue"/>
            <w:shd w:val="clear" w:color="auto" w:fill="CCEEFF"/>
          </w:tcPr>
          <w:p>
            <w:pPr>
              <w:spacing w:after="0"/>
              <w:rPr>
                <w:sz w:val="13"/>
                <w:szCs w:val="13"/>
                <w:color w:val="auto"/>
              </w:rPr>
            </w:pPr>
          </w:p>
        </w:tc>
        <w:tc>
          <w:tcPr>
            <w:tcW w:w="440" w:type="dxa"/>
            <w:vAlign w:val="bottom"/>
            <w:tcBorders>
              <w:top w:val="single" w:sz="8" w:color="CCEEFF"/>
            </w:tcBorders>
            <w:gridSpan w:val="6"/>
            <w:vMerge w:val="continue"/>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060" w:type="dxa"/>
            <w:vAlign w:val="bottom"/>
            <w:tcBorders>
              <w:top w:val="single" w:sz="8" w:color="0000FF"/>
            </w:tcBorders>
            <w:gridSpan w:val="34"/>
            <w:shd w:val="clear" w:color="auto" w:fill="CCEEFF"/>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(File No. 333-267657))</w:t>
              </w:r>
            </w:hyperlink>
          </w:p>
        </w:tc>
        <w:tc>
          <w:tcPr>
            <w:tcW w:w="140" w:type="dxa"/>
            <w:vAlign w:val="bottom"/>
            <w:tcBorders>
              <w:top w:val="single" w:sz="8" w:color="CCEEFF"/>
              <w:right w:val="single" w:sz="8" w:color="CCEEFF"/>
            </w:tcBorders>
            <w:gridSpan w:val="6"/>
            <w:shd w:val="clear" w:color="auto" w:fill="CCEEFF"/>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0" w:type="dxa"/>
            <w:vAlign w:val="bottom"/>
            <w:gridSpan w:val="40"/>
          </w:tcPr>
          <w:p>
            <w:pPr>
              <w:spacing w:after="0" w:line="18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Sponsor Consulting Agreement dated December 1, 2022 by and among CaliberCos Inc. and Skyway Capital Markets, LLC</w:t>
              </w:r>
            </w:hyperlink>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180" w:type="dxa"/>
            <w:vAlign w:val="bottom"/>
            <w:gridSpan w:val="7"/>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8"/>
            <w:vMerge w:val="restart"/>
          </w:tcPr>
          <w:p>
            <w:pPr>
              <w:jc w:val="center"/>
              <w:ind w:left="350"/>
              <w:spacing w:after="0"/>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15</w:t>
              </w:r>
            </w:hyperlink>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gridSpan w:val="41"/>
          </w:tcPr>
          <w:p>
            <w:pPr>
              <w:spacing w:after="0" w:line="16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(incorporated by reference to Exhibit 10.15 to the Registrant’s Registration Statement on Form S-1/A, filed with the SEC on</w:t>
              </w:r>
            </w:hyperlink>
          </w:p>
        </w:tc>
        <w:tc>
          <w:tcPr>
            <w:tcW w:w="0" w:type="dxa"/>
            <w:vAlign w:val="bottom"/>
          </w:tcPr>
          <w:p>
            <w:pPr>
              <w:spacing w:after="0"/>
              <w:rPr>
                <w:sz w:val="1"/>
                <w:szCs w:val="1"/>
                <w:color w:val="auto"/>
              </w:rPr>
            </w:pPr>
          </w:p>
        </w:tc>
      </w:tr>
      <w:tr>
        <w:trPr>
          <w:trHeight w:val="156"/>
        </w:trPr>
        <w:tc>
          <w:tcPr>
            <w:tcW w:w="920" w:type="dxa"/>
            <w:vAlign w:val="bottom"/>
            <w:gridSpan w:val="8"/>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April 12, 2023 (File No. 333-267657))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gridSpan w:val="2"/>
            <w:vMerge w:val="restart"/>
            <w:shd w:val="clear" w:color="auto" w:fill="CCEEFF"/>
          </w:tcPr>
          <w:p>
            <w:pPr>
              <w:spacing w:after="0"/>
              <w:rPr>
                <w:sz w:val="16"/>
                <w:szCs w:val="16"/>
                <w:color w:val="auto"/>
              </w:rPr>
            </w:pPr>
          </w:p>
        </w:tc>
        <w:tc>
          <w:tcPr>
            <w:tcW w:w="440" w:type="dxa"/>
            <w:vAlign w:val="bottom"/>
            <w:gridSpan w:val="6"/>
            <w:vMerge w:val="restart"/>
            <w:shd w:val="clear" w:color="auto" w:fill="CCEEFF"/>
          </w:tcPr>
          <w:p>
            <w:pPr>
              <w:jc w:val="center"/>
              <w:ind w:right="40"/>
              <w:spacing w:after="0"/>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16</w:t>
              </w:r>
            </w:hyperlink>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0" w:type="dxa"/>
            <w:vAlign w:val="bottom"/>
            <w:tcBorders>
              <w:right w:val="single" w:sz="8" w:color="CCEEFF"/>
            </w:tcBorders>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Contribution Agreement dated June 30, 2023 (Incorporated by reference to the Company’s Current Report on Form 8-K (File</w:t>
              </w:r>
            </w:hyperlink>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0" w:type="dxa"/>
            <w:vAlign w:val="bottom"/>
            <w:tcBorders>
              <w:top w:val="single" w:sz="8" w:color="CCEEFF"/>
            </w:tcBorders>
            <w:gridSpan w:val="2"/>
            <w:vMerge w:val="continue"/>
            <w:shd w:val="clear" w:color="auto" w:fill="CCEEFF"/>
          </w:tcPr>
          <w:p>
            <w:pPr>
              <w:spacing w:after="0"/>
              <w:rPr>
                <w:sz w:val="14"/>
                <w:szCs w:val="14"/>
                <w:color w:val="auto"/>
              </w:rPr>
            </w:pPr>
          </w:p>
        </w:tc>
        <w:tc>
          <w:tcPr>
            <w:tcW w:w="440" w:type="dxa"/>
            <w:vAlign w:val="bottom"/>
            <w:tcBorders>
              <w:top w:val="single" w:sz="8" w:color="CCEEFF"/>
            </w:tcBorders>
            <w:gridSpan w:val="6"/>
            <w:vMerge w:val="continue"/>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020" w:type="dxa"/>
            <w:vAlign w:val="bottom"/>
            <w:tcBorders>
              <w:top w:val="single" w:sz="8" w:color="0000FF"/>
            </w:tcBorders>
            <w:gridSpan w:val="32"/>
            <w:shd w:val="clear" w:color="auto" w:fill="CCEEFF"/>
          </w:tcPr>
          <w:p>
            <w:pPr>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No. 024-11016), filed with the SEC on July 7, 2023)</w:t>
              </w:r>
            </w:hyperlink>
          </w:p>
        </w:tc>
        <w:tc>
          <w:tcPr>
            <w:tcW w:w="180" w:type="dxa"/>
            <w:vAlign w:val="bottom"/>
            <w:tcBorders>
              <w:top w:val="single" w:sz="8" w:color="CCEEFF"/>
              <w:right w:val="single" w:sz="8" w:color="CCEEFF"/>
            </w:tcBorders>
            <w:gridSpan w:val="8"/>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gridSpan w:val="2"/>
            <w:vMerge w:val="restart"/>
          </w:tcPr>
          <w:p>
            <w:pPr>
              <w:spacing w:after="0"/>
              <w:rPr>
                <w:sz w:val="16"/>
                <w:szCs w:val="16"/>
                <w:color w:val="auto"/>
              </w:rPr>
            </w:pPr>
          </w:p>
        </w:tc>
        <w:tc>
          <w:tcPr>
            <w:tcW w:w="440" w:type="dxa"/>
            <w:vAlign w:val="bottom"/>
            <w:gridSpan w:val="6"/>
            <w:vMerge w:val="restart"/>
          </w:tcPr>
          <w:p>
            <w:pPr>
              <w:jc w:val="center"/>
              <w:ind w:right="40"/>
              <w:spacing w:after="0"/>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17</w:t>
              </w:r>
            </w:hyperlink>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0" w:type="dxa"/>
            <w:vAlign w:val="bottom"/>
            <w:gridSpan w:val="40"/>
          </w:tcPr>
          <w:p>
            <w:pPr>
              <w:spacing w:after="0" w:line="18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Securities Purchase Agreement, dated March 20, 2025, between the Company and the Investor (incorporated by reference to</w:t>
              </w:r>
            </w:hyperlink>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0" w:type="dxa"/>
            <w:vAlign w:val="bottom"/>
            <w:gridSpan w:val="2"/>
            <w:vMerge w:val="continue"/>
          </w:tcPr>
          <w:p>
            <w:pPr>
              <w:spacing w:after="0"/>
              <w:rPr>
                <w:sz w:val="14"/>
                <w:szCs w:val="14"/>
                <w:color w:val="auto"/>
              </w:rPr>
            </w:pPr>
          </w:p>
        </w:tc>
        <w:tc>
          <w:tcPr>
            <w:tcW w:w="44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8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Exhibit 10.1 of CaliberCos Inc.’s Form 8-K filed with the SEC on March 26, 2025)</w:t>
              </w:r>
            </w:hyperlink>
          </w:p>
        </w:tc>
        <w:tc>
          <w:tcPr>
            <w:tcW w:w="20" w:type="dxa"/>
            <w:vAlign w:val="bottom"/>
          </w:tcPr>
          <w:p>
            <w:pPr>
              <w:spacing w:after="0"/>
              <w:rPr>
                <w:sz w:val="14"/>
                <w:szCs w:val="14"/>
                <w:color w:val="auto"/>
              </w:rPr>
            </w:pPr>
          </w:p>
        </w:tc>
        <w:tc>
          <w:tcPr>
            <w:tcW w:w="76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2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gridSpan w:val="2"/>
            <w:vMerge w:val="restart"/>
            <w:shd w:val="clear" w:color="auto" w:fill="CCEEFF"/>
          </w:tcPr>
          <w:p>
            <w:pPr>
              <w:spacing w:after="0"/>
              <w:rPr>
                <w:sz w:val="16"/>
                <w:szCs w:val="16"/>
                <w:color w:val="auto"/>
              </w:rPr>
            </w:pPr>
          </w:p>
        </w:tc>
        <w:tc>
          <w:tcPr>
            <w:tcW w:w="440" w:type="dxa"/>
            <w:vAlign w:val="bottom"/>
            <w:gridSpan w:val="6"/>
            <w:vMerge w:val="restart"/>
            <w:shd w:val="clear" w:color="auto" w:fill="CCEEFF"/>
          </w:tcPr>
          <w:p>
            <w:pPr>
              <w:jc w:val="center"/>
              <w:ind w:right="40"/>
              <w:spacing w:after="0"/>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18</w:t>
              </w:r>
            </w:hyperlink>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0" w:type="dxa"/>
            <w:vAlign w:val="bottom"/>
            <w:tcBorders>
              <w:right w:val="single" w:sz="8" w:color="CCEEFF"/>
            </w:tcBorders>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Registration Rights Agreement, dated March 20, 2025, between the Company and the Investor (incorporated by reference to</w:t>
              </w:r>
            </w:hyperlink>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0" w:type="dxa"/>
            <w:vAlign w:val="bottom"/>
            <w:tcBorders>
              <w:top w:val="single" w:sz="8" w:color="CCEEFF"/>
            </w:tcBorders>
            <w:gridSpan w:val="2"/>
            <w:vMerge w:val="continue"/>
            <w:shd w:val="clear" w:color="auto" w:fill="CCEEFF"/>
          </w:tcPr>
          <w:p>
            <w:pPr>
              <w:spacing w:after="0"/>
              <w:rPr>
                <w:sz w:val="14"/>
                <w:szCs w:val="14"/>
                <w:color w:val="auto"/>
              </w:rPr>
            </w:pPr>
          </w:p>
        </w:tc>
        <w:tc>
          <w:tcPr>
            <w:tcW w:w="440" w:type="dxa"/>
            <w:vAlign w:val="bottom"/>
            <w:tcBorders>
              <w:top w:val="single" w:sz="8" w:color="CCEEFF"/>
            </w:tcBorders>
            <w:gridSpan w:val="6"/>
            <w:vMerge w:val="continue"/>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960" w:type="dxa"/>
            <w:vAlign w:val="bottom"/>
            <w:tcBorders>
              <w:top w:val="single" w:sz="8" w:color="0000FF"/>
            </w:tcBorders>
            <w:gridSpan w:val="29"/>
            <w:shd w:val="clear" w:color="auto" w:fill="CCEEFF"/>
          </w:tcPr>
          <w:p>
            <w:pPr>
              <w:spacing w:after="0" w:line="16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Exhibit 10.2 of CaliberCos Inc.’s Form 8-K filed with the SEC on March 26, 2025)</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200" w:type="dxa"/>
            <w:vAlign w:val="bottom"/>
            <w:tcBorders>
              <w:top w:val="single" w:sz="8" w:color="CCEEFF"/>
              <w:right w:val="single" w:sz="8" w:color="CCEEFF"/>
            </w:tcBorders>
            <w:gridSpan w:val="9"/>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2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0" w:type="dxa"/>
            <w:vAlign w:val="bottom"/>
            <w:gridSpan w:val="40"/>
          </w:tcPr>
          <w:p>
            <w:pPr>
              <w:spacing w:after="0" w:line="18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Subsidiary Guarantee dated March 20, 2025, between the Company, the Guarantors (as defined in the Subsidiary Guarantee)</w:t>
              </w:r>
            </w:hyperlink>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 w:type="dxa"/>
            <w:vAlign w:val="bottom"/>
            <w:gridSpan w:val="8"/>
            <w:vMerge w:val="restart"/>
          </w:tcPr>
          <w:p>
            <w:pPr>
              <w:jc w:val="center"/>
              <w:ind w:left="350"/>
              <w:spacing w:after="0"/>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19</w:t>
              </w:r>
            </w:hyperlink>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and the Investor (incorporated by reference to Exhibit 10.3 of CaliberCos Inc.’s Form 8-K filed with the SEC on March 26,</w:t>
              </w:r>
            </w:hyperlink>
          </w:p>
        </w:tc>
        <w:tc>
          <w:tcPr>
            <w:tcW w:w="76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gridSpan w:val="8"/>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2025)</w:t>
              </w:r>
            </w:hyperlink>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gridSpan w:val="2"/>
            <w:vMerge w:val="restart"/>
            <w:shd w:val="clear" w:color="auto" w:fill="CCEEFF"/>
          </w:tcPr>
          <w:p>
            <w:pPr>
              <w:spacing w:after="0"/>
              <w:rPr>
                <w:sz w:val="16"/>
                <w:szCs w:val="16"/>
                <w:color w:val="auto"/>
              </w:rPr>
            </w:pPr>
          </w:p>
        </w:tc>
        <w:tc>
          <w:tcPr>
            <w:tcW w:w="440" w:type="dxa"/>
            <w:vAlign w:val="bottom"/>
            <w:gridSpan w:val="6"/>
            <w:vMerge w:val="restart"/>
            <w:shd w:val="clear" w:color="auto" w:fill="CCEEFF"/>
          </w:tcPr>
          <w:p>
            <w:pPr>
              <w:jc w:val="center"/>
              <w:ind w:right="40"/>
              <w:spacing w:after="0"/>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20</w:t>
              </w:r>
            </w:hyperlink>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0" w:type="dxa"/>
            <w:vAlign w:val="bottom"/>
            <w:tcBorders>
              <w:right w:val="single" w:sz="8" w:color="CCEEFF"/>
            </w:tcBorders>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Equity Purchase Agreement, dated March 20, 2025 between the Company and the Investor (incorporated by reference to</w:t>
              </w:r>
            </w:hyperlink>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0" w:type="dxa"/>
            <w:vAlign w:val="bottom"/>
            <w:tcBorders>
              <w:top w:val="single" w:sz="8" w:color="CCEEFF"/>
            </w:tcBorders>
            <w:gridSpan w:val="2"/>
            <w:vMerge w:val="continue"/>
            <w:shd w:val="clear" w:color="auto" w:fill="CCEEFF"/>
          </w:tcPr>
          <w:p>
            <w:pPr>
              <w:spacing w:after="0"/>
              <w:rPr>
                <w:sz w:val="14"/>
                <w:szCs w:val="14"/>
                <w:color w:val="auto"/>
              </w:rPr>
            </w:pPr>
          </w:p>
        </w:tc>
        <w:tc>
          <w:tcPr>
            <w:tcW w:w="440" w:type="dxa"/>
            <w:vAlign w:val="bottom"/>
            <w:tcBorders>
              <w:top w:val="single" w:sz="8" w:color="CCEEFF"/>
            </w:tcBorders>
            <w:gridSpan w:val="6"/>
            <w:vMerge w:val="continue"/>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680" w:type="dxa"/>
            <w:vAlign w:val="bottom"/>
            <w:tcBorders>
              <w:top w:val="single" w:sz="8" w:color="0000FF"/>
            </w:tcBorders>
            <w:gridSpan w:val="19"/>
            <w:shd w:val="clear" w:color="auto" w:fill="CCEEFF"/>
          </w:tcPr>
          <w:p>
            <w:pPr>
              <w:spacing w:after="0" w:line="16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Exhibit 10.4 of CaliberCos Inc.’s Form 8-K filed with the SEC on March 26, 2025)</w:t>
              </w:r>
            </w:hyperlink>
          </w:p>
        </w:tc>
        <w:tc>
          <w:tcPr>
            <w:tcW w:w="520" w:type="dxa"/>
            <w:vAlign w:val="bottom"/>
            <w:tcBorders>
              <w:top w:val="single" w:sz="8" w:color="CCEEFF"/>
              <w:right w:val="single" w:sz="8" w:color="CCEEFF"/>
            </w:tcBorders>
            <w:gridSpan w:val="21"/>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2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gridSpan w:val="2"/>
            <w:vMerge w:val="restart"/>
          </w:tcPr>
          <w:p>
            <w:pPr>
              <w:spacing w:after="0"/>
              <w:rPr>
                <w:sz w:val="16"/>
                <w:szCs w:val="16"/>
                <w:color w:val="auto"/>
              </w:rPr>
            </w:pPr>
          </w:p>
        </w:tc>
        <w:tc>
          <w:tcPr>
            <w:tcW w:w="440" w:type="dxa"/>
            <w:vAlign w:val="bottom"/>
            <w:gridSpan w:val="6"/>
            <w:vMerge w:val="restart"/>
          </w:tcPr>
          <w:p>
            <w:pPr>
              <w:jc w:val="center"/>
              <w:ind w:right="40"/>
              <w:spacing w:after="0"/>
              <w:rPr>
                <w:rFonts w:ascii="Times New Roman" w:cs="Times New Roman" w:eastAsia="Times New Roman" w:hAnsi="Times New Roman"/>
                <w:sz w:val="18"/>
                <w:szCs w:val="18"/>
                <w:color w:val="0000FF"/>
                <w:w w:val="98"/>
              </w:rPr>
            </w:pPr>
            <w:hyperlink r:id="rId14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21</w:t>
              </w:r>
            </w:hyperlink>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0" w:type="dxa"/>
            <w:vAlign w:val="bottom"/>
            <w:gridSpan w:val="40"/>
          </w:tcPr>
          <w:p>
            <w:pPr>
              <w:spacing w:after="0" w:line="18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Registration Rights Agreement, dated March 20, 2025, between the Company and the Investor (incorporated by reference to</w:t>
              </w:r>
            </w:hyperlink>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0" w:type="dxa"/>
            <w:vAlign w:val="bottom"/>
            <w:gridSpan w:val="2"/>
            <w:vMerge w:val="continue"/>
          </w:tcPr>
          <w:p>
            <w:pPr>
              <w:spacing w:after="0"/>
              <w:rPr>
                <w:sz w:val="14"/>
                <w:szCs w:val="14"/>
                <w:color w:val="auto"/>
              </w:rPr>
            </w:pPr>
          </w:p>
        </w:tc>
        <w:tc>
          <w:tcPr>
            <w:tcW w:w="44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6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Exhibit 10.5 of CaliberCos Inc.’s Form 8-K filed with the SEC on March 26, 2025)</w:t>
              </w:r>
            </w:hyperlink>
          </w:p>
        </w:tc>
        <w:tc>
          <w:tcPr>
            <w:tcW w:w="80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2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gridSpan w:val="2"/>
            <w:shd w:val="clear" w:color="auto" w:fill="CCEEFF"/>
          </w:tcPr>
          <w:p>
            <w:pPr>
              <w:spacing w:after="0"/>
              <w:rPr>
                <w:sz w:val="16"/>
                <w:szCs w:val="16"/>
                <w:color w:val="auto"/>
              </w:rPr>
            </w:pPr>
          </w:p>
        </w:tc>
        <w:tc>
          <w:tcPr>
            <w:tcW w:w="440" w:type="dxa"/>
            <w:vAlign w:val="bottom"/>
            <w:gridSpan w:val="6"/>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98"/>
              </w:rPr>
              <w:t>14.</w:t>
            </w:r>
            <w:r>
              <w:rPr>
                <w:rFonts w:ascii="Times New Roman" w:cs="Times New Roman" w:eastAsia="Times New Roman" w:hAnsi="Times New Roman"/>
                <w:sz w:val="18"/>
                <w:szCs w:val="18"/>
                <w:u w:val="single" w:color="auto"/>
                <w:color w:val="0000FF"/>
                <w:w w:val="98"/>
              </w:rPr>
              <w:t>1*</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0" w:type="dxa"/>
            <w:vAlign w:val="bottom"/>
            <w:tcBorders>
              <w:right w:val="single" w:sz="8" w:color="CCEEFF"/>
            </w:tcBorders>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Code of Ethics</w:t>
            </w: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gridSpan w:val="2"/>
          </w:tcPr>
          <w:p>
            <w:pPr>
              <w:spacing w:after="0"/>
              <w:rPr>
                <w:sz w:val="16"/>
                <w:szCs w:val="16"/>
                <w:color w:val="auto"/>
              </w:rPr>
            </w:pPr>
          </w:p>
        </w:tc>
        <w:tc>
          <w:tcPr>
            <w:tcW w:w="440" w:type="dxa"/>
            <w:vAlign w:val="bottom"/>
            <w:gridSpan w:val="6"/>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98"/>
              </w:rPr>
              <w:t>19.</w:t>
            </w:r>
            <w:r>
              <w:rPr>
                <w:rFonts w:ascii="Times New Roman" w:cs="Times New Roman" w:eastAsia="Times New Roman" w:hAnsi="Times New Roman"/>
                <w:sz w:val="18"/>
                <w:szCs w:val="18"/>
                <w:u w:val="single" w:color="auto"/>
                <w:color w:val="0000FF"/>
                <w:w w:val="98"/>
              </w:rPr>
              <w:t>1*</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FF"/>
              </w:rPr>
              <w:t>Insider Trading Policy</w:t>
            </w: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gridSpan w:val="2"/>
            <w:shd w:val="clear" w:color="auto" w:fill="CCEEFF"/>
          </w:tcPr>
          <w:p>
            <w:pPr>
              <w:spacing w:after="0"/>
              <w:rPr>
                <w:sz w:val="16"/>
                <w:szCs w:val="16"/>
                <w:color w:val="auto"/>
              </w:rPr>
            </w:pPr>
          </w:p>
        </w:tc>
        <w:tc>
          <w:tcPr>
            <w:tcW w:w="440" w:type="dxa"/>
            <w:vAlign w:val="bottom"/>
            <w:gridSpan w:val="6"/>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98"/>
              </w:rPr>
              <w:t>21.</w:t>
            </w:r>
            <w:r>
              <w:rPr>
                <w:rFonts w:ascii="Times New Roman" w:cs="Times New Roman" w:eastAsia="Times New Roman" w:hAnsi="Times New Roman"/>
                <w:sz w:val="18"/>
                <w:szCs w:val="18"/>
                <w:u w:val="single" w:color="auto"/>
                <w:color w:val="0000FF"/>
                <w:w w:val="98"/>
              </w:rPr>
              <w:t>1*</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0" w:type="dxa"/>
            <w:vAlign w:val="bottom"/>
            <w:tcBorders>
              <w:right w:val="single" w:sz="8" w:color="CCEEFF"/>
            </w:tcBorders>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Subsidiaries</w:t>
            </w: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gridSpan w:val="2"/>
          </w:tcPr>
          <w:p>
            <w:pPr>
              <w:spacing w:after="0"/>
              <w:rPr>
                <w:sz w:val="16"/>
                <w:szCs w:val="16"/>
                <w:color w:val="auto"/>
              </w:rPr>
            </w:pPr>
          </w:p>
        </w:tc>
        <w:tc>
          <w:tcPr>
            <w:tcW w:w="440" w:type="dxa"/>
            <w:vAlign w:val="bottom"/>
            <w:gridSpan w:val="6"/>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FF"/>
              </w:rPr>
              <w:t>Consent of Deloitte &amp; Touche LLP</w:t>
            </w: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gridSpan w:val="2"/>
            <w:shd w:val="clear" w:color="auto" w:fill="CCEEFF"/>
          </w:tcPr>
          <w:p>
            <w:pPr>
              <w:spacing w:after="0"/>
              <w:rPr>
                <w:sz w:val="16"/>
                <w:szCs w:val="16"/>
                <w:color w:val="auto"/>
              </w:rPr>
            </w:pPr>
          </w:p>
        </w:tc>
        <w:tc>
          <w:tcPr>
            <w:tcW w:w="440" w:type="dxa"/>
            <w:vAlign w:val="bottom"/>
            <w:gridSpan w:val="6"/>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0" w:type="dxa"/>
            <w:vAlign w:val="bottom"/>
            <w:tcBorders>
              <w:right w:val="single" w:sz="8" w:color="CCEEFF"/>
            </w:tcBorders>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w:t>
            </w: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2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gridSpan w:val="2"/>
          </w:tcPr>
          <w:p>
            <w:pPr>
              <w:spacing w:after="0"/>
              <w:rPr>
                <w:sz w:val="18"/>
                <w:szCs w:val="18"/>
                <w:color w:val="auto"/>
              </w:rPr>
            </w:pPr>
          </w:p>
        </w:tc>
        <w:tc>
          <w:tcPr>
            <w:tcW w:w="440" w:type="dxa"/>
            <w:vAlign w:val="bottom"/>
            <w:gridSpan w:val="6"/>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w:t>
            </w: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43"/>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tcBorders>
              <w:top w:val="single" w:sz="8" w:color="0000FF"/>
            </w:tcBorders>
            <w:gridSpan w:val="13"/>
          </w:tcPr>
          <w:p>
            <w:pPr>
              <w:ind w:left="406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1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182"/>
        </w:trPr>
        <w:tc>
          <w:tcPr>
            <w:tcW w:w="1360" w:type="dxa"/>
            <w:vAlign w:val="bottom"/>
            <w:gridSpan w:val="5"/>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0" w:type="dxa"/>
            <w:vAlign w:val="bottom"/>
            <w:shd w:val="clear" w:color="auto" w:fill="CCEEFF"/>
          </w:tcPr>
          <w:p>
            <w:pPr>
              <w:spacing w:after="0"/>
              <w:rPr>
                <w:sz w:val="15"/>
                <w:szCs w:val="15"/>
                <w:color w:val="auto"/>
              </w:rPr>
            </w:pPr>
          </w:p>
        </w:tc>
        <w:tc>
          <w:tcPr>
            <w:tcW w:w="9180" w:type="dxa"/>
            <w:vAlign w:val="bottom"/>
            <w:gridSpan w:val="5"/>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w:t>
            </w:r>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4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6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0" w:type="dxa"/>
            <w:vAlign w:val="bottom"/>
          </w:tcPr>
          <w:p>
            <w:pPr>
              <w:spacing w:after="0"/>
              <w:rPr>
                <w:sz w:val="16"/>
                <w:szCs w:val="16"/>
                <w:color w:val="auto"/>
              </w:rPr>
            </w:pPr>
          </w:p>
        </w:tc>
        <w:tc>
          <w:tcPr>
            <w:tcW w:w="918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w:t>
            </w:r>
          </w:p>
        </w:tc>
      </w:tr>
      <w:tr>
        <w:trPr>
          <w:trHeight w:val="20"/>
        </w:trPr>
        <w:tc>
          <w:tcPr>
            <w:tcW w:w="4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89"/>
        </w:trPr>
        <w:tc>
          <w:tcPr>
            <w:tcW w:w="480" w:type="dxa"/>
            <w:vAlign w:val="bottom"/>
            <w:gridSpan w:val="2"/>
            <w:shd w:val="clear" w:color="auto" w:fill="CCEEFF"/>
          </w:tcPr>
          <w:p>
            <w:pPr>
              <w:spacing w:after="0"/>
              <w:rPr>
                <w:sz w:val="16"/>
                <w:szCs w:val="16"/>
                <w:color w:val="auto"/>
              </w:rPr>
            </w:pPr>
          </w:p>
        </w:tc>
        <w:tc>
          <w:tcPr>
            <w:tcW w:w="460" w:type="dxa"/>
            <w:vAlign w:val="bottom"/>
            <w:gridSpan w:val="2"/>
            <w:shd w:val="clear" w:color="auto" w:fill="CCEEFF"/>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FF"/>
                <w:w w:val="98"/>
              </w:rPr>
              <w:t>97.</w:t>
            </w:r>
            <w:r>
              <w:rPr>
                <w:rFonts w:ascii="Times New Roman" w:cs="Times New Roman" w:eastAsia="Times New Roman" w:hAnsi="Times New Roman"/>
                <w:sz w:val="18"/>
                <w:szCs w:val="18"/>
                <w:u w:val="single" w:color="auto"/>
                <w:color w:val="0000FF"/>
                <w:w w:val="98"/>
              </w:rPr>
              <w:t>1*</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18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Clawback Policy</w:t>
            </w:r>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46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color w:val="auto"/>
              </w:rPr>
              <w:t>101.INS*</w:t>
            </w:r>
          </w:p>
        </w:tc>
        <w:tc>
          <w:tcPr>
            <w:tcW w:w="91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Inline XBRL Instance</w:t>
            </w:r>
          </w:p>
        </w:tc>
      </w:tr>
      <w:tr>
        <w:trPr>
          <w:trHeight w:val="229"/>
        </w:trPr>
        <w:tc>
          <w:tcPr>
            <w:tcW w:w="146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101.SCH*</w:t>
            </w:r>
          </w:p>
        </w:tc>
        <w:tc>
          <w:tcPr>
            <w:tcW w:w="91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30"/>
        </w:trPr>
        <w:tc>
          <w:tcPr>
            <w:tcW w:w="14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101.CAL*</w:t>
            </w:r>
          </w:p>
        </w:tc>
        <w:tc>
          <w:tcPr>
            <w:tcW w:w="91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29"/>
        </w:trPr>
        <w:tc>
          <w:tcPr>
            <w:tcW w:w="146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101.LAB*</w:t>
            </w:r>
          </w:p>
        </w:tc>
        <w:tc>
          <w:tcPr>
            <w:tcW w:w="91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234"/>
        </w:trPr>
        <w:tc>
          <w:tcPr>
            <w:tcW w:w="146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color w:val="auto"/>
              </w:rPr>
              <w:t>101.PRE*</w:t>
            </w:r>
          </w:p>
        </w:tc>
        <w:tc>
          <w:tcPr>
            <w:tcW w:w="91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675513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6755130" cy="146050"/>
                    </a:xfrm>
                    <a:prstGeom prst="rect">
                      <a:avLst/>
                    </a:prstGeom>
                    <a:noFill/>
                  </pic:spPr>
                </pic:pic>
              </a:graphicData>
            </a:graphic>
          </wp:anchor>
        </w:drawing>
      </w:r>
    </w:p>
    <w:p>
      <w:pPr>
        <w:ind w:left="1480" w:hanging="932"/>
        <w:spacing w:after="0"/>
        <w:tabs>
          <w:tab w:leader="none" w:pos="14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p>
      <w:pPr>
        <w:spacing w:after="0" w:line="9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w:t>
      </w:r>
    </w:p>
    <w:p>
      <w:pPr>
        <w:spacing w:after="0" w:line="225"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jc w:val="both"/>
        <w:ind w:left="360" w:right="20" w:hanging="334"/>
        <w:spacing w:after="0" w:line="229" w:lineRule="auto"/>
        <w:tabs>
          <w:tab w:leader="none" w:pos="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spacing w:after="0" w:line="2" w:lineRule="exact"/>
        <w:rPr>
          <w:sz w:val="20"/>
          <w:szCs w:val="20"/>
          <w:color w:val="auto"/>
        </w:rPr>
      </w:pPr>
    </w:p>
    <w:p>
      <w:pPr>
        <w:ind w:left="360" w:hanging="334"/>
        <w:spacing w:after="0"/>
        <w:tabs>
          <w:tab w:leader="none" w:pos="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16. Form 10-K Summary</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as amended, the registrant has duly caused this Annual Report on Form 10-K to be signed on its behalf by the undersigned, thereunto duly authorized, in Scottsdale, Arizona, on March 31, 2025.</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CALIBERCOS INC.</w:t>
      </w:r>
    </w:p>
    <w:p>
      <w:pPr>
        <w:spacing w:after="0" w:line="229" w:lineRule="exact"/>
        <w:rPr>
          <w:sz w:val="20"/>
          <w:szCs w:val="20"/>
          <w:color w:val="auto"/>
        </w:rPr>
      </w:pPr>
    </w:p>
    <w:tbl>
      <w:tblPr>
        <w:tblLayout w:type="fixed"/>
        <w:tblInd w:w="548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C. Loeffler, II</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John C. Loeffler, II</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required under the Securities Act of 1934, as amended, this Annual Report on Form 10-K has been signed below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0" w:type="dxa"/>
            <w:vAlign w:val="bottom"/>
          </w:tcPr>
          <w:p>
            <w:pPr>
              <w:spacing w:after="0"/>
              <w:rPr>
                <w:sz w:val="20"/>
                <w:szCs w:val="20"/>
                <w:color w:val="auto"/>
              </w:rPr>
            </w:pP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0" w:type="dxa"/>
            <w:vAlign w:val="bottom"/>
          </w:tcPr>
          <w:p>
            <w:pPr>
              <w:spacing w:after="0"/>
              <w:rPr>
                <w:sz w:val="20"/>
                <w:szCs w:val="20"/>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66"/>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C. Loeffler, II</w:t>
            </w:r>
          </w:p>
        </w:tc>
        <w:tc>
          <w:tcPr>
            <w:tcW w:w="140" w:type="dxa"/>
            <w:vAlign w:val="bottom"/>
          </w:tcPr>
          <w:p>
            <w:pPr>
              <w:spacing w:after="0"/>
              <w:rPr>
                <w:sz w:val="24"/>
                <w:szCs w:val="24"/>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C. Loeffler, II</w:t>
            </w:r>
          </w:p>
        </w:tc>
        <w:tc>
          <w:tcPr>
            <w:tcW w:w="140" w:type="dxa"/>
            <w:vAlign w:val="bottom"/>
          </w:tcPr>
          <w:p>
            <w:pPr>
              <w:spacing w:after="0"/>
              <w:rPr>
                <w:sz w:val="19"/>
                <w:szCs w:val="19"/>
                <w:color w:val="auto"/>
              </w:rPr>
            </w:pPr>
          </w:p>
        </w:tc>
        <w:tc>
          <w:tcPr>
            <w:tcW w:w="532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440" w:type="dxa"/>
            <w:vAlign w:val="bottom"/>
          </w:tcPr>
          <w:p>
            <w:pPr>
              <w:spacing w:after="0"/>
              <w:rPr>
                <w:sz w:val="19"/>
                <w:szCs w:val="19"/>
                <w:color w:val="auto"/>
              </w:rPr>
            </w:pPr>
          </w:p>
        </w:tc>
      </w:tr>
      <w:tr>
        <w:trPr>
          <w:trHeight w:val="481"/>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Jade Leung</w:t>
            </w:r>
          </w:p>
        </w:tc>
        <w:tc>
          <w:tcPr>
            <w:tcW w:w="140" w:type="dxa"/>
            <w:vAlign w:val="bottom"/>
          </w:tcPr>
          <w:p>
            <w:pPr>
              <w:spacing w:after="0"/>
              <w:rPr>
                <w:sz w:val="24"/>
                <w:szCs w:val="24"/>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Jade Leung</w:t>
            </w:r>
          </w:p>
        </w:tc>
        <w:tc>
          <w:tcPr>
            <w:tcW w:w="14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2440" w:type="dxa"/>
            <w:vAlign w:val="bottom"/>
          </w:tcPr>
          <w:p>
            <w:pPr>
              <w:spacing w:after="0"/>
              <w:rPr>
                <w:sz w:val="19"/>
                <w:szCs w:val="19"/>
                <w:color w:val="auto"/>
              </w:rPr>
            </w:pPr>
          </w:p>
        </w:tc>
      </w:tr>
      <w:tr>
        <w:trPr>
          <w:trHeight w:val="481"/>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Jennifer Schrader</w:t>
            </w:r>
          </w:p>
        </w:tc>
        <w:tc>
          <w:tcPr>
            <w:tcW w:w="140" w:type="dxa"/>
            <w:vAlign w:val="bottom"/>
          </w:tcPr>
          <w:p>
            <w:pPr>
              <w:spacing w:after="0"/>
              <w:rPr>
                <w:sz w:val="24"/>
                <w:szCs w:val="24"/>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Vice-Chairperson</w:t>
            </w: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Schrader</w:t>
            </w:r>
          </w:p>
        </w:tc>
        <w:tc>
          <w:tcPr>
            <w:tcW w:w="14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81"/>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J. Gerber</w:t>
            </w:r>
          </w:p>
        </w:tc>
        <w:tc>
          <w:tcPr>
            <w:tcW w:w="140" w:type="dxa"/>
            <w:vAlign w:val="bottom"/>
          </w:tcPr>
          <w:p>
            <w:pPr>
              <w:spacing w:after="0"/>
              <w:rPr>
                <w:sz w:val="24"/>
                <w:szCs w:val="24"/>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J. Gerber</w:t>
            </w:r>
          </w:p>
        </w:tc>
        <w:tc>
          <w:tcPr>
            <w:tcW w:w="14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81"/>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Trzupek</w:t>
            </w:r>
          </w:p>
        </w:tc>
        <w:tc>
          <w:tcPr>
            <w:tcW w:w="140" w:type="dxa"/>
            <w:vAlign w:val="bottom"/>
          </w:tcPr>
          <w:p>
            <w:pPr>
              <w:spacing w:after="0"/>
              <w:rPr>
                <w:sz w:val="24"/>
                <w:szCs w:val="24"/>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Trzupek</w:t>
            </w:r>
          </w:p>
        </w:tc>
        <w:tc>
          <w:tcPr>
            <w:tcW w:w="14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81"/>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 Hansen</w:t>
            </w:r>
          </w:p>
        </w:tc>
        <w:tc>
          <w:tcPr>
            <w:tcW w:w="140" w:type="dxa"/>
            <w:vAlign w:val="bottom"/>
          </w:tcPr>
          <w:p>
            <w:pPr>
              <w:spacing w:after="0"/>
              <w:rPr>
                <w:sz w:val="24"/>
                <w:szCs w:val="24"/>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 Hansen</w:t>
            </w:r>
          </w:p>
        </w:tc>
        <w:tc>
          <w:tcPr>
            <w:tcW w:w="14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81"/>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Lawrence Taylor</w:t>
            </w:r>
          </w:p>
        </w:tc>
        <w:tc>
          <w:tcPr>
            <w:tcW w:w="140" w:type="dxa"/>
            <w:vAlign w:val="bottom"/>
          </w:tcPr>
          <w:p>
            <w:pPr>
              <w:spacing w:after="0"/>
              <w:rPr>
                <w:sz w:val="24"/>
                <w:szCs w:val="24"/>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Lawrence Taylor</w:t>
            </w:r>
          </w:p>
        </w:tc>
        <w:tc>
          <w:tcPr>
            <w:tcW w:w="14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00" w:type="dxa"/>
            <w:vAlign w:val="bottom"/>
            <w:gridSpan w:val="6"/>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89"/>
        </w:trPr>
        <w:tc>
          <w:tcPr>
            <w:tcW w:w="320" w:type="dxa"/>
            <w:vAlign w:val="bottom"/>
            <w:tcBorders>
              <w:right w:val="single" w:sz="8" w:color="CFF0FC"/>
            </w:tcBorders>
          </w:tcPr>
          <w:p>
            <w:pPr>
              <w:spacing w:after="0"/>
              <w:rPr>
                <w:sz w:val="16"/>
                <w:szCs w:val="16"/>
                <w:color w:val="auto"/>
              </w:rPr>
            </w:pPr>
          </w:p>
        </w:tc>
        <w:tc>
          <w:tcPr>
            <w:tcW w:w="9020" w:type="dxa"/>
            <w:vAlign w:val="bottom"/>
            <w:gridSpan w:val="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(PCAOB ID: </w:t>
            </w:r>
            <w:r>
              <w:rPr>
                <w:rFonts w:ascii="Times New Roman" w:cs="Times New Roman" w:eastAsia="Times New Roman" w:hAnsi="Times New Roman"/>
                <w:sz w:val="18"/>
                <w:szCs w:val="18"/>
                <w:color w:val="000000"/>
              </w:rPr>
              <w:t>34</w:t>
            </w:r>
            <w:r>
              <w:rPr>
                <w:rFonts w:ascii="Times New Roman" w:cs="Times New Roman" w:eastAsia="Times New Roman" w:hAnsi="Times New Roman"/>
                <w:sz w:val="18"/>
                <w:szCs w:val="18"/>
                <w:u w:val="single" w:color="auto"/>
                <w:color w:val="0000FF"/>
              </w:rPr>
              <w:t>)</w:t>
            </w:r>
          </w:p>
        </w:tc>
        <w:tc>
          <w:tcPr>
            <w:tcW w:w="1000" w:type="dxa"/>
            <w:vAlign w:val="bottom"/>
            <w:shd w:val="clear" w:color="auto" w:fill="CFF0FC"/>
          </w:tcPr>
          <w:p>
            <w:pPr>
              <w:spacing w:after="0"/>
              <w:rPr>
                <w:sz w:val="16"/>
                <w:szCs w:val="16"/>
                <w:color w:val="auto"/>
              </w:rPr>
            </w:pPr>
          </w:p>
        </w:tc>
        <w:tc>
          <w:tcPr>
            <w:tcW w:w="600" w:type="dxa"/>
            <w:vAlign w:val="bottom"/>
            <w:gridSpan w:val="4"/>
            <w:shd w:val="clear" w:color="auto" w:fill="CFF0FC"/>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3051F2"/>
                <w:w w:val="95"/>
              </w:rPr>
              <w:t>F-2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Borders>
              <w:right w:val="single" w:sz="8" w:color="CFF0FC"/>
            </w:tcBorders>
          </w:tcPr>
          <w:p>
            <w:pPr>
              <w:spacing w:after="0" w:line="20" w:lineRule="exact"/>
              <w:rPr>
                <w:sz w:val="1"/>
                <w:szCs w:val="1"/>
                <w:color w:val="auto"/>
              </w:rPr>
            </w:pPr>
          </w:p>
        </w:tc>
        <w:tc>
          <w:tcPr>
            <w:tcW w:w="3160" w:type="dxa"/>
            <w:vAlign w:val="bottom"/>
            <w:tcBorders>
              <w:top w:val="single" w:sz="8" w:color="0000FF"/>
            </w:tcBorders>
            <w:shd w:val="clear" w:color="auto" w:fill="CFF0FC"/>
          </w:tcPr>
          <w:p>
            <w:pPr>
              <w:spacing w:after="0" w:line="20" w:lineRule="exact"/>
              <w:rPr>
                <w:sz w:val="1"/>
                <w:szCs w:val="1"/>
                <w:color w:val="auto"/>
              </w:rPr>
            </w:pPr>
          </w:p>
        </w:tc>
        <w:tc>
          <w:tcPr>
            <w:tcW w:w="1480" w:type="dxa"/>
            <w:vAlign w:val="bottom"/>
            <w:tcBorders>
              <w:top w:val="single" w:sz="8" w:color="0000FF"/>
            </w:tcBorders>
            <w:shd w:val="clear" w:color="auto" w:fill="CFF0FC"/>
          </w:tcPr>
          <w:p>
            <w:pPr>
              <w:spacing w:after="0" w:line="20" w:lineRule="exact"/>
              <w:rPr>
                <w:sz w:val="1"/>
                <w:szCs w:val="1"/>
                <w:color w:val="auto"/>
              </w:rPr>
            </w:pPr>
          </w:p>
        </w:tc>
        <w:tc>
          <w:tcPr>
            <w:tcW w:w="680" w:type="dxa"/>
            <w:vAlign w:val="bottom"/>
            <w:tcBorders>
              <w:top w:val="single" w:sz="8" w:color="0000FF"/>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3051F2"/>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Pr>
          <w:p>
            <w:pPr>
              <w:spacing w:after="0"/>
              <w:rPr>
                <w:sz w:val="16"/>
                <w:szCs w:val="16"/>
                <w:color w:val="auto"/>
              </w:rPr>
            </w:pPr>
          </w:p>
        </w:tc>
        <w:tc>
          <w:tcPr>
            <w:tcW w:w="53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3700" w:type="dxa"/>
            <w:vAlign w:val="bottom"/>
            <w:gridSpan w:val="4"/>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gridSpan w:val="4"/>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3051F2"/>
                <w:w w:val="95"/>
              </w:rPr>
              <w:t>F-3</w:t>
            </w: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Borders>
              <w:right w:val="single" w:sz="8" w:color="CFF0FC"/>
            </w:tcBorders>
          </w:tcPr>
          <w:p>
            <w:pPr>
              <w:spacing w:after="0"/>
              <w:rPr>
                <w:sz w:val="16"/>
                <w:szCs w:val="16"/>
                <w:color w:val="auto"/>
              </w:rPr>
            </w:pPr>
          </w:p>
        </w:tc>
        <w:tc>
          <w:tcPr>
            <w:tcW w:w="6460" w:type="dxa"/>
            <w:vAlign w:val="bottom"/>
            <w:gridSpan w:val="4"/>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2024 and 2023</w:t>
            </w:r>
          </w:p>
        </w:tc>
        <w:tc>
          <w:tcPr>
            <w:tcW w:w="2560" w:type="dxa"/>
            <w:vAlign w:val="bottom"/>
            <w:gridSpan w:val="3"/>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00" w:type="dxa"/>
            <w:vAlign w:val="bottom"/>
            <w:gridSpan w:val="4"/>
            <w:shd w:val="clear" w:color="auto" w:fill="CFF0FC"/>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3051F2"/>
                <w:w w:val="95"/>
              </w:rPr>
              <w:t>F-5</w:t>
            </w: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20" w:type="dxa"/>
            <w:vAlign w:val="bottom"/>
            <w:tcBorders>
              <w:right w:val="single" w:sz="8" w:color="CFF0FC"/>
            </w:tcBorders>
          </w:tcPr>
          <w:p>
            <w:pPr>
              <w:spacing w:after="0" w:line="20" w:lineRule="exact"/>
              <w:rPr>
                <w:sz w:val="1"/>
                <w:szCs w:val="1"/>
                <w:color w:val="auto"/>
              </w:rPr>
            </w:pPr>
          </w:p>
        </w:tc>
        <w:tc>
          <w:tcPr>
            <w:tcW w:w="3160" w:type="dxa"/>
            <w:vAlign w:val="bottom"/>
            <w:tcBorders>
              <w:top w:val="single" w:sz="8" w:color="0000FF"/>
            </w:tcBorders>
            <w:shd w:val="clear" w:color="auto" w:fill="CFF0FC"/>
          </w:tcPr>
          <w:p>
            <w:pPr>
              <w:spacing w:after="0" w:line="20" w:lineRule="exact"/>
              <w:rPr>
                <w:sz w:val="1"/>
                <w:szCs w:val="1"/>
                <w:color w:val="auto"/>
              </w:rPr>
            </w:pPr>
          </w:p>
        </w:tc>
        <w:tc>
          <w:tcPr>
            <w:tcW w:w="1480" w:type="dxa"/>
            <w:vAlign w:val="bottom"/>
            <w:tcBorders>
              <w:top w:val="single" w:sz="8" w:color="0000FF"/>
            </w:tcBorders>
            <w:shd w:val="clear" w:color="auto" w:fill="CFF0FC"/>
          </w:tcPr>
          <w:p>
            <w:pPr>
              <w:spacing w:after="0" w:line="20" w:lineRule="exact"/>
              <w:rPr>
                <w:sz w:val="1"/>
                <w:szCs w:val="1"/>
                <w:color w:val="auto"/>
              </w:rPr>
            </w:pPr>
          </w:p>
        </w:tc>
        <w:tc>
          <w:tcPr>
            <w:tcW w:w="680" w:type="dxa"/>
            <w:vAlign w:val="bottom"/>
            <w:tcBorders>
              <w:top w:val="single" w:sz="8" w:color="0000FF"/>
            </w:tcBorders>
            <w:shd w:val="clear" w:color="auto" w:fill="CFF0FC"/>
          </w:tcPr>
          <w:p>
            <w:pPr>
              <w:spacing w:after="0" w:line="20" w:lineRule="exact"/>
              <w:rPr>
                <w:sz w:val="1"/>
                <w:szCs w:val="1"/>
                <w:color w:val="auto"/>
              </w:rPr>
            </w:pPr>
          </w:p>
        </w:tc>
        <w:tc>
          <w:tcPr>
            <w:tcW w:w="11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3051F2"/>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Pr>
          <w:p>
            <w:pPr>
              <w:spacing w:after="0"/>
              <w:rPr>
                <w:sz w:val="16"/>
                <w:szCs w:val="16"/>
                <w:color w:val="auto"/>
              </w:rPr>
            </w:pPr>
          </w:p>
        </w:tc>
        <w:tc>
          <w:tcPr>
            <w:tcW w:w="902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December 31, 2024 and 2023</w:t>
            </w:r>
          </w:p>
        </w:tc>
        <w:tc>
          <w:tcPr>
            <w:tcW w:w="1000" w:type="dxa"/>
            <w:vAlign w:val="bottom"/>
          </w:tcPr>
          <w:p>
            <w:pPr>
              <w:spacing w:after="0"/>
              <w:rPr>
                <w:sz w:val="16"/>
                <w:szCs w:val="16"/>
                <w:color w:val="auto"/>
              </w:rPr>
            </w:pPr>
          </w:p>
        </w:tc>
        <w:tc>
          <w:tcPr>
            <w:tcW w:w="600" w:type="dxa"/>
            <w:vAlign w:val="bottom"/>
            <w:gridSpan w:val="4"/>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3051F2"/>
                <w:w w:val="95"/>
              </w:rPr>
              <w:t>F-6</w:t>
            </w: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Borders>
              <w:right w:val="single" w:sz="8" w:color="CFF0FC"/>
            </w:tcBorders>
          </w:tcPr>
          <w:p>
            <w:pPr>
              <w:spacing w:after="0"/>
              <w:rPr>
                <w:sz w:val="16"/>
                <w:szCs w:val="16"/>
                <w:color w:val="auto"/>
              </w:rPr>
            </w:pPr>
          </w:p>
        </w:tc>
        <w:tc>
          <w:tcPr>
            <w:tcW w:w="6520" w:type="dxa"/>
            <w:vAlign w:val="bottom"/>
            <w:gridSpan w:val="5"/>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and 2023</w:t>
            </w:r>
          </w:p>
        </w:tc>
        <w:tc>
          <w:tcPr>
            <w:tcW w:w="2500" w:type="dxa"/>
            <w:vAlign w:val="bottom"/>
            <w:gridSpan w:val="2"/>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00" w:type="dxa"/>
            <w:vAlign w:val="bottom"/>
            <w:gridSpan w:val="4"/>
            <w:shd w:val="clear" w:color="auto" w:fill="CFF0FC"/>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3051F2"/>
                <w:w w:val="95"/>
              </w:rPr>
              <w:t>F-7</w:t>
            </w: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20" w:type="dxa"/>
            <w:vAlign w:val="bottom"/>
            <w:tcBorders>
              <w:right w:val="single" w:sz="8" w:color="CFF0FC"/>
            </w:tcBorders>
          </w:tcPr>
          <w:p>
            <w:pPr>
              <w:spacing w:after="0" w:line="20" w:lineRule="exact"/>
              <w:rPr>
                <w:sz w:val="1"/>
                <w:szCs w:val="1"/>
                <w:color w:val="auto"/>
              </w:rPr>
            </w:pPr>
          </w:p>
        </w:tc>
        <w:tc>
          <w:tcPr>
            <w:tcW w:w="3160" w:type="dxa"/>
            <w:vAlign w:val="bottom"/>
            <w:tcBorders>
              <w:top w:val="single" w:sz="8" w:color="0000FF"/>
            </w:tcBorders>
            <w:shd w:val="clear" w:color="auto" w:fill="CFF0FC"/>
          </w:tcPr>
          <w:p>
            <w:pPr>
              <w:spacing w:after="0" w:line="20" w:lineRule="exact"/>
              <w:rPr>
                <w:sz w:val="1"/>
                <w:szCs w:val="1"/>
                <w:color w:val="auto"/>
              </w:rPr>
            </w:pPr>
          </w:p>
        </w:tc>
        <w:tc>
          <w:tcPr>
            <w:tcW w:w="1480" w:type="dxa"/>
            <w:vAlign w:val="bottom"/>
            <w:tcBorders>
              <w:top w:val="single" w:sz="8" w:color="0000FF"/>
            </w:tcBorders>
            <w:shd w:val="clear" w:color="auto" w:fill="CFF0FC"/>
          </w:tcPr>
          <w:p>
            <w:pPr>
              <w:spacing w:after="0" w:line="20" w:lineRule="exact"/>
              <w:rPr>
                <w:sz w:val="1"/>
                <w:szCs w:val="1"/>
                <w:color w:val="auto"/>
              </w:rPr>
            </w:pPr>
          </w:p>
        </w:tc>
        <w:tc>
          <w:tcPr>
            <w:tcW w:w="680" w:type="dxa"/>
            <w:vAlign w:val="bottom"/>
            <w:tcBorders>
              <w:top w:val="single" w:sz="8" w:color="0000FF"/>
            </w:tcBorders>
            <w:shd w:val="clear" w:color="auto" w:fill="CFF0FC"/>
          </w:tcPr>
          <w:p>
            <w:pPr>
              <w:spacing w:after="0" w:line="20" w:lineRule="exact"/>
              <w:rPr>
                <w:sz w:val="1"/>
                <w:szCs w:val="1"/>
                <w:color w:val="auto"/>
              </w:rPr>
            </w:pPr>
          </w:p>
        </w:tc>
        <w:tc>
          <w:tcPr>
            <w:tcW w:w="11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3051F2"/>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Pr>
          <w:p>
            <w:pPr>
              <w:spacing w:after="0"/>
              <w:rPr>
                <w:sz w:val="16"/>
                <w:szCs w:val="16"/>
                <w:color w:val="auto"/>
              </w:rPr>
            </w:pPr>
          </w:p>
        </w:tc>
        <w:tc>
          <w:tcPr>
            <w:tcW w:w="65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500" w:type="dxa"/>
            <w:vAlign w:val="bottom"/>
            <w:gridSpan w:val="2"/>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gridSpan w:val="4"/>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3051F2"/>
                <w:w w:val="99"/>
              </w:rPr>
              <w:t>F-10</w:t>
            </w: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63"/>
        </w:trPr>
        <w:tc>
          <w:tcPr>
            <w:tcW w:w="320" w:type="dxa"/>
            <w:vAlign w:val="bottom"/>
          </w:tcPr>
          <w:p>
            <w:pPr>
              <w:spacing w:after="0"/>
              <w:rPr>
                <w:sz w:val="24"/>
                <w:szCs w:val="24"/>
                <w:color w:val="auto"/>
              </w:rPr>
            </w:pPr>
          </w:p>
        </w:tc>
        <w:tc>
          <w:tcPr>
            <w:tcW w:w="3160" w:type="dxa"/>
            <w:vAlign w:val="bottom"/>
            <w:tcBorders>
              <w:top w:val="single" w:sz="8" w:color="0000FF"/>
            </w:tcBorders>
          </w:tcPr>
          <w:p>
            <w:pPr>
              <w:spacing w:after="0"/>
              <w:rPr>
                <w:sz w:val="24"/>
                <w:szCs w:val="24"/>
                <w:color w:val="auto"/>
              </w:rPr>
            </w:pPr>
          </w:p>
        </w:tc>
        <w:tc>
          <w:tcPr>
            <w:tcW w:w="1480" w:type="dxa"/>
            <w:vAlign w:val="bottom"/>
          </w:tcPr>
          <w:p>
            <w:pPr>
              <w:spacing w:after="0"/>
              <w:rPr>
                <w:sz w:val="24"/>
                <w:szCs w:val="24"/>
                <w:color w:val="auto"/>
              </w:rPr>
            </w:pPr>
          </w:p>
        </w:tc>
        <w:tc>
          <w:tcPr>
            <w:tcW w:w="438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F-1</w:t>
            </w:r>
          </w:p>
        </w:tc>
        <w:tc>
          <w:tcPr>
            <w:tcW w:w="1000" w:type="dxa"/>
            <w:vAlign w:val="bottom"/>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CaliberCos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balance sheets of CaliberCos Inc. </w:t>
      </w:r>
      <w:r>
        <w:rPr>
          <w:rFonts w:ascii="Times New Roman" w:cs="Times New Roman" w:eastAsia="Times New Roman" w:hAnsi="Times New Roman"/>
          <w:sz w:val="21"/>
          <w:szCs w:val="21"/>
          <w:color w:val="auto"/>
        </w:rPr>
        <w:t>and subsidiaries (the "Company") as of</w:t>
      </w:r>
      <w:r>
        <w:rPr>
          <w:rFonts w:ascii="Times New Roman" w:cs="Times New Roman" w:eastAsia="Times New Roman" w:hAnsi="Times New Roman"/>
          <w:sz w:val="20"/>
          <w:szCs w:val="20"/>
          <w:color w:val="auto"/>
        </w:rPr>
        <w:t xml:space="preserve"> December 31, 2024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2023</w:t>
      </w:r>
      <w:r>
        <w:rPr>
          <w:rFonts w:ascii="Times New Roman" w:cs="Times New Roman" w:eastAsia="Times New Roman" w:hAnsi="Times New Roman"/>
          <w:sz w:val="21"/>
          <w:szCs w:val="21"/>
          <w:color w:val="auto"/>
        </w:rPr>
        <w:t>, the related consolidated statements of operations, stockholders' equity, and cash flows, for each of the two years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the period ended </w:t>
      </w:r>
      <w:r>
        <w:rPr>
          <w:rFonts w:ascii="Times New Roman" w:cs="Times New Roman" w:eastAsia="Times New Roman" w:hAnsi="Times New Roman"/>
          <w:sz w:val="19"/>
          <w:szCs w:val="19"/>
          <w:color w:val="auto"/>
        </w:rPr>
        <w:t>December 31, 2024</w:t>
      </w:r>
      <w:r>
        <w:rPr>
          <w:rFonts w:ascii="Times New Roman" w:cs="Times New Roman" w:eastAsia="Times New Roman" w:hAnsi="Times New Roman"/>
          <w:sz w:val="21"/>
          <w:szCs w:val="21"/>
          <w:color w:val="auto"/>
        </w:rPr>
        <w:t xml:space="preserve">, and the related notes </w:t>
      </w:r>
      <w:r>
        <w:rPr>
          <w:rFonts w:ascii="Times New Roman" w:cs="Times New Roman" w:eastAsia="Times New Roman" w:hAnsi="Times New Roman"/>
          <w:sz w:val="19"/>
          <w:szCs w:val="19"/>
          <w:color w:val="auto"/>
        </w:rPr>
        <w:t>(collectively referred to as the "financial statements"). In our opinion, the</w:t>
      </w:r>
    </w:p>
    <w:p>
      <w:pPr>
        <w:spacing w:after="0" w:line="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financial statements present fairly, in all material respects, the financial position of the Company as of December 31, 2024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2023</w:t>
      </w:r>
      <w:r>
        <w:rPr>
          <w:rFonts w:ascii="Times New Roman" w:cs="Times New Roman" w:eastAsia="Times New Roman" w:hAnsi="Times New Roman"/>
          <w:sz w:val="21"/>
          <w:szCs w:val="21"/>
          <w:color w:val="auto"/>
        </w:rPr>
        <w:t>, and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results of its operations and its cash flows for each of the two years in the period ended </w:t>
      </w:r>
      <w:r>
        <w:rPr>
          <w:rFonts w:ascii="Times New Roman" w:cs="Times New Roman" w:eastAsia="Times New Roman" w:hAnsi="Times New Roman"/>
          <w:sz w:val="19"/>
          <w:szCs w:val="19"/>
          <w:color w:val="auto"/>
        </w:rPr>
        <w:t>December 31, 2024</w:t>
      </w:r>
      <w:r>
        <w:rPr>
          <w:rFonts w:ascii="Times New Roman" w:cs="Times New Roman" w:eastAsia="Times New Roman" w:hAnsi="Times New Roman"/>
          <w:sz w:val="21"/>
          <w:szCs w:val="21"/>
          <w:color w:val="auto"/>
        </w:rPr>
        <w:t>, in conformity with accounting principles generally accepted in the United States of America.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Going Concern</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accompanying financial statements have been prepared assuming that the Company will continue as a going concern. As discussed in Note 1 to the financial statements, the Company has incurred negative operating cash flows and has insufficient resources to satisfy upcoming debt maturities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 Deloitte &amp; Touche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Tempe, Arizona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2020</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6900" w:type="dxa"/>
            <w:vAlign w:val="bottom"/>
            <w:tcBorders>
              <w:top w:val="single" w:sz="8" w:color="CCEEFF"/>
            </w:tcBorders>
            <w:shd w:val="clear" w:color="auto" w:fill="CCEEFF"/>
          </w:tcPr>
          <w:p>
            <w:pPr>
              <w:ind w:left="3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21,492</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related parties, net of $4.0 million of allowance for doubtful accounts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r>
      <w:tr>
        <w:trPr>
          <w:trHeight w:val="229"/>
        </w:trPr>
        <w:tc>
          <w:tcPr>
            <w:tcW w:w="6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i w:val="1"/>
                <w:iCs w:val="1"/>
                <w:color w:val="auto"/>
              </w:rPr>
              <w:t>Assets of consolidated funds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11,266</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185,636</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 related parties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34,620</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220" w:type="dxa"/>
            <w:vAlign w:val="bottom"/>
          </w:tcPr>
          <w:p>
            <w:pPr>
              <w:spacing w:after="0"/>
              <w:rPr>
                <w:sz w:val="19"/>
                <w:szCs w:val="19"/>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10,318</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11,665</w:t>
            </w:r>
          </w:p>
        </w:tc>
      </w:tr>
      <w:tr>
        <w:trPr>
          <w:trHeight w:val="223"/>
        </w:trPr>
        <w:tc>
          <w:tcPr>
            <w:tcW w:w="6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105,535</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299,432</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23"/>
        </w:trPr>
        <w:tc>
          <w:tcPr>
            <w:tcW w:w="6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690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53,799</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8,886</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related parties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0"/>
        </w:trPr>
        <w:tc>
          <w:tcPr>
            <w:tcW w:w="690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Liabilities of consolidated funds</w:t>
            </w: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net</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129,684</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 related parties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12,055</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11,736</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related parties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w:t>
            </w:r>
          </w:p>
        </w:tc>
      </w:tr>
      <w:tr>
        <w:trPr>
          <w:trHeight w:val="23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233,414</w:t>
            </w: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64"/>
        </w:trPr>
        <w:tc>
          <w:tcPr>
            <w:tcW w:w="690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Series A non-cumulative convertible preferred stock, $0.001 par value; 22,500,000 shares</w:t>
            </w:r>
          </w:p>
        </w:tc>
        <w:tc>
          <w:tcPr>
            <w:tcW w:w="220" w:type="dxa"/>
            <w:vAlign w:val="bottom"/>
            <w:tcBorders>
              <w:top w:val="single" w:sz="8" w:color="auto"/>
            </w:tcBorders>
            <w:shd w:val="clear" w:color="auto" w:fill="CCEEFF"/>
          </w:tcPr>
          <w:p>
            <w:pPr>
              <w:spacing w:after="0"/>
              <w:rPr>
                <w:sz w:val="14"/>
                <w:szCs w:val="14"/>
                <w:color w:val="auto"/>
              </w:rPr>
            </w:pPr>
          </w:p>
        </w:tc>
        <w:tc>
          <w:tcPr>
            <w:tcW w:w="18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authorized, 100,000 and no shares issued and outstanding as of December 31, 2024 and</w:t>
            </w:r>
          </w:p>
        </w:tc>
        <w:tc>
          <w:tcPr>
            <w:tcW w:w="220" w:type="dxa"/>
            <w:vAlign w:val="bottom"/>
            <w:shd w:val="clear" w:color="auto" w:fill="CCEEFF"/>
          </w:tcPr>
          <w:p>
            <w:pPr>
              <w:spacing w:after="0"/>
              <w:rPr>
                <w:sz w:val="15"/>
                <w:szCs w:val="15"/>
                <w:color w:val="auto"/>
              </w:rPr>
            </w:pPr>
          </w:p>
        </w:tc>
        <w:tc>
          <w:tcPr>
            <w:tcW w:w="2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20" w:type="dxa"/>
            <w:vAlign w:val="bottom"/>
            <w:shd w:val="clear" w:color="auto" w:fill="CCEEFF"/>
          </w:tcPr>
          <w:p>
            <w:pPr>
              <w:spacing w:after="0"/>
              <w:rPr>
                <w:sz w:val="19"/>
                <w:szCs w:val="19"/>
                <w:color w:val="auto"/>
              </w:rPr>
            </w:pPr>
          </w:p>
        </w:tc>
        <w:tc>
          <w:tcPr>
            <w:tcW w:w="20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Class A common stock, $0.001 par value; 100,000,000 shares authorized, 15,177,583 and</w:t>
            </w: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90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13,872,671 shares issued and outstanding as of December 31, 2024 and December 31, 2023,</w:t>
            </w:r>
          </w:p>
        </w:tc>
        <w:tc>
          <w:tcPr>
            <w:tcW w:w="22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19"/>
                <w:szCs w:val="19"/>
                <w:color w:val="auto"/>
              </w:rPr>
            </w:pPr>
          </w:p>
        </w:tc>
        <w:tc>
          <w:tcPr>
            <w:tcW w:w="18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9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Class B common stock, $0.001 par value; 15,000,000 shares authorized, 7,416,414 shares</w:t>
            </w:r>
          </w:p>
        </w:tc>
        <w:tc>
          <w:tcPr>
            <w:tcW w:w="2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as December 31, 2024 and December 31, 2023</w:t>
            </w: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Paid-in capital</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39,432</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(56,607)</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(36,830)</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 equity attributable to CaliberCos Inc.</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23,842</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63,395</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66,018</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299,432</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308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00" w:type="dxa"/>
            <w:vAlign w:val="bottom"/>
            <w:tcBorders>
              <w:bottom w:val="single" w:sz="8" w:color="auto"/>
            </w:tcBorders>
          </w:tcPr>
          <w:p>
            <w:pPr>
              <w:spacing w:after="0"/>
              <w:rPr>
                <w:sz w:val="20"/>
                <w:szCs w:val="20"/>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9"/>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management revenues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16,879</w:t>
            </w:r>
          </w:p>
        </w:tc>
        <w:tc>
          <w:tcPr>
            <w:tcW w:w="120" w:type="dxa"/>
            <w:vAlign w:val="bottom"/>
          </w:tcPr>
          <w:p>
            <w:pPr>
              <w:spacing w:after="0"/>
              <w:rPr>
                <w:sz w:val="19"/>
                <w:szCs w:val="19"/>
                <w:color w:val="auto"/>
              </w:rPr>
            </w:pP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10,571</w:t>
            </w:r>
          </w:p>
        </w:tc>
      </w:tr>
      <w:tr>
        <w:trPr>
          <w:trHeight w:val="230"/>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allocations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r>
      <w:tr>
        <w:trPr>
          <w:trHeight w:val="229"/>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funds – hospitality revenues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26,476</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68,905</w:t>
            </w:r>
          </w:p>
        </w:tc>
      </w:tr>
      <w:tr>
        <w:trPr>
          <w:trHeight w:val="230"/>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funds – other revenues</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w:t>
            </w:r>
          </w:p>
        </w:tc>
      </w:tr>
      <w:tr>
        <w:trPr>
          <w:trHeight w:val="223"/>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51,119</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90,937</w:t>
            </w:r>
          </w:p>
        </w:tc>
      </w:tr>
      <w:tr>
        <w:trPr>
          <w:trHeight w:val="237"/>
        </w:trPr>
        <w:tc>
          <w:tcPr>
            <w:tcW w:w="7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costs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21,311</w:t>
            </w:r>
          </w:p>
        </w:tc>
      </w:tr>
      <w:tr>
        <w:trPr>
          <w:trHeight w:val="229"/>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w:t>
            </w:r>
          </w:p>
        </w:tc>
      </w:tr>
      <w:tr>
        <w:trPr>
          <w:trHeight w:val="22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30"/>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80,669</w:t>
            </w:r>
          </w:p>
        </w:tc>
      </w:tr>
      <w:tr>
        <w:trPr>
          <w:trHeight w:val="230"/>
        </w:trPr>
        <w:tc>
          <w:tcPr>
            <w:tcW w:w="7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9,162</w:t>
            </w:r>
          </w:p>
        </w:tc>
      </w:tr>
      <w:tr>
        <w:trPr>
          <w:trHeight w:val="223"/>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64,432</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119,514</w:t>
            </w:r>
          </w:p>
        </w:tc>
      </w:tr>
      <w:tr>
        <w:trPr>
          <w:trHeight w:val="237"/>
        </w:trPr>
        <w:tc>
          <w:tcPr>
            <w:tcW w:w="7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funds - gain on sale of real estate investments</w:t>
            </w:r>
          </w:p>
        </w:tc>
        <w:tc>
          <w:tcPr>
            <w:tcW w:w="1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r>
      <w:tr>
        <w:trPr>
          <w:trHeight w:val="257"/>
        </w:trPr>
        <w:tc>
          <w:tcPr>
            <w:tcW w:w="7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 income, net</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(27,594)</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(27,594)</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(14,891)</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CaliberCos Inc.</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(19,777)</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(12,703)</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4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per share attributable to common stockholders</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net loss per share attributable to common stockholders</w:t>
            </w:r>
          </w:p>
        </w:tc>
        <w:tc>
          <w:tcPr>
            <w:tcW w:w="1120" w:type="dxa"/>
            <w:vAlign w:val="bottom"/>
            <w:tcBorders>
              <w:bottom w:val="single" w:sz="8" w:color="auto"/>
            </w:tcBorders>
          </w:tcPr>
          <w:p>
            <w:pPr>
              <w:jc w:val="right"/>
              <w:ind w:right="9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(0.90)</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9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(0.63)</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7"/>
        </w:trPr>
        <w:tc>
          <w:tcPr>
            <w:tcW w:w="7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21,986</w:t>
            </w: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20,087</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4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340" w:right="2340"/>
        <w:spacing w:after="0" w:line="260" w:lineRule="auto"/>
        <w:rPr>
          <w:sz w:val="20"/>
          <w:szCs w:val="20"/>
          <w:color w:val="auto"/>
        </w:rPr>
      </w:pPr>
      <w:r>
        <w:rPr>
          <w:rFonts w:ascii="Times New Roman" w:cs="Times New Roman" w:eastAsia="Times New Roman" w:hAnsi="Times New Roman"/>
          <w:sz w:val="18"/>
          <w:szCs w:val="18"/>
          <w:b w:val="1"/>
          <w:bCs w:val="1"/>
          <w:color w:val="auto"/>
        </w:rPr>
        <w:t>CALIBERCOS INC. AND SUBSIDIARIES CONSOLIDATED STATEMENTS OF CHANGES IN STOCKHOLDERS’ EQUITY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00" w:type="dxa"/>
            <w:vAlign w:val="bottom"/>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88"/>
        </w:trPr>
        <w:tc>
          <w:tcPr>
            <w:tcW w:w="20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00" w:type="dxa"/>
            <w:vAlign w:val="bottom"/>
            <w:vMerge w:val="restart"/>
          </w:tcPr>
          <w:p>
            <w:pPr>
              <w:spacing w:after="0"/>
              <w:rPr>
                <w:sz w:val="7"/>
                <w:szCs w:val="7"/>
                <w:color w:val="auto"/>
              </w:rPr>
            </w:pPr>
          </w:p>
        </w:tc>
        <w:tc>
          <w:tcPr>
            <w:tcW w:w="14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8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Paid in</w:t>
            </w:r>
          </w:p>
        </w:tc>
        <w:tc>
          <w:tcPr>
            <w:tcW w:w="140" w:type="dxa"/>
            <w:vAlign w:val="bottom"/>
          </w:tcPr>
          <w:p>
            <w:pPr>
              <w:spacing w:after="0"/>
              <w:rPr>
                <w:sz w:val="7"/>
                <w:szCs w:val="7"/>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88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6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80" w:type="dxa"/>
            <w:vAlign w:val="bottom"/>
          </w:tcPr>
          <w:p>
            <w:pPr>
              <w:spacing w:after="0"/>
              <w:rPr>
                <w:sz w:val="16"/>
                <w:szCs w:val="16"/>
                <w:color w:val="auto"/>
              </w:rPr>
            </w:pPr>
          </w:p>
        </w:tc>
        <w:tc>
          <w:tcPr>
            <w:tcW w:w="70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as of December 31, 2022</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33,108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(13,626)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(22,709)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80,398</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77,189</w:t>
            </w:r>
          </w:p>
        </w:tc>
        <w:tc>
          <w:tcPr>
            <w:tcW w:w="0" w:type="dxa"/>
            <w:vAlign w:val="bottom"/>
          </w:tcPr>
          <w:p>
            <w:pPr>
              <w:spacing w:after="0"/>
              <w:rPr>
                <w:sz w:val="1"/>
                <w:szCs w:val="1"/>
                <w:color w:val="auto"/>
              </w:rPr>
            </w:pPr>
          </w:p>
        </w:tc>
      </w:tr>
      <w:tr>
        <w:trPr>
          <w:trHeight w:val="130"/>
        </w:trPr>
        <w:tc>
          <w:tcPr>
            <w:tcW w:w="200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Issuance of common stock, net of</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issuance costs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2,599</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Conversions of common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7"/>
              </w:rPr>
              <w:t>Equity based compensation expense</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3,726</w:t>
            </w:r>
          </w:p>
        </w:tc>
        <w:tc>
          <w:tcPr>
            <w:tcW w:w="0" w:type="dxa"/>
            <w:vAlign w:val="bottom"/>
          </w:tcPr>
          <w:p>
            <w:pPr>
              <w:spacing w:after="0"/>
              <w:rPr>
                <w:sz w:val="1"/>
                <w:szCs w:val="1"/>
                <w:color w:val="auto"/>
              </w:rPr>
            </w:pPr>
          </w:p>
        </w:tc>
      </w:tr>
      <w:tr>
        <w:trPr>
          <w:trHeight w:val="130"/>
        </w:trPr>
        <w:tc>
          <w:tcPr>
            <w:tcW w:w="200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Contributions from noncontrolling</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interest holders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27,927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27,927</w:t>
            </w:r>
          </w:p>
        </w:tc>
        <w:tc>
          <w:tcPr>
            <w:tcW w:w="0" w:type="dxa"/>
            <w:vAlign w:val="bottom"/>
          </w:tcPr>
          <w:p>
            <w:pPr>
              <w:spacing w:after="0"/>
              <w:rPr>
                <w:sz w:val="1"/>
                <w:szCs w:val="1"/>
                <w:color w:val="auto"/>
              </w:rPr>
            </w:pPr>
          </w:p>
        </w:tc>
      </w:tr>
      <w:tr>
        <w:trPr>
          <w:trHeight w:val="138"/>
        </w:trPr>
        <w:tc>
          <w:tcPr>
            <w:tcW w:w="2000" w:type="dxa"/>
            <w:vAlign w:val="bottom"/>
            <w:shd w:val="clear" w:color="auto" w:fill="CCEEFF"/>
          </w:tcPr>
          <w:p>
            <w:pPr>
              <w:ind w:left="140"/>
              <w:spacing w:after="0" w:line="138" w:lineRule="exact"/>
              <w:rPr>
                <w:sz w:val="20"/>
                <w:szCs w:val="20"/>
                <w:color w:val="auto"/>
              </w:rPr>
            </w:pPr>
            <w:r>
              <w:rPr>
                <w:rFonts w:ascii="Times New Roman" w:cs="Times New Roman" w:eastAsia="Times New Roman" w:hAnsi="Times New Roman"/>
                <w:sz w:val="13"/>
                <w:szCs w:val="13"/>
                <w:color w:val="auto"/>
              </w:rPr>
              <w:t>Redemptions of noncontrolling</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interest holders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(10,045)</w:t>
            </w:r>
          </w:p>
        </w:tc>
        <w:tc>
          <w:tcPr>
            <w:tcW w:w="0" w:type="dxa"/>
            <w:vAlign w:val="bottom"/>
          </w:tcPr>
          <w:p>
            <w:pPr>
              <w:spacing w:after="0"/>
              <w:rPr>
                <w:sz w:val="1"/>
                <w:szCs w:val="1"/>
                <w:color w:val="auto"/>
              </w:rPr>
            </w:pPr>
          </w:p>
        </w:tc>
      </w:tr>
      <w:tr>
        <w:trPr>
          <w:trHeight w:val="130"/>
        </w:trPr>
        <w:tc>
          <w:tcPr>
            <w:tcW w:w="200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Distributions to noncontrolling</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interest holders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(10,014)</w:t>
            </w: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Consolidation of VIE</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(20,805)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(20,805)</w:t>
            </w:r>
          </w:p>
        </w:tc>
        <w:tc>
          <w:tcPr>
            <w:tcW w:w="0" w:type="dxa"/>
            <w:vAlign w:val="bottom"/>
          </w:tcPr>
          <w:p>
            <w:pPr>
              <w:spacing w:after="0"/>
              <w:rPr>
                <w:sz w:val="1"/>
                <w:szCs w:val="1"/>
                <w:color w:val="auto"/>
              </w:rPr>
            </w:pPr>
          </w:p>
        </w:tc>
      </w:tr>
      <w:tr>
        <w:trPr>
          <w:trHeight w:val="170"/>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Deconsolidation of VIEs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10,825</w:t>
            </w: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Retirement of treasury stock</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13,626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12,208</w:t>
            </w:r>
          </w:p>
        </w:tc>
        <w:tc>
          <w:tcPr>
            <w:tcW w:w="0" w:type="dxa"/>
            <w:vAlign w:val="bottom"/>
          </w:tcPr>
          <w:p>
            <w:pPr>
              <w:spacing w:after="0"/>
              <w:rPr>
                <w:sz w:val="1"/>
                <w:szCs w:val="1"/>
                <w:color w:val="auto"/>
              </w:rPr>
            </w:pPr>
          </w:p>
        </w:tc>
      </w:tr>
      <w:tr>
        <w:trPr>
          <w:trHeight w:val="170"/>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(12,703)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(14,891)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(27,594)</w:t>
            </w:r>
          </w:p>
        </w:tc>
        <w:tc>
          <w:tcPr>
            <w:tcW w:w="0" w:type="dxa"/>
            <w:vAlign w:val="bottom"/>
          </w:tcPr>
          <w:p>
            <w:pPr>
              <w:spacing w:after="0"/>
              <w:rPr>
                <w:sz w:val="1"/>
                <w:szCs w:val="1"/>
                <w:color w:val="auto"/>
              </w:rPr>
            </w:pPr>
          </w:p>
        </w:tc>
      </w:tr>
      <w:tr>
        <w:trPr>
          <w:trHeight w:val="200"/>
        </w:trPr>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as of December 31, 2023</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13,873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39,432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63,395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66,018</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3"/>
                <w:szCs w:val="13"/>
                <w:color w:val="auto"/>
              </w:rPr>
              <w:t>Issuance of preferred stock</w:t>
            </w: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00" w:type="dxa"/>
            <w:vAlign w:val="bottom"/>
            <w:tcBorders>
              <w:top w:val="single" w:sz="8" w:color="CCEEFF"/>
            </w:tcBorders>
            <w:vMerge w:val="continue"/>
          </w:tcPr>
          <w:p>
            <w:pPr>
              <w:spacing w:after="0"/>
              <w:rPr>
                <w:sz w:val="12"/>
                <w:szCs w:val="12"/>
                <w:color w:val="auto"/>
              </w:rPr>
            </w:pPr>
          </w:p>
        </w:tc>
        <w:tc>
          <w:tcPr>
            <w:tcW w:w="62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5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2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2,000</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5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136"/>
        </w:trPr>
        <w:tc>
          <w:tcPr>
            <w:tcW w:w="200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Issuance of common stock, net of</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issuance costs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0" w:type="dxa"/>
            <w:vAlign w:val="bottom"/>
          </w:tcPr>
          <w:p>
            <w:pPr>
              <w:spacing w:after="0"/>
              <w:rPr>
                <w:sz w:val="1"/>
                <w:szCs w:val="1"/>
                <w:color w:val="auto"/>
              </w:rPr>
            </w:pPr>
          </w:p>
        </w:tc>
      </w:tr>
      <w:tr>
        <w:trPr>
          <w:trHeight w:val="170"/>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7"/>
              </w:rPr>
              <w:t>Equity based compensation expense</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2,377</w:t>
            </w:r>
          </w:p>
        </w:tc>
        <w:tc>
          <w:tcPr>
            <w:tcW w:w="0" w:type="dxa"/>
            <w:vAlign w:val="bottom"/>
          </w:tcPr>
          <w:p>
            <w:pPr>
              <w:spacing w:after="0"/>
              <w:rPr>
                <w:sz w:val="1"/>
                <w:szCs w:val="1"/>
                <w:color w:val="auto"/>
              </w:rPr>
            </w:pPr>
          </w:p>
        </w:tc>
      </w:tr>
      <w:tr>
        <w:trPr>
          <w:trHeight w:val="136"/>
        </w:trPr>
        <w:tc>
          <w:tcPr>
            <w:tcW w:w="200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Contributions from noncontrolling</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interest holders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16,635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16,635</w:t>
            </w:r>
          </w:p>
        </w:tc>
        <w:tc>
          <w:tcPr>
            <w:tcW w:w="0" w:type="dxa"/>
            <w:vAlign w:val="bottom"/>
          </w:tcPr>
          <w:p>
            <w:pPr>
              <w:spacing w:after="0"/>
              <w:rPr>
                <w:sz w:val="1"/>
                <w:szCs w:val="1"/>
                <w:color w:val="auto"/>
              </w:rPr>
            </w:pPr>
          </w:p>
        </w:tc>
      </w:tr>
      <w:tr>
        <w:trPr>
          <w:trHeight w:val="130"/>
        </w:trPr>
        <w:tc>
          <w:tcPr>
            <w:tcW w:w="200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Redemptions of noncontrolling</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interest holders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(2,051)</w:t>
            </w:r>
          </w:p>
        </w:tc>
        <w:tc>
          <w:tcPr>
            <w:tcW w:w="0" w:type="dxa"/>
            <w:vAlign w:val="bottom"/>
          </w:tcPr>
          <w:p>
            <w:pPr>
              <w:spacing w:after="0"/>
              <w:rPr>
                <w:sz w:val="1"/>
                <w:szCs w:val="1"/>
                <w:color w:val="auto"/>
              </w:rPr>
            </w:pPr>
          </w:p>
        </w:tc>
      </w:tr>
      <w:tr>
        <w:trPr>
          <w:trHeight w:val="138"/>
        </w:trPr>
        <w:tc>
          <w:tcPr>
            <w:tcW w:w="2000" w:type="dxa"/>
            <w:vAlign w:val="bottom"/>
            <w:shd w:val="clear" w:color="auto" w:fill="CCEEFF"/>
          </w:tcPr>
          <w:p>
            <w:pPr>
              <w:ind w:left="140"/>
              <w:spacing w:after="0" w:line="138" w:lineRule="exact"/>
              <w:rPr>
                <w:sz w:val="20"/>
                <w:szCs w:val="20"/>
                <w:color w:val="auto"/>
              </w:rPr>
            </w:pPr>
            <w:r>
              <w:rPr>
                <w:rFonts w:ascii="Times New Roman" w:cs="Times New Roman" w:eastAsia="Times New Roman" w:hAnsi="Times New Roman"/>
                <w:sz w:val="13"/>
                <w:szCs w:val="13"/>
                <w:color w:val="auto"/>
              </w:rPr>
              <w:t>Distributions to noncontrolling</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interest holders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(6,110)</w:t>
            </w:r>
          </w:p>
        </w:tc>
        <w:tc>
          <w:tcPr>
            <w:tcW w:w="0" w:type="dxa"/>
            <w:vAlign w:val="bottom"/>
          </w:tcPr>
          <w:p>
            <w:pPr>
              <w:spacing w:after="0"/>
              <w:rPr>
                <w:sz w:val="1"/>
                <w:szCs w:val="1"/>
                <w:color w:val="auto"/>
              </w:rPr>
            </w:pPr>
          </w:p>
        </w:tc>
      </w:tr>
      <w:tr>
        <w:trPr>
          <w:trHeight w:val="170"/>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Deconsolidation of VIEs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(46,334)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(46,334)</w:t>
            </w: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(19,777)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(21,470)</w:t>
            </w:r>
          </w:p>
        </w:tc>
        <w:tc>
          <w:tcPr>
            <w:tcW w:w="0" w:type="dxa"/>
            <w:vAlign w:val="bottom"/>
          </w:tcPr>
          <w:p>
            <w:pPr>
              <w:spacing w:after="0"/>
              <w:rPr>
                <w:sz w:val="1"/>
                <w:szCs w:val="1"/>
                <w:color w:val="auto"/>
              </w:rPr>
            </w:pPr>
          </w:p>
        </w:tc>
      </w:tr>
      <w:tr>
        <w:trPr>
          <w:trHeight w:val="169"/>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Balances as of December 31, 2024</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15,178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7,416</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43,996</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(56,607)</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23,842</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11,253</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31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40" w:type="dxa"/>
            <w:vAlign w:val="bottom"/>
          </w:tcPr>
          <w:p>
            <w:pPr>
              <w:spacing w:after="0"/>
              <w:rPr>
                <w:sz w:val="19"/>
                <w:szCs w:val="19"/>
                <w:color w:val="auto"/>
              </w:rPr>
            </w:pP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from operating activities: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lease expense and gain on lease extinguishment</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performance allocations</w:t>
            </w:r>
          </w:p>
        </w:tc>
        <w:tc>
          <w:tcPr>
            <w:tcW w:w="11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interest income</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disposal of furniture, fixtures and equipment</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investments in unconconsolidated entities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above-market/below market leases and straight-line rent, net</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Bad debt expense</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right-of-use assets and other assets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Due to related parties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liabilities and other liabilities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from operating activities of consolidated funds:</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lease expense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(gain) on the disposition of real estate</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1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loss on disposal of furniture, fixtures and equipment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advanced key money</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above-market/below market leases and straight-line rent, net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Bad debt expense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 of consolidated funds: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right-of use assets and other assets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Due to related parties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Lease liabilities and other liabilities</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7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the Company's operating activities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(18,720)</w:t>
            </w:r>
          </w:p>
        </w:tc>
        <w:tc>
          <w:tcPr>
            <w:tcW w:w="20" w:type="dxa"/>
            <w:vAlign w:val="bottom"/>
          </w:tcPr>
          <w:p>
            <w:pPr>
              <w:spacing w:after="0"/>
              <w:rPr>
                <w:sz w:val="19"/>
                <w:szCs w:val="19"/>
                <w:color w:val="auto"/>
              </w:rPr>
            </w:pPr>
          </w:p>
        </w:tc>
      </w:tr>
      <w:tr>
        <w:trPr>
          <w:trHeight w:val="738"/>
        </w:trPr>
        <w:tc>
          <w:tcPr>
            <w:tcW w:w="20" w:type="dxa"/>
            <w:vAlign w:val="bottom"/>
          </w:tcPr>
          <w:p>
            <w:pPr>
              <w:spacing w:after="0"/>
              <w:rPr>
                <w:sz w:val="24"/>
                <w:szCs w:val="24"/>
                <w:color w:val="auto"/>
              </w:rPr>
            </w:pPr>
          </w:p>
        </w:tc>
        <w:tc>
          <w:tcPr>
            <w:tcW w:w="742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F-7</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4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1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in real estate assets</w:t>
            </w:r>
          </w:p>
        </w:tc>
        <w:tc>
          <w:tcPr>
            <w:tcW w:w="2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of real estate assets</w:t>
            </w:r>
          </w:p>
        </w:tc>
        <w:tc>
          <w:tcPr>
            <w:tcW w:w="2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the sale of real estate assets</w:t>
            </w:r>
          </w:p>
        </w:tc>
        <w:tc>
          <w:tcPr>
            <w:tcW w:w="2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96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Funding of notes receivable - related parties</w:t>
            </w:r>
          </w:p>
        </w:tc>
        <w:tc>
          <w:tcPr>
            <w:tcW w:w="2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received on notes receivable - related parties</w:t>
            </w:r>
          </w:p>
        </w:tc>
        <w:tc>
          <w:tcPr>
            <w:tcW w:w="2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 of consolidated funds</w:t>
            </w:r>
          </w:p>
        </w:tc>
        <w:tc>
          <w:tcPr>
            <w:tcW w:w="2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Consolidation of VIEs</w:t>
            </w:r>
          </w:p>
        </w:tc>
        <w:tc>
          <w:tcPr>
            <w:tcW w:w="334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Deconsolidation of VIEs</w:t>
            </w:r>
          </w:p>
        </w:tc>
        <w:tc>
          <w:tcPr>
            <w:tcW w:w="2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(17,293)</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real estate assets</w:t>
            </w:r>
          </w:p>
        </w:tc>
        <w:tc>
          <w:tcPr>
            <w:tcW w:w="2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real estate assets</w:t>
            </w:r>
          </w:p>
        </w:tc>
        <w:tc>
          <w:tcPr>
            <w:tcW w:w="2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96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the sale of real estate assets</w:t>
            </w:r>
          </w:p>
        </w:tc>
        <w:tc>
          <w:tcPr>
            <w:tcW w:w="2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Funding of notes receivable - related parties</w:t>
            </w:r>
          </w:p>
        </w:tc>
        <w:tc>
          <w:tcPr>
            <w:tcW w:w="2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(21,161)</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received on notes receivable - related parties</w:t>
            </w:r>
          </w:p>
        </w:tc>
        <w:tc>
          <w:tcPr>
            <w:tcW w:w="22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16,771</w:t>
            </w:r>
          </w:p>
        </w:tc>
        <w:tc>
          <w:tcPr>
            <w:tcW w:w="1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cash used in the Company's investing activities</w:t>
            </w:r>
          </w:p>
        </w:tc>
        <w:tc>
          <w:tcPr>
            <w:tcW w:w="22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(19,629)</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2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2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2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2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notes payable - related parties</w:t>
            </w:r>
          </w:p>
        </w:tc>
        <w:tc>
          <w:tcPr>
            <w:tcW w:w="2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96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Repayments of notes payable - related parties</w:t>
            </w:r>
          </w:p>
        </w:tc>
        <w:tc>
          <w:tcPr>
            <w:tcW w:w="2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loan extinguishment fees</w:t>
            </w:r>
          </w:p>
        </w:tc>
        <w:tc>
          <w:tcPr>
            <w:tcW w:w="2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the issuance of preferred stock</w:t>
            </w:r>
          </w:p>
        </w:tc>
        <w:tc>
          <w:tcPr>
            <w:tcW w:w="2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the issuance of common stock, net of issuance costs</w:t>
            </w:r>
          </w:p>
        </w:tc>
        <w:tc>
          <w:tcPr>
            <w:tcW w:w="2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of treasury stock - buyback obligation</w:t>
            </w:r>
          </w:p>
        </w:tc>
        <w:tc>
          <w:tcPr>
            <w:tcW w:w="2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 of consolidated funds</w:t>
            </w:r>
          </w:p>
        </w:tc>
        <w:tc>
          <w:tcPr>
            <w:tcW w:w="2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2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2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16,586</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2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notes payable - related parties</w:t>
            </w:r>
          </w:p>
        </w:tc>
        <w:tc>
          <w:tcPr>
            <w:tcW w:w="2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Repayments of notes payable - related parties</w:t>
            </w:r>
          </w:p>
        </w:tc>
        <w:tc>
          <w:tcPr>
            <w:tcW w:w="2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Contributions from noncontrolling interest holders</w:t>
            </w:r>
          </w:p>
        </w:tc>
        <w:tc>
          <w:tcPr>
            <w:tcW w:w="2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16,635</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Redemptions of noncontrolling interests</w:t>
            </w:r>
          </w:p>
        </w:tc>
        <w:tc>
          <w:tcPr>
            <w:tcW w:w="2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Distributions to noncontrolling interest holders</w:t>
            </w:r>
          </w:p>
        </w:tc>
        <w:tc>
          <w:tcPr>
            <w:tcW w:w="22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the Company's financing activities</w:t>
            </w:r>
          </w:p>
        </w:tc>
        <w:tc>
          <w:tcPr>
            <w:tcW w:w="22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1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25,790</w:t>
            </w:r>
          </w:p>
        </w:tc>
        <w:tc>
          <w:tcPr>
            <w:tcW w:w="20" w:type="dxa"/>
            <w:vAlign w:val="bottom"/>
          </w:tcPr>
          <w:p>
            <w:pPr>
              <w:spacing w:after="0"/>
              <w:rPr>
                <w:sz w:val="19"/>
                <w:szCs w:val="19"/>
                <w:color w:val="auto"/>
              </w:rPr>
            </w:pPr>
          </w:p>
        </w:tc>
      </w:tr>
      <w:tr>
        <w:trPr>
          <w:trHeight w:val="736"/>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340" w:type="dxa"/>
            <w:vAlign w:val="bottom"/>
            <w:gridSpan w:val="2"/>
          </w:tcPr>
          <w:p>
            <w:pPr>
              <w:jc w:val="right"/>
              <w:ind w:right="2750"/>
              <w:spacing w:after="0"/>
              <w:rPr>
                <w:sz w:val="20"/>
                <w:szCs w:val="20"/>
                <w:color w:val="auto"/>
              </w:rPr>
            </w:pPr>
            <w:r>
              <w:rPr>
                <w:rFonts w:ascii="Times New Roman" w:cs="Times New Roman" w:eastAsia="Times New Roman" w:hAnsi="Times New Roman"/>
                <w:sz w:val="18"/>
                <w:szCs w:val="18"/>
                <w:color w:val="auto"/>
              </w:rPr>
              <w:t>F-8</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40" w:type="dxa"/>
            <w:vAlign w:val="bottom"/>
            <w:tcBorders>
              <w:bottom w:val="single" w:sz="8" w:color="auto"/>
            </w:tcBorders>
          </w:tcPr>
          <w:p>
            <w:pPr>
              <w:spacing w:after="0"/>
              <w:rPr>
                <w:sz w:val="20"/>
                <w:szCs w:val="20"/>
                <w:color w:val="auto"/>
              </w:rPr>
            </w:pPr>
          </w:p>
        </w:tc>
      </w:tr>
      <w:tr>
        <w:trPr>
          <w:trHeight w:val="223"/>
        </w:trPr>
        <w:tc>
          <w:tcPr>
            <w:tcW w:w="74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r>
      <w:tr>
        <w:trPr>
          <w:trHeight w:val="237"/>
        </w:trPr>
        <w:tc>
          <w:tcPr>
            <w:tcW w:w="7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Restricted Cash</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229"/>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 at Beginning of Period</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17,640</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15,934</w:t>
            </w: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 at End of Period</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and Restricted Cash</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40" w:type="dxa"/>
            <w:vAlign w:val="bottom"/>
          </w:tcPr>
          <w:p>
            <w:pPr>
              <w:spacing w:after="0"/>
              <w:rPr>
                <w:sz w:val="19"/>
                <w:szCs w:val="19"/>
                <w:color w:val="auto"/>
              </w:rPr>
            </w:pP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w:t>
            </w:r>
          </w:p>
        </w:tc>
      </w:tr>
      <w:tr>
        <w:trPr>
          <w:trHeight w:val="229"/>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 at beginning of period</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13,835</w:t>
            </w:r>
          </w:p>
        </w:tc>
        <w:tc>
          <w:tcPr>
            <w:tcW w:w="14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r>
      <w:tr>
        <w:trPr>
          <w:trHeight w:val="223"/>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17,640</w:t>
            </w:r>
          </w:p>
        </w:tc>
        <w:tc>
          <w:tcPr>
            <w:tcW w:w="14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15,934</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3"/>
        </w:trPr>
        <w:tc>
          <w:tcPr>
            <w:tcW w:w="7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at end of period</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40" w:type="dxa"/>
            <w:vAlign w:val="bottom"/>
          </w:tcPr>
          <w:p>
            <w:pPr>
              <w:spacing w:after="0"/>
              <w:rPr>
                <w:sz w:val="19"/>
                <w:szCs w:val="19"/>
                <w:color w:val="auto"/>
              </w:rPr>
            </w:pP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r>
      <w:tr>
        <w:trPr>
          <w:trHeight w:val="230"/>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 at end of period</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4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13,835</w:t>
            </w:r>
          </w:p>
        </w:tc>
      </w:tr>
      <w:tr>
        <w:trPr>
          <w:trHeight w:val="223"/>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4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17,640</w:t>
            </w:r>
          </w:p>
        </w:tc>
      </w:tr>
      <w:tr>
        <w:trPr>
          <w:trHeight w:val="21"/>
        </w:trPr>
        <w:tc>
          <w:tcPr>
            <w:tcW w:w="7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Liquidity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CaliberCos Inc., a Delaware corporation, and its wholly-owned subsidiaries (the “Company”) is an alternative asset manager of private syndication and direct investment real estate funds and provider of a full suite of traditional real estate services. The Company was formed in November 2014, and originally began as Caliber Companies, LLC, an Arizona limited liability company, which commenced operations in January 2009. The Company provides various support services, under its asset management platform segment (“Platform”) to the investments it manages, including asset management services, fund set-up services, lending support, construction and development management, and real estate brokerage. As of December 31, 2024, the Company had operations in Alaska, Arizona, Colorado, Kansas, Texas, and Virginia.</w:t>
      </w:r>
    </w:p>
    <w:p>
      <w:pPr>
        <w:spacing w:after="0" w:line="14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general, the Company’s private equity real estate funds are organized as operating partnerships, in which multiple unrelated passive investors own partnership interests. In addition, the Company is designated as the manager and/or general partner of the partnership. Depending on the legal structure and arrangements between the Company and the funds, the Company may or may not consolidate the partnerships for financial reporting purposes. For funds in which the Company is determined to be the controlling party or primary beneficiary for financial reporting purposes, the fund is consolidated, and the passive investors’ ownership is presented as noncontrolling interest in the accompanying consolidated financial statements (“Consolidated Funds”, and collectively with the Company, the “Consolidated Company”, “Caliber”, “we”, “our”, and “us”). For funds in which the Company is not determined to be the controlling party for financial reporting purposes, the fund is not consolidated, and any fees earned from the fund are included in fund management revenue in the accompanying consolidated financial statements. See Note 2 – Summary of Significant Accounting Policies for more detail.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generally accepted accounting principles applicable to a going concern, which contemplates the realization of assets and the satisfaction of liabilities in the normal course of business.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2024, the Company had a portfolio of corporate notes, whose composition and characteristics are similar to those reported in prior periods. At December 31, 2024, the portfolio consisted of 202 unsecured notes with an aggregate principal balance of $32.8 million. As of March 31, 2025, $26.6 million of the corporate notes have matured or will mature within the 12-month period subsequent to March 31, 2025. Each note generally has a 12-month period with an option to extend for an additional 12-months.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the Company incurred operating losses and negative cash flow from operations and could experience additional future operating losses and negative cash flow in the near term, combined with the fact that the Company does not have sufficient cash on hand to satisfy the total of the notes that mature within the next 12 months, these conditions and events raise substantial doubt about the Company’s ability to continue as a going concern.</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response to these conditions, management considered the impact of these near-term maturities on the Company.</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Management evaluated the impact a default of one or many of these notes might have on the Company. As these notes are unsecured, the terms in the agreements do not afford the note holder avenues of recourse in a default that could or would impact the Company adversely in the normal course of business, as the terms lack provisions for rights or claims against the Company’s assets, nor is there a scenario where a default could force liquidation of the Company. Management believes that even in the event of default of one or many of these notes, the Company would be able to negotiate a waiver of the default either through an extension of the maturity or principal repayment schedule.</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satisfy the maturity of these corporate notes, the Company intends to raise $20 million of preferred stock series AA financing through its Reg A+ offering, which was qualified on March 12, 2024, and refinance existing 12-month term notes into a new 36-month term corporate note program. From the balance sheet date through March 31, 2025, the Company has successfully refinanced $2.7 million of 12-month term corporate notes into the 36-month term corporate note program.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financing actions noted, management continues to execute various plans implemented in the year to address operating losses and near-term maturities or demands for repayment of its notes. Consistent with reported actions taken in prior fiscal periods, management plans to continue to</w:t>
      </w:r>
    </w:p>
    <w:p>
      <w:pPr>
        <w:jc w:val="both"/>
        <w:ind w:firstLine="8"/>
        <w:spacing w:after="0" w:line="255" w:lineRule="auto"/>
        <w:tabs>
          <w:tab w:leader="none" w:pos="16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operating costs, ii) collect all or part of its $7.7 million in receivables, iii) collect all or part of its $16.1 million in investments from its managed funds, iv) increase capital raise through continued expansion of fundraising channels, v) sell or accept investment into its corporate headquarters, vi) place debt on unencumbered assets, and/or vii) generate planned cash from operations.</w:t>
      </w:r>
    </w:p>
    <w:p>
      <w:pPr>
        <w:spacing w:after="0" w:line="21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After consideration of the implemented and planned actions, management concluded these plans are not within the Company’s control and therefore cannot be deemed probable. As a result, the Company has concluded that management’s plans do not alleviate substantial doubt about the Company’s ability to continue as a going concern.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on the accrual basis of accounting in accordance with generally accepted accounting principles in the United States of America (“U.S. GAAP”). The accompanying consolidated financial statements include our accounts, our consolidated subsidiaries, and legal entities in which the Company is deemed to have a direct or indirect controlling financial interest based on either a variable interest model or voting interest model. The equity and net income or loss attributable to noncontrolling interests in subsidiaries is shown separately in the accompanying consolidated balance sheets, statements of operations, and statements of changes in stockholders’ equity. All intercompany balances and transactions have been eliminated in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determines if an entity is a variable interest entity (“VIE”) based on several factors, including whether the equity holders, as a group, lack the characteristics of a controlling financial interest. The Company analyzes any investments in VIEs to determine if the Company is the primary beneficiary. A reporting entity is determined to be the primary beneficiary if it holds a controlling financial interest in a VIE.</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Determining which reporting entity, if any, has a controlling financial interest in a VIE is primarily a qualitative analysis focused on identifying which reporting entity has both (i) the power to direct the activities of the entity that most significantly impact the entity’s economic performance and (ii) the obligation to absorb losses or the right to receive benefits from such entity that could potentially be significant to such entity. Performance of that analysis requires the exercise of judgment. The Company consolidates any VIEs for which the Company is the primary beneficiary and the Company discloses its maximum exposure to loss related to the consolidated VIEs. See Note 3 – VIEs for more detail.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Voting Interest Entities</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Entities that do not qualify as VIEs are generally assessed for consolidation as voting interest entities (“VOEs”). For VOEs, the Company consolidates an entity if it has a controlling financial interest. The Company has a controlling financial interest in a VOE if (i) for legal entities other than partnerships, the Company owns a majority voting interest in the entity or, for limited partnerships and similar entities, the Company owns a majority of the entity’s kick-out rights through voting limited partnership interests and (ii) non-controlling shareholders or partners do not hold substantive participating rights, and no other conditions exist that would indicate that the Company does not control the entity.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Accounting Estimates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significantly from those estimates.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0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Cash includes cash in bank accounts. The Company deposits cash with several high-quality financial institutions. These deposits are guaranteed by the Federal Deposit Insurance Company (“FDIC”) up to an insurance limit of $250,000. At times, the Company’s cash balances may exceed FDIC limits. Although the Company bears risk on amounts in excess of those insured by the FDIC, it has not experienced and does not anticipate any losses due to the high quality of the institutions where the deposits are held.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Restricted cash consists of held in escrow accounts by contractual agreement with lenders as part of financial loan covenant requirements.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Entities</w:t>
      </w:r>
    </w:p>
    <w:p>
      <w:pPr>
        <w:spacing w:after="0" w:line="18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If an entity is not a VIE, our determination of the appropriate accounting method with respect to our investments in limited liability companies and other investments is based on voting control. For our managing member interests in limited liability companies, we are presumed to control (and therefore consolidate) the entity, unless the other limited partners have substantive rights that overcome this presumption of control. These substantive rights allow the limited partners to remove the general partner with or without cause or to participate in significant decisions made in the ordinary course of the entity’s business. We account for our non-controlling investments in these entities under the equity method. Our investments in unconsolidated subsidiaries in which we have the ability to exercise significant influence over operating and financial policies, but do not control, or entities which are VIE in which we are not the primary beneficiary are accounted for under the equity method. The equity method of accounting requires the investment to be initially recorded at cost and subsequently adjusted for the Company’s share of equity in the equity method investment’s earnings and distributions. Our share of the earnings or loss from equity method investments is included in other income, net on the accompanying consolidated statements of operations. We evaluate our investments in unconsolidated entities for impairment when events and circumstances indicate that the fair value of the entities might be less than the carrying value.</w:t>
      </w:r>
    </w:p>
    <w:p>
      <w:pPr>
        <w:spacing w:after="0" w:line="1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determination of the appropriate accounting treatment for an investment in a subsidiary requires judgment of several factors including the size and nature of our ownership interest and the other owners’ substantive rights to make decisions for the entity. If we were to make different judgments or conclusions as to the level of our control or influence, it could result in a different accounting treatment. Consolidating an investment generally would have no impact on our net income or stockholders’ deficit attributable to CaliberCos Inc. in any accounting period, but a different treatment would impact individual income statement and balance sheet line items, as consolidation would effectively “gross up” our statement of operations and balance sheet.</w:t>
      </w:r>
    </w:p>
    <w:p>
      <w:pPr>
        <w:spacing w:after="0" w:line="1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2024 and 2023, the carrying amount of our investments in unconsolidated entities was $15.6 million, net of an impairment charge of $4.0 million, and $3.3 million, respectively. During the year ended December 31, 2024, the Company deconsolidated the Caliber Hospitality Trust, Inc. (the “Caliber Hospitality Trust”) and Caliber Hospitality, LP, which included activity from six hospitality funds, Elliot &amp; 51st St LLC (“Elliot”), DT Mesa Holdco II, LLC (“DT Mesa”), and Caliber Fixed Income Fund III (“CFIF III”). At which time, the Company’s investment in the Caliber Hospitality Trust, Caliber Hospitality, LP, Elliot, DT Mesa, and CFIF III, were no longer eliminated and are included in investments in unconsolidated entities in the accompanying consolidated balance sheets as of December 31, 2024. See Note 3 – VIEs</w:t>
      </w:r>
      <w:r>
        <w:rPr>
          <w:rFonts w:ascii="Times New Roman" w:cs="Times New Roman" w:eastAsia="Times New Roman" w:hAnsi="Times New Roman"/>
          <w:sz w:val="18"/>
          <w:szCs w:val="18"/>
          <w:b w:val="1"/>
          <w:bCs w:val="1"/>
          <w:color w:val="auto"/>
        </w:rPr>
        <w:t>.</w:t>
      </w:r>
    </w:p>
    <w:p>
      <w:pPr>
        <w:spacing w:after="0" w:line="14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certain situations, the Company has invested only a nominal amount of cash, or no cash at all, into a venture. As the manager of the venture, we are entitled to 15.0% – 35.0% of the residual cash flow produced by the venture after the payment of any priority returns. Under the equity method, impairment losses are recognized upon evidence of other-than-temporary losses of value. For the years ended December 31, 2024 and 2023, the Company had no impairment losses related to its investments in unconsolidated entities.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Depreciation expense includes costs and costs associated with building and building improvements, which are depreciated over the estimated useful life of the respective asset, generally 15 to 40 years. Depreciation expense also includes costs associated with the purchase of furniture and equipment and office leasehold improvements which are recorded at cost. Furniture and equipment costs are depreciated using the straight-line method over the estimated useful life of the asset, generally three to seven years beginning in the first full month the asset is placed in service. Intangible lease assets are amortized using the straight-line method over the shorter of the respective estimated useful life or the lease term.</w:t>
      </w:r>
    </w:p>
    <w:p>
      <w:pPr>
        <w:spacing w:after="0" w:line="143" w:lineRule="exact"/>
        <w:rPr>
          <w:sz w:val="20"/>
          <w:szCs w:val="20"/>
          <w:color w:val="auto"/>
        </w:rPr>
      </w:pPr>
    </w:p>
    <w:p>
      <w:pPr>
        <w:ind w:right="980" w:firstLine="324"/>
        <w:spacing w:after="0" w:line="461" w:lineRule="auto"/>
        <w:rPr>
          <w:sz w:val="20"/>
          <w:szCs w:val="20"/>
          <w:color w:val="auto"/>
        </w:rPr>
      </w:pPr>
      <w:r>
        <w:rPr>
          <w:rFonts w:ascii="Times New Roman" w:cs="Times New Roman" w:eastAsia="Times New Roman" w:hAnsi="Times New Roman"/>
          <w:sz w:val="18"/>
          <w:szCs w:val="18"/>
          <w:color w:val="auto"/>
        </w:rPr>
        <w:t xml:space="preserve">For the years ended December 31, 2024 and 2023, depreciation expense for the Company was $0.6 million and $0.5 million, respectively. </w:t>
      </w:r>
      <w:r>
        <w:rPr>
          <w:rFonts w:ascii="Times New Roman" w:cs="Times New Roman" w:eastAsia="Times New Roman" w:hAnsi="Times New Roman"/>
          <w:sz w:val="18"/>
          <w:szCs w:val="18"/>
          <w:b w:val="1"/>
          <w:bCs w:val="1"/>
          <w:i w:val="1"/>
          <w:iCs w:val="1"/>
          <w:color w:val="auto"/>
        </w:rPr>
        <w:t>Impairment of Long-Lived Assets</w:t>
      </w:r>
    </w:p>
    <w:p>
      <w:pPr>
        <w:spacing w:after="0" w:line="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Real estate and other long-lived assets to be held and used are stated at cost, less accumulated depreciation and amortization, unless the carrying amount of the asset is determined not to be recoverable. If events or circumstances indicate that the carrying amount of a long-lived asset may not be recoverable, we make an assessment of its recoverability by comparing the carrying amount to our estimate of the undiscounted net future cash flows resulting from the use of the asset, excluding interest charges. If the carrying amount exceeds the aggregate undiscounted future cash flows, we recognize an impairment loss to the extent the carrying amount exceeds the estimated fair value of the asset.</w:t>
      </w:r>
    </w:p>
    <w:p>
      <w:pPr>
        <w:spacing w:after="0" w:line="143" w:lineRule="exact"/>
        <w:rPr>
          <w:sz w:val="20"/>
          <w:szCs w:val="20"/>
          <w:color w:val="auto"/>
        </w:rPr>
      </w:pPr>
    </w:p>
    <w:p>
      <w:pPr>
        <w:ind w:right="680" w:firstLine="324"/>
        <w:spacing w:after="0" w:line="461" w:lineRule="auto"/>
        <w:rPr>
          <w:sz w:val="20"/>
          <w:szCs w:val="20"/>
          <w:color w:val="auto"/>
        </w:rPr>
      </w:pPr>
      <w:r>
        <w:rPr>
          <w:rFonts w:ascii="Times New Roman" w:cs="Times New Roman" w:eastAsia="Times New Roman" w:hAnsi="Times New Roman"/>
          <w:sz w:val="18"/>
          <w:szCs w:val="18"/>
          <w:color w:val="auto"/>
        </w:rPr>
        <w:t xml:space="preserve">For the years ended December 31, 2024 and 2023, the Company had no impairment losses related to its real estate and other long-lived assets. </w:t>
      </w:r>
      <w:r>
        <w:rPr>
          <w:rFonts w:ascii="Times New Roman" w:cs="Times New Roman" w:eastAsia="Times New Roman" w:hAnsi="Times New Roman"/>
          <w:sz w:val="18"/>
          <w:szCs w:val="18"/>
          <w:b w:val="1"/>
          <w:bCs w:val="1"/>
          <w:i w:val="1"/>
          <w:iCs w:val="1"/>
          <w:color w:val="auto"/>
        </w:rPr>
        <w:t>Concentration of Credit Risk</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revenues are generated from the activities completed through its Platform, including the management, ownership and/or operations of real estate assets located in Alaska, Arizona, Colorado, Kansas, Texas, and Virginia. The Company mitigates the associated risk by:</w:t>
      </w:r>
    </w:p>
    <w:p>
      <w:pPr>
        <w:spacing w:after="0" w:line="121" w:lineRule="exact"/>
        <w:rPr>
          <w:sz w:val="20"/>
          <w:szCs w:val="20"/>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multiple asset types, including hospitality, commercial, single-family, multi-family, and self-storage properties;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multiple geographic locations including different markets and sub-markets in which our real estate assets are located;</w:t>
      </w:r>
    </w:p>
    <w:p>
      <w:pPr>
        <w:spacing w:after="0" w:line="13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assets at differing points of stabilization, and in varying states of cash flow optimization;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financing relationships with a diversified mix of lenders (differing size and type), including large national banks, local community banks, private equity lenders, and insurance companies.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 in Consolidated Real Estate Partnerships</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report the unaffiliated partners’ interests in the net assets of our consolidated real estate partnerships as noncontrolling interests within the accompanying consolidated statements of changes in stockholders’ equity. Noncontrolling interests consist of equity interests held by limited partners in consolidated real estate partnerships. We attribute to noncontrolling interests their share of income or loss of the consolidated partnerships based on their proportionate interest in the results of operations of the partnerships, including their share of losses even if such attribution results in a deficit noncontrolling interest balance within our equity and partners’ capital accounts.</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terms of the partnership agreements generally require the partnerships to be liquidated following the sale of the underlying real estate assets. As the general partner in these partnerships, we ordinarily control the execution of real estate sales and other events that could lead to the liquidation, redemption or other settlement of noncontrolling interests. The terms of certain partnership agreements outline differing classes of equity ownership, some of which are redeemable by the partnership at the partnership manager’s discretion.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w:t>
      </w:r>
    </w:p>
    <w:p>
      <w:pPr>
        <w:spacing w:after="0" w:line="14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spacing w:after="0" w:line="14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performance obligations satisfied over time, significant judgment is required to determine how to allocate transaction prices;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its anticipated performance and all information that is reasonably available to the Company. Revenues are recognized when control of the promised services is transferred to customers in an amount that reflects the consideration the Company expects to be entitled to in exchange for those services.</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describes revenue recognition for the fees the Company earns from providing services under its asset management platform:</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consolidated statements of operations. Fund set-up fees replaced fund formation fees that are earned at a point in time at a fixed rate based on the amount of capital raised into certain managed funds.</w:t>
      </w:r>
    </w:p>
    <w:p>
      <w:pPr>
        <w:spacing w:after="0" w:line="1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the Company earns a fund management fee of 0.7% of the Caliber Hospitality Trust’s enterprise value and is reimbursed for certain costs incurred on behalf of the Caliber Hospitality Trust. These revenues are included in asset management revenues in the accompanying consolidated statements of operations.</w:t>
      </w:r>
    </w:p>
    <w:p>
      <w:pPr>
        <w:spacing w:after="0" w:line="1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guaranteeing certain loans, representing a performance obligation that the Company satisfies over time. These revenues are included in asset management revenues in the accompanying consolidated statements of operations.</w:t>
      </w:r>
    </w:p>
    <w:p>
      <w:pPr>
        <w:spacing w:after="0" w:line="13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 These revenues are included in asset management revenues in the accompanying consolidated statements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Brokerage fees are earned at a point in time at fixed rates for services performed related to acquisitions, dispositions, leasing, and financing transaction, and are included in asset management revenues in the accompanying consolidated statements of operations.</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consolidated statements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Lessor</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third-party, the Company classifies the lease as a direct financing lease. All other leases are classified as operating leases. The Company did not have any sales-type or direct financing leases as of December 31, 2024 and 2023. For operating leases with minimum scheduled rent increases, the consolidated 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spacing w:after="0" w:line="15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identified two separate lease components as follows: i) land lease component, and ii) single property lease component comprised of building, land improvements and tenant improvements. The Company’s leases also contain provisions for tenants to reimburse the consolidated funds for maintenance and other property operating expenses, which are considered to be non-lease components. The Company elected the practical expedient to combine lease and non-lease components and the non-lease components will be included with the single property lease component as the predominant component.</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Lessee</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account for leases for which the Company is the lessee, contracts must be analyzed upon inception to determine if the arrangement is, or contains, a lease. A lease conveys the right to control the use of an identified asset for a period of time in exchange for consideration. Lease classification tests and measurement procedures are performed at the lease commencement date.</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lease liability is initially measured as the present value of the lease payments over the lease term, discounted using the interest rate implicit in the lease, if that rate is readily determinable; otherwise, the lessee’s incremental borrowing rate is used. The incremental borrowing rate is determined based on the estimated rate of interest that the lessee would pay to borrow on a collateralized basis over a similar term at an amount equal to the lease payments in a similar economic environment. The lease term is the noncancelable period of the lease and includes any renewal and termination options the Company is reasonably certain to exercise. The lease liability balance is amortized using the effective interest method. The lease liability is remeasured when the contract is modified, upon the resolution of a contingency such that variable payments become fixed or if the assessment of exercising an extension, termination or purchase option changes.</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right-of-use (“ROU”) asset balance is initially measured as the lease liability amount, adjusted for any lease payments made prior to the commencement date, initial direct costs, estimated costs to dismantle, remove, or restore the underlying asset and incentives received.</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impairment assessment for ROU assets is consistent with the impairment analysis for the Company's other long-lived assets and is reviewed quarterly.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Accounts receivable primarily consists of reimbursable expenses from third-party development projects. The Company continually reviews receivables and determines collectability by taking into consideration the history of past write-offs, collections, current credit conditions, payment history, and the financial condition of the related third-party service providers. In the event that the collectability of a receivable is uncertain, the Company will record an increase in the allowance for doubtful accounts. Amounts that are determined to be uncollectible with a high degree of certainty are written-off through bad debt expense, which is included in operating costs on the accompanying consolidated statements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Basic earnings per share attributable to common stockholders is computed by dividing net income (loss) attributable to the Company by the weighted average number of shares outstanding during each period. The computation of diluted income (loss) per share attributable to common stockholders further assumes the potential dilutive effect of potential common shares, which includes common shares, consisting of (a) stock options and warrants using the treasury stock method, and (b) convertible debt and preferred stock using the if-converted method. To the extent the inclusion of potential common shares is anti-dilutive, the potential common shares are excluded from the computation of diluted income (loss) per share attributable to common stockholders. See Note 13 – Net Income (Loss) Per Share for the calculation of earnings per share.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transactions with related parties. Related parties include affiliates of the entity, entities under common control of the Company, significant stockholders and executive management, and other parties that can significantly influence the management and operating policies of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the asset and liability method in accordance with ASC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Deferred tax assets and liabilities are determined based on temporary differences between the financial reporting and tax basis of assets and liabilities and operating loss and tax credit carry forwards. Deferred tax assets and liabilities are measured by applying enacted tax rates and laws and are released in the years in which the temporary differences are expected to be recovered or settled. The effect on deferred tax assets and liabilities of a change in tax rates is recognized in income in the period that includes the enactment date. Valuation allowances are provided against deferred tax assets when it is more-likely-than-not that some portion or all of the deferred tax assets will not be realized.</w:t>
      </w:r>
    </w:p>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valuation allowance is required to reduce the balance of a deferred tax asset if it is determined that it is more-likely-than-not that all or some portion of the deferred tax asset will not be realized due to the lack of sufficient taxable income or other limitation on the Company’s ability to utilize the loss carryforward.</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 the impact of an income tax position, if that position is more-likely-than-not of being sustained on audit, based on the technical merits of the position. Any related interest and penalties would be classified as income taxes in the accompanying consolidated statements of operations. See Note 10 – Income Taxes for more detail.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July 2017, the Company’s Board of Directors approved the 2017 Incentive Stock Plan (the “2017 Plan”), which was amended and restated in December 2021 to authorize the issuance of up to 10.0 million shares of common stock. The Company estimates the fair value of stock options using the Black-Scholes valuation model, which requires certain assumptions that can materially impact the estimation of fair value and related compensation expense. The assumptions used to estimate fair value include the price of our common stock, the expected volatility of our common stock, the risk-free interest rate, and the expected term of stock option awards. Management elected to recognize forfeitures as they occur pursuant to ASU 2016-09,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As a result, no forfeiture rate was assumed. The fair value of restricted stock units is based on the fair value of the Company’s common stock at the date of grant.</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2024, the Board of Directors approved the 2024 Incentive Stock Plan (the “2024 Plan”) which will be used for future share-based compensation arrangements going forward. As of December 31, 2024, a limited number of awards have been issued under the new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02" w:lineRule="exact"/>
        <w:rPr>
          <w:sz w:val="20"/>
          <w:szCs w:val="20"/>
          <w:color w:val="auto"/>
        </w:rPr>
      </w:pPr>
    </w:p>
    <w:p>
      <w:pPr>
        <w:ind w:right="5240" w:firstLine="324"/>
        <w:spacing w:after="0" w:line="459" w:lineRule="auto"/>
        <w:rPr>
          <w:sz w:val="20"/>
          <w:szCs w:val="20"/>
          <w:color w:val="auto"/>
        </w:rPr>
      </w:pPr>
      <w:r>
        <w:rPr>
          <w:rFonts w:ascii="Times New Roman" w:cs="Times New Roman" w:eastAsia="Times New Roman" w:hAnsi="Times New Roman"/>
          <w:sz w:val="18"/>
          <w:szCs w:val="18"/>
          <w:color w:val="auto"/>
        </w:rPr>
        <w:t xml:space="preserve">See Note 18 – Segments for detail of the Company’s segment reporting policy. </w:t>
      </w:r>
      <w:r>
        <w:rPr>
          <w:rFonts w:ascii="Times New Roman" w:cs="Times New Roman" w:eastAsia="Times New Roman" w:hAnsi="Times New Roman"/>
          <w:sz w:val="18"/>
          <w:szCs w:val="18"/>
          <w:b w:val="1"/>
          <w:bCs w:val="1"/>
          <w:color w:val="auto"/>
        </w:rPr>
        <w:t xml:space="preserve">Accounting Policies of Consolidated Funds </w:t>
      </w:r>
      <w:r>
        <w:rPr>
          <w:rFonts w:ascii="Times New Roman" w:cs="Times New Roman" w:eastAsia="Times New Roman" w:hAnsi="Times New Roman"/>
          <w:sz w:val="18"/>
          <w:szCs w:val="18"/>
          <w:b w:val="1"/>
          <w:bCs w:val="1"/>
          <w:i w:val="1"/>
          <w:iCs w:val="1"/>
          <w:color w:val="auto"/>
        </w:rPr>
        <w:t>Accounting for Real Estate Investments</w:t>
      </w: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Upon the acquisition of real estate properties, a determination is made as to whether the acquisition meets the criteria to be accounted for as an asset acquisition or a business combination. The determination is primarily based on whether the assets acquired, and liabilities assumed meet the definition of a business. The determination of whether the assets acquired, and liabilities assumed meet the definition of a business includes a single or similar asset threshold. In applying the single or similar asset threshold, if substantially all the fair value of the gross assets acquired is concentrated in a single identifiable asset or group of similar identifiable assets, the assets acquired, and liabilities assumed are not considered a business. Most of our consolidated fund acquisitions meet the single or similar asset threshold, due to the fact that substantially all the fair value of the gross assets acquired is attributable to the real estate assets acquired.</w:t>
      </w:r>
    </w:p>
    <w:p>
      <w:pPr>
        <w:spacing w:after="0" w:line="1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Acquired real estate properties accounted for as asset acquisitions are recorded at cost, including acquisition and closing costs. Our consolidated funds allocate the cost of real estate properties to the tangible and intangible assets and liabilities acquired based on their estimated relative fair values. Our consolidated funds determine the fair value of tangible assets, such as land, building, furniture, fixtures and equipment, using a combination of internal valuation techniques that consider comparable market transactions, replacement costs and other available information and fair value estimates provided by third-party valuation specialists, depending upon the circumstances of the acquisition. Our consolidated funds determine the fair value of identified intangible assets or liabilities, which typically relate to in-place leases, using a combination of internal valuation techniques that consider the terms of the in-place leases, current market data for comparable leases, and fair value estimates provided by third-party valuation specialists, depending upon the circumstances of the acquisition.</w:t>
      </w:r>
    </w:p>
    <w:p>
      <w:pPr>
        <w:spacing w:after="0" w:line="1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 transaction is determined to be a business combination, the assets acquired, liabilities assumed, and any identified intangibles are recorded at their estimated fair values on the transaction date, and transaction costs are expensed in the period incurred.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Capitalization and Depreciation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consolidated funds capitalize costs, including certain indirect costs, incurred in connection with their development and construction activities. Included in these capitalized costs are payroll costs associated with time spent by site employees in connection with capital addition activities at the asset level. Interest, property taxes and insurance are also capitalized during periods in which redevelopment, development and construction projects are in progress. Capitalization of costs, including certain indirect costs, incurred in connection with our capital addition activities, commence at the point in time when activities necessary to get the assets ready for their intended use are in progress. This includes when assets are undergoing physical construction, as well as when apartment homes are held vacant in advance of planned construction, provided that other activities such as permitting, planning and design are in progress. Our consolidated funds cease the capitalization of costs when the assets are substantially complete and ready for their intended use, which is typically when construction has been completed and apartment homes or other properties are available for occupancy. Cost of ordinary repairs, maintenance and resident turnover are charged to operating expense, as incurred.</w:t>
      </w:r>
    </w:p>
    <w:p>
      <w:pPr>
        <w:spacing w:after="0" w:line="14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Depreciation for all tangible real estate assets is calculated using the straight-line method over the estimated useful lives of the assets. The estimated useful lives of our building and building improvements are generally 15 to 40 years. The estimated useful lives of our furniture, fixtures and equipment are generally three to seven years beginning in the first full month the asset is placed in service.</w:t>
      </w:r>
    </w:p>
    <w:p>
      <w:pPr>
        <w:spacing w:after="0" w:line="149" w:lineRule="exact"/>
        <w:rPr>
          <w:sz w:val="20"/>
          <w:szCs w:val="20"/>
          <w:color w:val="auto"/>
        </w:rPr>
      </w:pPr>
    </w:p>
    <w:p>
      <w:pPr>
        <w:ind w:right="2160" w:firstLine="324"/>
        <w:spacing w:after="0" w:line="453" w:lineRule="auto"/>
        <w:rPr>
          <w:sz w:val="20"/>
          <w:szCs w:val="20"/>
          <w:color w:val="auto"/>
        </w:rPr>
      </w:pPr>
      <w:r>
        <w:rPr>
          <w:rFonts w:ascii="Times New Roman" w:cs="Times New Roman" w:eastAsia="Times New Roman" w:hAnsi="Times New Roman"/>
          <w:sz w:val="18"/>
          <w:szCs w:val="18"/>
          <w:color w:val="auto"/>
        </w:rPr>
        <w:t xml:space="preserve">For the years ended December 31, 2024 and 2023, depreciation expense was $5.6 million and $10.4 million, respectively. </w:t>
      </w:r>
      <w:r>
        <w:rPr>
          <w:rFonts w:ascii="Times New Roman" w:cs="Times New Roman" w:eastAsia="Times New Roman" w:hAnsi="Times New Roman"/>
          <w:sz w:val="18"/>
          <w:szCs w:val="18"/>
          <w:b w:val="1"/>
          <w:bCs w:val="1"/>
          <w:i w:val="1"/>
          <w:iCs w:val="1"/>
          <w:color w:val="auto"/>
        </w:rPr>
        <w:t>Impairment of Long-Lived Assets</w:t>
      </w:r>
    </w:p>
    <w:p>
      <w:pPr>
        <w:spacing w:after="0" w:line="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Real estate and other long-lived assets to be held and used are stated at cost, less accumulated depreciation and amortization, unless the carrying amount of the asset is determined to not be recoverable. If events or circumstances indicate that the carrying amount of a long-lived asset may not be recoverable, we make an assessment of its recoverability by comparing the carrying amount to our estimate of the undiscounted net future cash flows resulting from the use of the asset, excluding interest charges. If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exceeds the aggregate undiscounted future cash flows, our consolidated funds recognize an impairment loss to the extent the carrying amount exceeds the estimated fair value of the asset.</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our consolidated funds did not record an impairment loss related to its real estate and other long-lived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includes cash in bank accounts. The consolidated funds deposit cash with several high-quality financial institutions. These deposits are guaranteed by the FDIC up to an insurance limit of $250,000. At times, cash balances may exceed FDIC limits. Although the consolidated funds bear risk on amounts in excess of those insured by the FDIC, they have not experienced and do not anticipate any losses due to the high quality of the institutions where the deposits are held.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Restricted cash consists of tenant security deposits and cash reserves required by certain loan agreements for capital improvements and repairs. As improvements and repairs are completed, related costs incurred by the consolidated funds are funded from the reserve accounts. Restricted cash also includes cash held in escrow accounts by mortgage companies on behalf of the consolidated funds for payment of property taxes, insurance, and interest.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financing costs represent costs incurred in connection with obtaining long-term debt and are capitalized and amortized over the term of the related debt obligation using the straight-line method. Capitalized deferred financing costs, net of accumulated amortization, are offset against and included in notes payable, net in the accompanying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Fund Revenues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Our consolidated funds’ revenues primarily consist of hospitality revenues, rental income and interest income.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funds – hospitality revenue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spacing w:after="0" w:line="1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funds receive deposits for events and rooms. Such deposits are deferred and included in other liabilities on the accompanying consolidated balance sheets. The deposits are credited to consolidated funds – hospitality revenue when the specific event takes place.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funds – other revenue</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Consolidated funds – other revenue includes rental revenue of $1.4 million and $4.0 million for the years ended December 31, 2024 and 2023, respectively. Rental revenue includes the revenues generated primarily by the rental operations of the residential (multi-family and single-family) and commercial properties of our consolidated funds.</w:t>
      </w:r>
    </w:p>
    <w:p>
      <w:pPr>
        <w:spacing w:after="0" w:line="13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third-party, the Company classifies the lease as a direct financing lease. All other leases are classified as operating leases. The consolidated funds did not have any sales-type or direct financing leases as of December 31, 2024. For operating leases with minimum scheduled rent increases, the consolidated 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spacing w:after="0" w:line="14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identified two separate lease components as follows: i) land lease component, and ii) single property lease component comprised of building, land improvements and tenant improvements. The Company’s leases also contain provisions for tenants to reimburse the consolidated funds for maintenance and other property operating expenses, which are considered to be non-lease components. The Company elected the practical expedient to combine lease and non-lease components and the non-lease components will be included with the single property lease component as the predominant component.</w:t>
      </w:r>
    </w:p>
    <w:p>
      <w:pPr>
        <w:spacing w:after="0" w:line="1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consolidated funds - other revenue includes interest income of $5.9 million and $3.7 million for the years ended December 31, 2024 and 2023, respectively, which is generated by a consolidated fund’s lending activity. Interest income is recognized on the accrual basis of accounting in accordance with the lending agreements over the term of the respective loan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Fund Expenses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Consolidated fund expenses consist primarily of costs, expenses and fees that are incurred by, or arise out of the operation and activities of or otherwise related to, our consolidated funds, including, without limitation, operating costs, depreciation and amortization, interest expense on debt held by our consolidated funds, gain on extinguishment of debt, gain on derivative instruments, insurance expenses, professional fees and other costs associated with administering and supporting those funds.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Accounts receivable primarily consists of amounts due from guests or groups for hotel rooms and services provided by the hotel properties. Accounts receivable also include due, but unpaid, rental payments. Our consolidated funds continually review receivables and determine collectability by taking into consideration the history of past write-offs, collections, current credit conditions, tenant payment history, the financial condition of the tenants, business conditions in the industry in which the tenant operates and economic conditions in the area in which the property is located. In the event that the collectability of a receivable is uncertain, our consolidated funds will record an increase in the allowance for doubtful accounts. Amounts that are determined to be uncollectible with a high degree of certainty are written-off through bad debt expense, which is included in consolidated funds – hospitality expenses and consolidated funds – other expenses on the accompanying consolidated statements of operations. Our consolidated funds had no allowance for doubtful accounts as of December 31, 2024 and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consolidated funds record all derivative instruments on the consolidated balance sheets at fair value. The accounting for changes in the fair value of the derivative and the effect on the financial statements depends on its hedge designation and whether the hedge is highly effective in achieving offsetting changes in the fair value of cash flows of the asset or liability hedged. If the consolidated fund elects not to apply hedge accounting treatment, any changes in the fair value of the derivative instruments is recognized immediately in consolidated funds - hospitality expenses in the consolidated statements of operations. If the derivative is designated and qualifies for hedge accounting treatment, the change in fair value of the derivative is recorded in other comprehensive income (loss).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financial instruments is disclosed in accordance with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fair value of our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 measurements and disclosures consist of a three level valuation hierarchy. The valuation hierarchy categorizes assets and liabilities measured at fair value into one of three different levels depending on the ability to observe the inputs employed in the measurement using market participant assumptions at the measurement date. An asset’s or liability’s categorization within the valuation hierarchy is based upon the lowest level of input that is significant to the fair value measurement. The three levels are defined as follows:</w:t>
      </w:r>
    </w:p>
    <w:p>
      <w:pPr>
        <w:spacing w:after="0" w:line="153"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quoted prices in active markets for identical assets or liabilities that can be accessed at the measurement date.</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include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These unobservable inputs reflect assumptions about what market participants would use to price the asset or liability and are developed based on the best information available in the circumstances (which might include the reporting company’s own data)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adopted ASU 2016-13, Financial Instruments – Credit Losses and subsequent amendments (collectively, “Topic 326”), effective January 1, 2023. Topic 326 was intended to improve financial reporting by requiring more timely recognition of credit losses on loans and other financial instruments that are not accounted for at fair value through net income and required that financial assets measured at amortized cost be presented at the net amount expected to be collected, through an allowance for credit losses that was deducted from the amortized cost basis. The amendments in Topic 326 required the Company to measure all expected credit losses based upon historical experience, current conditions, and reasonable and supportable forecasts that affect the collectability of the financial assets and eliminated the “incurred loss” methodology under current U.S. GAAP. Loans and receivables between entities under common control are not within the scope of this guidance. The adoption of this guidance did not have a material impact on the Company’s consolidated financial statements.</w:t>
      </w:r>
    </w:p>
    <w:p>
      <w:pPr>
        <w:spacing w:after="0" w:line="149"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The Company adopted the Financial Accounting Standards Board (“FASB”) issued ASU 2020-06, </w:t>
      </w:r>
      <w:r>
        <w:rPr>
          <w:rFonts w:ascii="Times New Roman" w:cs="Times New Roman" w:eastAsia="Times New Roman" w:hAnsi="Times New Roman"/>
          <w:sz w:val="18"/>
          <w:szCs w:val="18"/>
          <w:i w:val="1"/>
          <w:iCs w:val="1"/>
          <w:color w:val="auto"/>
        </w:rPr>
        <w:t>Debt – Debt with Conversion and Other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470-20) and Derivatives and Hedging – Contracts in Entity’s Own Equity (Subtopic 815-40)</w:t>
      </w:r>
      <w:r>
        <w:rPr>
          <w:rFonts w:ascii="Times New Roman" w:cs="Times New Roman" w:eastAsia="Times New Roman" w:hAnsi="Times New Roman"/>
          <w:sz w:val="18"/>
          <w:szCs w:val="18"/>
          <w:color w:val="auto"/>
        </w:rPr>
        <w:t>, effective January 1, 2024, which simplifies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convertible instruments by reducing the number of accounting models for convertible debt instruments and convertible preferred stock, removes certain settlement conditions that are required for equity contracts to qualify for the derivative scope exception and also simplifies the diluted earnings per share calculation in certain areas. The adoption of this guidance did not have a material impact on the Company’s consolidated financial statements.</w:t>
      </w:r>
    </w:p>
    <w:p>
      <w:pPr>
        <w:spacing w:after="0" w:line="15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adopted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effective for Companies with fiscal years beginning after December 15, 2023, which serves to improve reportable segment disclosure requirements, primarily through enhanced disclosures about significant segment expenses on both an annual and interim basis. The guidance does not change the definition of a segment, the method for determining segments, or the criteria for aggregating operating segments into reportable segments. It is effective for interim periods within fiscal years beginning after December 15, 2024, with early adoption permitted. As of December 31, 2024, the Company has adopted ASU 2023-07. See Note 18 – Segments for detail.</w:t>
      </w:r>
    </w:p>
    <w:p>
      <w:pPr>
        <w:spacing w:after="0" w:line="14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 (Topic 740, Income Taxes)</w:t>
      </w:r>
      <w:r>
        <w:rPr>
          <w:rFonts w:ascii="Times New Roman" w:cs="Times New Roman" w:eastAsia="Times New Roman" w:hAnsi="Times New Roman"/>
          <w:sz w:val="18"/>
          <w:szCs w:val="18"/>
          <w:color w:val="auto"/>
        </w:rPr>
        <w:t>. ASU 2023-09, which serves to enhance income tax disclosures by requiring a tabular rate reconciliation and additional information on income taxes paid. The guidance is effective for annual periods beginning after December 15, 2024, with early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adoption permitted. We are currently evaluating the impact of the adoption of ASU 2023-09 on our consolidated financial statements.</w:t>
      </w:r>
    </w:p>
    <w:p>
      <w:pPr>
        <w:spacing w:after="0" w:line="19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to improve the disclosures about a public business entity’s expenses and provide more detailed information about the types of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certain expense captions in the consolidated financial statements. The amendments in this update are effective for annual reporting periods beginning after December 15, 2026, and interim reporting periods beginning after December 15, 2027. Early adoption is permitted and the amendments in this update should be applied either prospectively to financial statements issued for reporting periods after the effective date of this update or retrospectively to any or all prior periods presented in the financial statements. We are currently evaluating the impact of the adoption of ASU 2024-03 on our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VIEs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has determined that the equity holders in its consolidated entities, as a group, lack the power to direct the activities that most significantly impact the entities’ economic performance and/or have disproportionate voting rights relative to their equity. The Company was determined to be the primary beneficiary of each of these entities since it has the power to direct the activities of the entities and the right to absorb losses, generally in the form of guarantees of indebtedness that are significant to the individual entities.</w:t>
      </w:r>
    </w:p>
    <w:p>
      <w:pPr>
        <w:spacing w:after="0" w:line="15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Generally, the assets of the individual consolidated VIEs can only be used to settle liabilities of each respective individual consolidated VIE and the liabilities of each respective VIE, including VIEs which it consolidates, are liabilities for which creditors or beneficial interest holders do not have recourse to the general credit of the Company. When the VIE is consolidated, we reflect the assets, liabilities, revenues, expenses and cash flows of the consolidated funds on a gross basis, and the interests in the VIEs are included in non-controlling interest in the consolidated financial statements. The Company has provided financial support to certain consolidated VIEs in the form of short-term financing and guarantees of the debts of certain VIEs. In general, our maximum exposure to loss due to involvement with the consolidated VIEs is limited to the amount of capital investment in the VIE, if any, or the potential obligation to perform on the guarantee of debts.</w:t>
      </w:r>
    </w:p>
    <w:p>
      <w:pPr>
        <w:spacing w:after="0" w:line="14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L.T.D. Hospitality Group LLC (“L.T.D.”) contributed the first of nine committed hotels from L.T.D.’s portfolio to Caliber Hospitality, LP in exchange for $4.9 million in cash, net of closing costs and $9.6 million in operating partnership units. In conjunction with the L.T.D. contribution, Caliber Hospitality, LP entered into a new $14.1 million loan facility with a third party lender resulting in a consolidation reconsideration event. Upon this reconsideration event, the Company reconsidered its consolidation conclusion, given the change in economics, and concluded that it was no longer the primary beneficiary, as its potential obligation to absorb the losses, through its guarantee of the indebtedness secured by the hospitality assets, were no longer significant to Caliber Hospitality, LP or the Caliber Hospitality Trust. As such, during the year ended December 31, 2024, the Company deconsolidated Caliber Hospitality, LP, the Caliber Hospitality Trust, and their consolidated subsidiaries.</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during the year ended December 31, 2024, the Company deconsolidated CFIF III, a fund that provides capital to a diverse portfolio of distressed real estate assets, Elliot, a VIE that is developing a multi-family property, and DT Mesa, a VIE that is redeveloping commercial properties. CFIF</w:t>
      </w:r>
    </w:p>
    <w:p>
      <w:pPr>
        <w:jc w:val="both"/>
        <w:ind w:firstLine="8"/>
        <w:spacing w:after="0" w:line="252" w:lineRule="auto"/>
        <w:tabs>
          <w:tab w:leader="none" w:pos="25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deconsolidated as the Company announced its intent to wind up the fund in December 2024, which relegated the likelihood of the Company becoming obligated for any portion of CFIF III’s outstanding debt, to be remote. The Company’s announcement in December 2024 to wind up CFIF III, triggered a collectibility analysis to be performed, which resulted in a $4.3 million investment impairment and $4.0 million of bad debt expense being recognized in Q4 2024. Elliott and DT Mesa were deconsolidated as the Company was no longer determined to be the primary beneficiary upon refinancing the loan agreements. The Company aggregates and reports the results of operations of these VIEs in consolidated fund revenues and consolidated fund expenses within the accompanying consolidated statements of operations through the date of deconsolidation.</w:t>
      </w:r>
    </w:p>
    <w:p>
      <w:pPr>
        <w:spacing w:after="0" w:line="16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(i) deconsolidated five hospitality funds which were contributed to the Caliber Hospitality, LP, whose sole general partner is Caliber Hospitality Trust and (ii) consolidated Caliber Hospitality, LP and the Caliber Hospitality Trust, which included activity from the five previously consolidated hospitality funds and one previously unconsolidated fund because the Company was determined to be the primary beneficiary as it had the power to direct the activities and the obligation to absorb their losses through its guarantee of the indebtedness secured by the hospitality assets, which was significant to the Caliber Hospitality Trust and Caliber Hospitality, LP. The consolidation of the Caliber Hospitality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and Caliber Hospitality, LP, consisted of the following, excluding intercompany eliminations at the time of consolidation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7"/>
                <w:szCs w:val="17"/>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Year Ended December</w:t>
            </w:r>
          </w:p>
        </w:tc>
        <w:tc>
          <w:tcPr>
            <w:tcW w:w="0" w:type="dxa"/>
            <w:vAlign w:val="bottom"/>
          </w:tcPr>
          <w:p>
            <w:pPr>
              <w:spacing w:after="0"/>
              <w:rPr>
                <w:sz w:val="1"/>
                <w:szCs w:val="1"/>
                <w:color w:val="auto"/>
              </w:rPr>
            </w:pPr>
          </w:p>
        </w:tc>
      </w:tr>
      <w:tr>
        <w:trPr>
          <w:trHeight w:val="243"/>
        </w:trPr>
        <w:tc>
          <w:tcPr>
            <w:tcW w:w="926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0" w:type="dxa"/>
            <w:vAlign w:val="bottom"/>
          </w:tcPr>
          <w:p>
            <w:pPr>
              <w:spacing w:after="0"/>
              <w:rPr>
                <w:sz w:val="1"/>
                <w:szCs w:val="1"/>
                <w:color w:val="auto"/>
              </w:rPr>
            </w:pPr>
          </w:p>
        </w:tc>
      </w:tr>
      <w:tr>
        <w:trPr>
          <w:trHeight w:val="223"/>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87,897</w:t>
            </w:r>
          </w:p>
        </w:tc>
        <w:tc>
          <w:tcPr>
            <w:tcW w:w="0" w:type="dxa"/>
            <w:vAlign w:val="bottom"/>
          </w:tcPr>
          <w:p>
            <w:pPr>
              <w:spacing w:after="0"/>
              <w:rPr>
                <w:sz w:val="1"/>
                <w:szCs w:val="1"/>
                <w:color w:val="auto"/>
              </w:rPr>
            </w:pPr>
          </w:p>
        </w:tc>
      </w:tr>
      <w:tr>
        <w:trPr>
          <w:trHeight w:val="229"/>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0" w:type="dxa"/>
            <w:vAlign w:val="bottom"/>
          </w:tcPr>
          <w:p>
            <w:pPr>
              <w:spacing w:after="0"/>
              <w:rPr>
                <w:sz w:val="1"/>
                <w:szCs w:val="1"/>
                <w:color w:val="auto"/>
              </w:rPr>
            </w:pPr>
          </w:p>
        </w:tc>
      </w:tr>
      <w:tr>
        <w:trPr>
          <w:trHeight w:val="230"/>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0" w:type="dxa"/>
            <w:vAlign w:val="bottom"/>
          </w:tcPr>
          <w:p>
            <w:pPr>
              <w:spacing w:after="0"/>
              <w:rPr>
                <w:sz w:val="1"/>
                <w:szCs w:val="1"/>
                <w:color w:val="auto"/>
              </w:rPr>
            </w:pPr>
          </w:p>
        </w:tc>
      </w:tr>
      <w:tr>
        <w:trPr>
          <w:trHeight w:val="229"/>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0" w:type="dxa"/>
            <w:vAlign w:val="bottom"/>
          </w:tcPr>
          <w:p>
            <w:pPr>
              <w:spacing w:after="0"/>
              <w:rPr>
                <w:sz w:val="1"/>
                <w:szCs w:val="1"/>
                <w:color w:val="auto"/>
              </w:rPr>
            </w:pPr>
          </w:p>
        </w:tc>
      </w:tr>
      <w:tr>
        <w:trPr>
          <w:trHeight w:val="229"/>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receivable - related parties</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0" w:type="dxa"/>
            <w:vAlign w:val="bottom"/>
          </w:tcPr>
          <w:p>
            <w:pPr>
              <w:spacing w:after="0"/>
              <w:rPr>
                <w:sz w:val="1"/>
                <w:szCs w:val="1"/>
                <w:color w:val="auto"/>
              </w:rPr>
            </w:pPr>
          </w:p>
        </w:tc>
      </w:tr>
      <w:tr>
        <w:trPr>
          <w:trHeight w:val="230"/>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84,076</w:t>
            </w:r>
          </w:p>
        </w:tc>
        <w:tc>
          <w:tcPr>
            <w:tcW w:w="0" w:type="dxa"/>
            <w:vAlign w:val="bottom"/>
          </w:tcPr>
          <w:p>
            <w:pPr>
              <w:spacing w:after="0"/>
              <w:rPr>
                <w:sz w:val="1"/>
                <w:szCs w:val="1"/>
                <w:color w:val="auto"/>
              </w:rPr>
            </w:pPr>
          </w:p>
        </w:tc>
      </w:tr>
      <w:tr>
        <w:trPr>
          <w:trHeight w:val="230"/>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0" w:type="dxa"/>
            <w:vAlign w:val="bottom"/>
          </w:tcPr>
          <w:p>
            <w:pPr>
              <w:spacing w:after="0"/>
              <w:rPr>
                <w:sz w:val="1"/>
                <w:szCs w:val="1"/>
                <w:color w:val="auto"/>
              </w:rPr>
            </w:pPr>
          </w:p>
        </w:tc>
      </w:tr>
      <w:tr>
        <w:trPr>
          <w:trHeight w:val="229"/>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0" w:type="dxa"/>
            <w:vAlign w:val="bottom"/>
          </w:tcPr>
          <w:p>
            <w:pPr>
              <w:spacing w:after="0"/>
              <w:rPr>
                <w:sz w:val="1"/>
                <w:szCs w:val="1"/>
                <w:color w:val="auto"/>
              </w:rPr>
            </w:pPr>
          </w:p>
        </w:tc>
      </w:tr>
      <w:tr>
        <w:trPr>
          <w:trHeight w:val="223"/>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214,427</w:t>
            </w:r>
          </w:p>
        </w:tc>
        <w:tc>
          <w:tcPr>
            <w:tcW w:w="0" w:type="dxa"/>
            <w:vAlign w:val="bottom"/>
          </w:tcPr>
          <w:p>
            <w:pPr>
              <w:spacing w:after="0"/>
              <w:rPr>
                <w:sz w:val="1"/>
                <w:szCs w:val="1"/>
                <w:color w:val="auto"/>
              </w:rPr>
            </w:pPr>
          </w:p>
        </w:tc>
      </w:tr>
      <w:tr>
        <w:trPr>
          <w:trHeight w:val="20"/>
        </w:trPr>
        <w:tc>
          <w:tcPr>
            <w:tcW w:w="9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80,278</w:t>
            </w:r>
          </w:p>
        </w:tc>
        <w:tc>
          <w:tcPr>
            <w:tcW w:w="0" w:type="dxa"/>
            <w:vAlign w:val="bottom"/>
          </w:tcPr>
          <w:p>
            <w:pPr>
              <w:spacing w:after="0"/>
              <w:rPr>
                <w:sz w:val="1"/>
                <w:szCs w:val="1"/>
                <w:color w:val="auto"/>
              </w:rPr>
            </w:pPr>
          </w:p>
        </w:tc>
      </w:tr>
      <w:tr>
        <w:trPr>
          <w:trHeight w:val="229"/>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 related parties</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34,786</w:t>
            </w:r>
          </w:p>
        </w:tc>
        <w:tc>
          <w:tcPr>
            <w:tcW w:w="0" w:type="dxa"/>
            <w:vAlign w:val="bottom"/>
          </w:tcPr>
          <w:p>
            <w:pPr>
              <w:spacing w:after="0"/>
              <w:rPr>
                <w:sz w:val="1"/>
                <w:szCs w:val="1"/>
                <w:color w:val="auto"/>
              </w:rPr>
            </w:pPr>
          </w:p>
        </w:tc>
      </w:tr>
      <w:tr>
        <w:trPr>
          <w:trHeight w:val="229"/>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0" w:type="dxa"/>
            <w:vAlign w:val="bottom"/>
          </w:tcPr>
          <w:p>
            <w:pPr>
              <w:spacing w:after="0"/>
              <w:rPr>
                <w:sz w:val="1"/>
                <w:szCs w:val="1"/>
                <w:color w:val="auto"/>
              </w:rPr>
            </w:pPr>
          </w:p>
        </w:tc>
      </w:tr>
      <w:tr>
        <w:trPr>
          <w:trHeight w:val="230"/>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0" w:type="dxa"/>
            <w:vAlign w:val="bottom"/>
          </w:tcPr>
          <w:p>
            <w:pPr>
              <w:spacing w:after="0"/>
              <w:rPr>
                <w:sz w:val="1"/>
                <w:szCs w:val="1"/>
                <w:color w:val="auto"/>
              </w:rPr>
            </w:pPr>
          </w:p>
        </w:tc>
      </w:tr>
      <w:tr>
        <w:trPr>
          <w:trHeight w:val="229"/>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w:t>
            </w:r>
          </w:p>
        </w:tc>
        <w:tc>
          <w:tcPr>
            <w:tcW w:w="0" w:type="dxa"/>
            <w:vAlign w:val="bottom"/>
          </w:tcPr>
          <w:p>
            <w:pPr>
              <w:spacing w:after="0"/>
              <w:rPr>
                <w:sz w:val="1"/>
                <w:szCs w:val="1"/>
                <w:color w:val="auto"/>
              </w:rPr>
            </w:pPr>
          </w:p>
        </w:tc>
      </w:tr>
      <w:tr>
        <w:trPr>
          <w:trHeight w:val="230"/>
        </w:trPr>
        <w:tc>
          <w:tcPr>
            <w:tcW w:w="9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0" w:type="dxa"/>
            <w:vAlign w:val="bottom"/>
          </w:tcPr>
          <w:p>
            <w:pPr>
              <w:spacing w:after="0"/>
              <w:rPr>
                <w:sz w:val="1"/>
                <w:szCs w:val="1"/>
                <w:color w:val="auto"/>
              </w:rPr>
            </w:pPr>
          </w:p>
        </w:tc>
      </w:tr>
      <w:tr>
        <w:trPr>
          <w:trHeight w:val="223"/>
        </w:trPr>
        <w:tc>
          <w:tcPr>
            <w:tcW w:w="9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147,823</w:t>
            </w:r>
          </w:p>
        </w:tc>
        <w:tc>
          <w:tcPr>
            <w:tcW w:w="0" w:type="dxa"/>
            <w:vAlign w:val="bottom"/>
          </w:tcPr>
          <w:p>
            <w:pPr>
              <w:spacing w:after="0"/>
              <w:rPr>
                <w:sz w:val="1"/>
                <w:szCs w:val="1"/>
                <w:color w:val="auto"/>
              </w:rPr>
            </w:pPr>
          </w:p>
        </w:tc>
      </w:tr>
      <w:tr>
        <w:trPr>
          <w:trHeight w:val="270"/>
        </w:trPr>
        <w:tc>
          <w:tcPr>
            <w:tcW w:w="9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66,604</w:t>
            </w:r>
          </w:p>
        </w:tc>
        <w:tc>
          <w:tcPr>
            <w:tcW w:w="0" w:type="dxa"/>
            <w:vAlign w:val="bottom"/>
          </w:tcPr>
          <w:p>
            <w:pPr>
              <w:spacing w:after="0"/>
              <w:rPr>
                <w:sz w:val="1"/>
                <w:szCs w:val="1"/>
                <w:color w:val="auto"/>
              </w:rPr>
            </w:pPr>
          </w:p>
        </w:tc>
      </w:tr>
      <w:tr>
        <w:trPr>
          <w:trHeight w:val="223"/>
        </w:trPr>
        <w:tc>
          <w:tcPr>
            <w:tcW w:w="92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214,427</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Company consolidated West Frontier Holdco, LLC (“West Frontier”) as the Company was determined to be the primary beneficiary as it has the power to direct the activities of West Frontier and the obligation to absorb their losses through its guarantee of their indebtedness, which is significant to the fund.</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12 – Commitments and Contingencies for additional information related to the commitments and contingencies of these VIEs.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Real Estate Investments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Investments of the Company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asset acquisitions by the Company during the year ended December 31, 2024. During the year ended December 31, 2023, the Company acquired its headquarters office building for an aggregate purchase price of $19.5 million with the acquisition being accounted for as an asset acquisition under U.S. GAAP.</w:t>
      </w:r>
    </w:p>
    <w:p>
      <w:pPr>
        <w:spacing w:after="0" w:line="1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allocation of the purchase price among the assets acquired at their relative fair value as of the acquisition date, consisted of the following for the year ended December 31, 2023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Real estate investments,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Land and land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Building and building improvements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Furniture, fixtures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Intangible lease assets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Intangible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purchase price of assets acquired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Investments of the Consolidated Funds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 by Consolidated Funds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jc w:val="center"/>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w:t>
            </w:r>
          </w:p>
        </w:tc>
      </w:tr>
      <w:tr>
        <w:trPr>
          <w:trHeight w:val="229"/>
        </w:trPr>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w:t>
            </w:r>
          </w:p>
        </w:tc>
      </w:tr>
      <w:tr>
        <w:trPr>
          <w:trHeight w:val="230"/>
        </w:trPr>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29"/>
        </w:trPr>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34"/>
        </w:trPr>
        <w:tc>
          <w:tcPr>
            <w:tcW w:w="8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3"/>
        </w:trPr>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19,472</w:t>
            </w:r>
          </w:p>
        </w:tc>
      </w:tr>
      <w:tr>
        <w:trPr>
          <w:trHeight w:val="21"/>
        </w:trPr>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046" w:lineRule="exact"/>
        <w:rPr>
          <w:sz w:val="20"/>
          <w:szCs w:val="20"/>
          <w:color w:val="auto"/>
        </w:rPr>
      </w:pPr>
    </w:p>
    <w:p>
      <w:pPr>
        <w:sectPr>
          <w:pgSz w:w="11900" w:h="16838" w:orient="portrait"/>
          <w:cols w:equalWidth="0" w:num="2">
            <w:col w:w="8400" w:space="720"/>
            <w:col w:w="2120"/>
          </w:cols>
          <w:pgMar w:left="320" w:top="121" w:right="339" w:bottom="1440" w:gutter="0" w:footer="0" w:header="0"/>
          <w:type w:val="continuous"/>
        </w:sectPr>
      </w:pPr>
    </w:p>
    <w:p>
      <w:pPr>
        <w:spacing w:after="0" w:line="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asset acquisitions by the consolidated funds during the year ended December 31, 2024. During the year ended December 31, 2023, the consolidated funds acquired one multi-family residential property for an aggregate purchase price of $6.6 million with the acquisition being accounted for as an asset acquisition under U.S. GAAP.</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allocation of the purchase price among the assets acquired at their relative fair value as of the acquisition date, consisted of the following for the year ended December 31, 2023 (in thousands):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Real estate investments,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Land and land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Building and building improvements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Furniture, fixtures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jc w:val="right"/>
        <w:ind w:right="5260"/>
        <w:spacing w:after="0"/>
        <w:rPr>
          <w:sz w:val="20"/>
          <w:szCs w:val="20"/>
          <w:color w:val="auto"/>
        </w:rPr>
      </w:pPr>
      <w:r>
        <w:rPr>
          <w:rFonts w:ascii="Times New Roman" w:cs="Times New Roman" w:eastAsia="Times New Roman" w:hAnsi="Times New Roman"/>
          <w:sz w:val="18"/>
          <w:szCs w:val="18"/>
          <w:color w:val="auto"/>
        </w:rPr>
        <w:t>Total purchase price of assets acquired</w:t>
      </w:r>
    </w:p>
    <w:p>
      <w:pPr>
        <w:spacing w:after="0" w:line="3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Dispositions by Consolidated Funds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30"/>
        </w:trPr>
        <w:tc>
          <w:tcPr>
            <w:tcW w:w="8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w:t>
            </w:r>
          </w:p>
        </w:tc>
      </w:tr>
      <w:tr>
        <w:trPr>
          <w:trHeight w:val="234"/>
        </w:trPr>
        <w:tc>
          <w:tcPr>
            <w:tcW w:w="8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w:t>
            </w:r>
          </w:p>
        </w:tc>
      </w:tr>
      <w:tr>
        <w:trPr>
          <w:trHeight w:val="223"/>
        </w:trPr>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w:t>
            </w: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54" w:lineRule="exact"/>
        <w:rPr>
          <w:sz w:val="20"/>
          <w:szCs w:val="20"/>
          <w:color w:val="auto"/>
        </w:rPr>
      </w:pPr>
    </w:p>
    <w:p>
      <w:pPr>
        <w:sectPr>
          <w:pgSz w:w="11900" w:h="16838" w:orient="portrait"/>
          <w:cols w:equalWidth="0" w:num="2">
            <w:col w:w="8400" w:space="720"/>
            <w:col w:w="2120"/>
          </w:cols>
          <w:pgMar w:left="320" w:top="121" w:right="339" w:bottom="1440" w:gutter="0" w:footer="0" w:header="0"/>
          <w:type w:val="continuous"/>
        </w:sectPr>
      </w:pPr>
    </w:p>
    <w:p>
      <w:pPr>
        <w:spacing w:after="0" w:line="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investments sold during the year ended December 31, 2024. During the year ended December 31, 2023, the consolidated funds sold its investment in one commercial property located in Scottsdale, Arizona, with a cost basis of $21.7 million, resulting in a gain of $5.0 million, which is included in consolidated funds - gain on sale of real estate assets on the accompanying consolidated statements of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Prepaid and Other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and Other Assets of the Company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and other assets consisted of the following as of December 31, 2024 and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18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Pursuit costs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23"/>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prepaid and other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w:t>
            </w: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98" w:lineRule="exact"/>
        <w:rPr>
          <w:sz w:val="20"/>
          <w:szCs w:val="20"/>
          <w:color w:val="auto"/>
        </w:rPr>
      </w:pPr>
    </w:p>
    <w:p>
      <w:pPr>
        <w:ind w:left="340" w:hanging="332"/>
        <w:spacing w:after="0" w:line="235" w:lineRule="auto"/>
        <w:tabs>
          <w:tab w:leader="none" w:pos="197"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Pursuit costs represent expenses incurred related to new fund formation, primarily for professional, legal, consulting, accounting and tax services. As the funds raise equity investments and operating cash flow, as applicable, these costs are reimbursed by the respective funds to the Company. The Company assesses collectability and expenses any amounts in which collectability is not reasonably assured.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and Other Assets of the Consolidated Funds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and other assets of the consolidated funds consisted of the following as of December 31, 2024 and 2023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franchise fees, net</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29"/>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Pursuit costs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1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w:t>
            </w:r>
          </w:p>
        </w:tc>
      </w:tr>
      <w:tr>
        <w:trPr>
          <w:trHeight w:val="248"/>
        </w:trPr>
        <w:tc>
          <w:tcPr>
            <w:tcW w:w="7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prepaid and other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85" w:lineRule="exact"/>
        <w:rPr>
          <w:sz w:val="20"/>
          <w:szCs w:val="20"/>
          <w:color w:val="auto"/>
        </w:rPr>
      </w:pPr>
    </w:p>
    <w:p>
      <w:pPr>
        <w:ind w:left="340" w:hanging="332"/>
        <w:spacing w:after="0" w:line="239" w:lineRule="auto"/>
        <w:tabs>
          <w:tab w:leader="none" w:pos="210"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Pursuit costs represent expenses incurred related to new fund formation and potential hospitality asset acquisitions, primarily for professional, legal, consulting, accounting and tax services. As the funds raise equity investments and operating cash flow, as applicable, these costs are reimbursed by the respective funds to the consolidated fund. Management assesses collectability and expenses any amounts in which collectability is not reasonably assured.</w:t>
      </w:r>
    </w:p>
    <w:p>
      <w:pPr>
        <w:spacing w:after="0" w:line="157" w:lineRule="exact"/>
        <w:rPr>
          <w:rFonts w:ascii="Times New Roman" w:cs="Times New Roman" w:eastAsia="Times New Roman" w:hAnsi="Times New Roman"/>
          <w:sz w:val="23"/>
          <w:szCs w:val="23"/>
          <w:color w:val="auto"/>
          <w:vertAlign w:val="superscript"/>
        </w:rPr>
      </w:pPr>
    </w:p>
    <w:p>
      <w:pPr>
        <w:ind w:left="340" w:right="20" w:hanging="332"/>
        <w:spacing w:after="0" w:line="229" w:lineRule="auto"/>
        <w:tabs>
          <w:tab w:leader="none" w:pos="210"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assets as of December 31, 2023, primarily represents incremental costs, including professional, legal, consulting, accounting and tax services, directly attributable to Caliber Hospitality Trust that are deferred and will be charged against the gross proceeds of the offering.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Notes Payable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Payable of the Company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Notes payable consisted of the following as of December 31, 2024 and 2023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Interest Rate </w:t>
            </w:r>
            <w:r>
              <w:rPr>
                <w:rFonts w:ascii="Times New Roman" w:cs="Times New Roman" w:eastAsia="Times New Roman" w:hAnsi="Times New Roman"/>
                <w:sz w:val="23"/>
                <w:szCs w:val="23"/>
                <w:b w:val="1"/>
                <w:b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xml:space="preserve">Maturity Date </w:t>
            </w:r>
            <w:r>
              <w:rPr>
                <w:rFonts w:ascii="Times New Roman" w:cs="Times New Roman" w:eastAsia="Times New Roman" w:hAnsi="Times New Roman"/>
                <w:sz w:val="23"/>
                <w:szCs w:val="23"/>
                <w:b w:val="1"/>
                <w:bCs w:val="1"/>
                <w:color w:val="auto"/>
                <w:w w:val="96"/>
                <w:vertAlign w:val="superscript"/>
              </w:rPr>
              <w:t>(1)</w:t>
            </w:r>
          </w:p>
        </w:tc>
      </w:tr>
      <w:tr>
        <w:trPr>
          <w:trHeight w:val="263"/>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36,442</w:t>
            </w:r>
          </w:p>
        </w:tc>
        <w:tc>
          <w:tcPr>
            <w:tcW w:w="19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shd w:val="clear" w:color="auto" w:fill="CCEEFF"/>
          </w:tcPr>
          <w:p>
            <w:pPr>
              <w:spacing w:after="0"/>
              <w:rPr>
                <w:sz w:val="22"/>
                <w:szCs w:val="22"/>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2023 - December 2027</w:t>
            </w:r>
          </w:p>
        </w:tc>
      </w:tr>
      <w:tr>
        <w:trPr>
          <w:trHeight w:val="23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corporate notes</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8.25%</w:t>
            </w:r>
          </w:p>
        </w:tc>
        <w:tc>
          <w:tcPr>
            <w:tcW w:w="12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2024 - May 2025</w:t>
            </w:r>
          </w:p>
        </w:tc>
      </w:tr>
      <w:tr>
        <w:trPr>
          <w:trHeight w:val="229"/>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and other loans</w:t>
            </w:r>
          </w:p>
        </w:tc>
        <w:tc>
          <w:tcPr>
            <w:tcW w:w="1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16,252</w:t>
            </w:r>
          </w:p>
        </w:tc>
        <w:tc>
          <w:tcPr>
            <w:tcW w:w="19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4.30% - 112.01%</w:t>
            </w:r>
          </w:p>
        </w:tc>
        <w:tc>
          <w:tcPr>
            <w:tcW w:w="12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2024 - November 2029</w:t>
            </w:r>
          </w:p>
        </w:tc>
      </w:tr>
      <w:tr>
        <w:trPr>
          <w:trHeight w:val="223"/>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notes payable</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54,018</w:t>
            </w: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29"/>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r>
      <w:tr>
        <w:trPr>
          <w:trHeight w:val="229"/>
        </w:trPr>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Discount on corporate note</w:t>
            </w: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tcPr>
          <w:p>
            <w:pPr>
              <w:spacing w:after="0"/>
              <w:rPr>
                <w:sz w:val="19"/>
                <w:szCs w:val="19"/>
                <w:color w:val="auto"/>
              </w:rPr>
            </w:pPr>
          </w:p>
        </w:tc>
      </w:tr>
      <w:tr>
        <w:trPr>
          <w:trHeight w:val="248"/>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53,799</w:t>
            </w: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79" w:lineRule="exact"/>
        <w:rPr>
          <w:sz w:val="20"/>
          <w:szCs w:val="20"/>
          <w:color w:val="auto"/>
        </w:rPr>
      </w:pPr>
    </w:p>
    <w:p>
      <w:pPr>
        <w:ind w:left="180" w:hanging="172"/>
        <w:spacing w:after="0"/>
        <w:tabs>
          <w:tab w:leader="none" w:pos="180" w:val="left"/>
        </w:tabs>
        <w:numPr>
          <w:ilvl w:val="0"/>
          <w:numId w:val="5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2024.</w:t>
      </w:r>
    </w:p>
    <w:p>
      <w:pPr>
        <w:spacing w:after="0" w:line="153" w:lineRule="exact"/>
        <w:rPr>
          <w:rFonts w:ascii="Times New Roman" w:cs="Times New Roman" w:eastAsia="Times New Roman" w:hAnsi="Times New Roman"/>
          <w:sz w:val="22"/>
          <w:szCs w:val="22"/>
          <w:color w:val="auto"/>
          <w:vertAlign w:val="superscript"/>
        </w:rPr>
      </w:pPr>
    </w:p>
    <w:p>
      <w:pPr>
        <w:ind w:left="3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b w:val="1"/>
          <w:bCs w:val="1"/>
          <w:i w:val="1"/>
          <w:iCs w:val="1"/>
          <w:color w:val="auto"/>
        </w:rPr>
        <w:t>Real Estate Loans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terms of the loan agreements described below include, among other things, certain financial covenants, as defined in the respective loan agreements, including key financial ratios and liquidity requirements.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Gateway II HoldCo, LLC</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31, 2023, Caliber assumed a loan which is secured by the Company’s headquarters office building (see Note 4 – Real Estate Investments). The terms of the note require monthly principal and interest payments, with a balloon payment due at maturity. The loan has a fixed interest rate of 4.30% in effect through the maturity date in November 2029. The terms of the loan do not allow the prepayment of the outstanding balance in part or in whole at any time prior to the maturity date. The terms of the loan agreement include covenant clauses, which require certain key financial ratios and liquidity be met. As of December 31, 2024 and 2023, the outstanding principal balance of the loan was $15.9 million and $16.2 million, respectively. As of December 31, 2024, the debt service coverage ratio required by the loan agreement was not satisfied, which per the terms of the agreement required the Company to transfer funds to a cash management account.</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Corporate Notes and Convertible Corporate Notes</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entered into multiple general corporate financing arrangements with third parties. The arrangements are generally evidenced in the form of an unsecured promissory note and require monthly or quarterly interest-only payments until maturity. The loans generally have a 12-month term and may be extended upon the mutual agreement of the lender and the borrower. Management believes it can come to a mutual agreement with each lender to refinance the matured notes into an alternative 3-year unsecured note program or a convertible preferred stock program. Any lender who elects to redeem a matured note will be repaid with available funds.</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there were 202 individual corporate notes outstanding, with an average outstanding principal balance of $0.2 million, interest rates ranging from 8.25% to 12.00%, with weighted average interest rate of 11.30%, and maturity dates ranging from April 2023 to December 2027. During the year ended December 31, 2024, there were no conversions of debt into common stock. As of March 27, 2025, an aggregate of $26.6 million of corporate and convertible notes mature within the 12-month period subsequent to when these financial statements were issued.</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there were 222 individual corporate notes outstanding, with an average outstanding principal balance of $0.2 million, interest rates ranging from 8.25% to 12.00%, with a weighted average interest rate of 11.42%, and maturity dates ranging from January 2024 to March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issued corporate notes with a conversion feature. The conversion price is $7.57 per share of common stock. The holders of the convertible corporate notes can elect to convert all or any portion of the balance at any time. As of December 31, 2024 and 2023, the value of the conversion feature was zero.</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Minimum Payments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scheduled principal repayments of our indebtedness as of December 31,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460" w:type="dxa"/>
            <w:vAlign w:val="bottom"/>
          </w:tcPr>
          <w:p>
            <w:pPr>
              <w:spacing w:after="0"/>
              <w:rPr>
                <w:sz w:val="20"/>
                <w:szCs w:val="20"/>
                <w:color w:val="auto"/>
              </w:rPr>
            </w:pP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33,036</w:t>
            </w: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14,692</w:t>
            </w:r>
          </w:p>
        </w:tc>
      </w:tr>
      <w:tr>
        <w:trPr>
          <w:trHeight w:val="229"/>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50,922</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of deferred financing costs for the Company was immaterial during the years ended December 31, 2024 and 2023. There were no deferred financing cost write-offs during each of the years ended December 31,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Payable of the Consolidated Funds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Notes payable of the consolidated funds consisted of the following as of December 31, 2024 and 2023, respectively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80" w:type="dxa"/>
            <w:vAlign w:val="bottom"/>
          </w:tcPr>
          <w:p>
            <w:pPr>
              <w:spacing w:after="0"/>
              <w:rPr>
                <w:sz w:val="23"/>
                <w:szCs w:val="23"/>
                <w:color w:val="auto"/>
              </w:rPr>
            </w:pP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3"/>
                <w:szCs w:val="23"/>
                <w:color w:val="auto"/>
              </w:rPr>
            </w:pP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23"/>
                <w:szCs w:val="23"/>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 xml:space="preserve">Interest Rate </w:t>
            </w:r>
            <w:r>
              <w:rPr>
                <w:rFonts w:ascii="Times New Roman" w:cs="Times New Roman" w:eastAsia="Times New Roman" w:hAnsi="Times New Roman"/>
                <w:sz w:val="23"/>
                <w:szCs w:val="23"/>
                <w:b w:val="1"/>
                <w:bCs w:val="1"/>
                <w:color w:val="auto"/>
                <w:w w:val="96"/>
                <w:vertAlign w:val="superscript"/>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 xml:space="preserve">Maturity date </w:t>
            </w:r>
            <w:r>
              <w:rPr>
                <w:rFonts w:ascii="Times New Roman" w:cs="Times New Roman" w:eastAsia="Times New Roman" w:hAnsi="Times New Roman"/>
                <w:sz w:val="23"/>
                <w:szCs w:val="23"/>
                <w:b w:val="1"/>
                <w:bCs w:val="1"/>
                <w:color w:val="auto"/>
                <w:w w:val="95"/>
                <w:vertAlign w:val="superscript"/>
              </w:rPr>
              <w:t>(1)</w:t>
            </w:r>
          </w:p>
        </w:tc>
      </w:tr>
      <w:tr>
        <w:trPr>
          <w:trHeight w:val="223"/>
        </w:trPr>
        <w:tc>
          <w:tcPr>
            <w:tcW w:w="31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Real Estate Loans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r>
      <w:tr>
        <w:trPr>
          <w:trHeight w:val="230"/>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Hampton Inn &amp; Suites Hotel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ind w:left="150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 xml:space="preserve"> (3)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40" w:type="dxa"/>
            <w:vAlign w:val="bottom"/>
          </w:tcPr>
          <w:p>
            <w:pPr>
              <w:spacing w:after="0"/>
              <w:rPr>
                <w:sz w:val="19"/>
                <w:szCs w:val="19"/>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32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Four Points by Sheraton Hotel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150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 xml:space="preserve"> (3)</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Holiday Inn Ocotillo Hotel</w:t>
            </w:r>
          </w:p>
        </w:tc>
        <w:tc>
          <w:tcPr>
            <w:tcW w:w="180" w:type="dxa"/>
            <w:vAlign w:val="bottom"/>
          </w:tcPr>
          <w:p>
            <w:pPr>
              <w:spacing w:after="0"/>
              <w:rPr>
                <w:sz w:val="19"/>
                <w:szCs w:val="19"/>
                <w:color w:val="auto"/>
              </w:rPr>
            </w:pPr>
          </w:p>
        </w:tc>
        <w:tc>
          <w:tcPr>
            <w:tcW w:w="2080" w:type="dxa"/>
            <w:vAlign w:val="bottom"/>
            <w:gridSpan w:val="2"/>
          </w:tcPr>
          <w:p>
            <w:pPr>
              <w:ind w:left="150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 xml:space="preserve"> (3)</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40" w:type="dxa"/>
            <w:vAlign w:val="bottom"/>
          </w:tcPr>
          <w:p>
            <w:pPr>
              <w:spacing w:after="0"/>
              <w:rPr>
                <w:sz w:val="19"/>
                <w:szCs w:val="19"/>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Airport Hotel Portfolio</w:t>
            </w:r>
          </w:p>
        </w:tc>
        <w:tc>
          <w:tcPr>
            <w:tcW w:w="18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150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 xml:space="preserve"> (3)</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55,631</w:t>
            </w:r>
          </w:p>
        </w:tc>
        <w:tc>
          <w:tcPr>
            <w:tcW w:w="1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175"/>
        </w:trPr>
        <w:tc>
          <w:tcPr>
            <w:tcW w:w="328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8"/>
                <w:szCs w:val="18"/>
                <w:color w:val="auto"/>
              </w:rPr>
              <w:t>DoubleTree by Hilton Tucson</w:t>
            </w: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3"/>
        </w:trPr>
        <w:tc>
          <w:tcPr>
            <w:tcW w:w="3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Convention Center</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18,418</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7.06%</w:t>
            </w:r>
          </w:p>
        </w:tc>
        <w:tc>
          <w:tcPr>
            <w:tcW w:w="14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2027</w:t>
            </w:r>
          </w:p>
        </w:tc>
      </w:tr>
      <w:tr>
        <w:trPr>
          <w:trHeight w:val="230"/>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Hilton Tucson East</w:t>
            </w:r>
          </w:p>
        </w:tc>
        <w:tc>
          <w:tcPr>
            <w:tcW w:w="18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150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 xml:space="preserve"> (3)</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DT Mesa Holdco II, LLC</w:t>
            </w:r>
          </w:p>
        </w:tc>
        <w:tc>
          <w:tcPr>
            <w:tcW w:w="180" w:type="dxa"/>
            <w:vAlign w:val="bottom"/>
          </w:tcPr>
          <w:p>
            <w:pPr>
              <w:spacing w:after="0"/>
              <w:rPr>
                <w:sz w:val="19"/>
                <w:szCs w:val="19"/>
                <w:color w:val="auto"/>
              </w:rPr>
            </w:pPr>
          </w:p>
        </w:tc>
        <w:tc>
          <w:tcPr>
            <w:tcW w:w="2080" w:type="dxa"/>
            <w:vAlign w:val="bottom"/>
            <w:gridSpan w:val="2"/>
          </w:tcPr>
          <w:p>
            <w:pPr>
              <w:ind w:left="150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 xml:space="preserve"> (3)</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9"/>
                <w:szCs w:val="19"/>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Southpointe Fundco, LLC</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8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11.99%</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2025</w:t>
            </w:r>
          </w:p>
        </w:tc>
      </w:tr>
      <w:tr>
        <w:trPr>
          <w:trHeight w:val="230"/>
        </w:trPr>
        <w:tc>
          <w:tcPr>
            <w:tcW w:w="3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West Frontier Holdco, LLC</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840" w:type="dxa"/>
            <w:vAlign w:val="bottom"/>
            <w:tcBorders>
              <w:bottom w:val="single" w:sz="8" w:color="CCEEFF"/>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6.35%</w:t>
            </w:r>
          </w:p>
        </w:tc>
        <w:tc>
          <w:tcPr>
            <w:tcW w:w="1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February 2038</w:t>
            </w:r>
          </w:p>
        </w:tc>
      </w:tr>
      <w:tr>
        <w:trPr>
          <w:trHeight w:val="223"/>
        </w:trPr>
        <w:tc>
          <w:tcPr>
            <w:tcW w:w="32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Real Estate Loans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23,789</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120,825</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3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Revolving line of credit</w:t>
            </w:r>
          </w:p>
        </w:tc>
        <w:tc>
          <w:tcPr>
            <w:tcW w:w="180" w:type="dxa"/>
            <w:vAlign w:val="bottom"/>
          </w:tcPr>
          <w:p>
            <w:pPr>
              <w:spacing w:after="0"/>
              <w:rPr>
                <w:sz w:val="19"/>
                <w:szCs w:val="19"/>
                <w:color w:val="auto"/>
              </w:rPr>
            </w:pPr>
          </w:p>
        </w:tc>
        <w:tc>
          <w:tcPr>
            <w:tcW w:w="2080" w:type="dxa"/>
            <w:vAlign w:val="bottom"/>
            <w:gridSpan w:val="2"/>
          </w:tcPr>
          <w:p>
            <w:pPr>
              <w:ind w:left="150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 xml:space="preserve"> (3)</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tcPr>
          <w:p>
            <w:pPr>
              <w:spacing w:after="0"/>
              <w:rPr>
                <w:sz w:val="19"/>
                <w:szCs w:val="19"/>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3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Member notes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8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10.00%</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June 2025</w:t>
            </w:r>
          </w:p>
        </w:tc>
      </w:tr>
      <w:tr>
        <w:trPr>
          <w:trHeight w:val="230"/>
        </w:trPr>
        <w:tc>
          <w:tcPr>
            <w:tcW w:w="328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Economic injury disaster and other loans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840" w:type="dxa"/>
            <w:vAlign w:val="bottom"/>
            <w:tcBorders>
              <w:bottom w:val="single" w:sz="8" w:color="CCEEFF"/>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7.96%</w:t>
            </w:r>
          </w:p>
        </w:tc>
        <w:tc>
          <w:tcPr>
            <w:tcW w:w="1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September 2025</w:t>
            </w:r>
          </w:p>
        </w:tc>
      </w:tr>
      <w:tr>
        <w:trPr>
          <w:trHeight w:val="223"/>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payable</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29,408</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131,400</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328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4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r>
      <w:tr>
        <w:trPr>
          <w:trHeight w:val="248"/>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29,172</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129,684</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66" w:lineRule="exact"/>
        <w:rPr>
          <w:sz w:val="20"/>
          <w:szCs w:val="20"/>
          <w:color w:val="auto"/>
        </w:rPr>
      </w:pPr>
    </w:p>
    <w:p>
      <w:pPr>
        <w:ind w:left="180" w:hanging="172"/>
        <w:spacing w:after="0"/>
        <w:tabs>
          <w:tab w:leader="none" w:pos="180" w:val="left"/>
        </w:tabs>
        <w:numPr>
          <w:ilvl w:val="0"/>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hanging="172"/>
        <w:spacing w:after="0"/>
        <w:tabs>
          <w:tab w:leader="none" w:pos="180" w:val="left"/>
        </w:tabs>
        <w:numPr>
          <w:ilvl w:val="0"/>
          <w:numId w:val="5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year ended December 31, 2024, the hotel ceased operations as the Company is converting the property into a multi-family residential assets.</w:t>
      </w:r>
    </w:p>
    <w:p>
      <w:pPr>
        <w:spacing w:after="0" w:line="170" w:lineRule="exact"/>
        <w:rPr>
          <w:rFonts w:ascii="Times New Roman" w:cs="Times New Roman" w:eastAsia="Times New Roman" w:hAnsi="Times New Roman"/>
          <w:sz w:val="22"/>
          <w:szCs w:val="22"/>
          <w:color w:val="auto"/>
          <w:vertAlign w:val="superscript"/>
        </w:rPr>
      </w:pPr>
    </w:p>
    <w:p>
      <w:pPr>
        <w:ind w:left="340" w:right="20" w:hanging="332"/>
        <w:spacing w:after="0" w:line="229" w:lineRule="auto"/>
        <w:tabs>
          <w:tab w:leader="none" w:pos="210"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year ended December 31, 2024, the Company deconsolidated CFIF III, Caliber Hospitality, LP and the Caliber Hospitality Trust, which included activity from six hospitality funds, Elliot, which included activity from the Four Points by Sheraton Hotel, and DT Mesa.</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Real Estate Loans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terms of the loan agreements described below include, among other things, certain financial covenants, as defined in the respective loan agreements, including key financial ratios and liquidity requirements. Unless otherwise noted below, the consolidated funds were in compliance with the required financial covenants as of December 31, 2024.</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Hampton Inn &amp; Suites Hotel</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July 2015, the previously consolidated fund entered into a loan agreement which is secured by a deed of trust and assignment of leases and rents of a hotel property in Scottsdale, Arizona. The terms of the note require monthly principal and interest payments, with a balloon payment due at maturity. The loan has a fixed interest rate of 6.12% in effect through the maturity date in July 2025. The loan is guaranteed by an individual who is an affiliate of the Company. During the year ended December 31, 2024, the Company deconsolidated Hampton Inn &amp; Suites Hotel, a consolidated subsidiary of Caliber Hospitality, LP (as discussed in Note 3 – VIEs).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Four Points by Sheraton Hotel</w:t>
      </w:r>
    </w:p>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June 2018, the previously consolidated fund entered into a loan agreement which is secured by a deed of trust and assignment of leases and rents of a hotel property in Phoenix, Arizona. The loan requires monthly interest-only payments until maturity. The loan is guaranteed by the Company and matured in September 2023. Per the terms of this agreement, the interest rate on the loan was equal to US Prime Rate plus 2.25%, with a floor rate of 9.65%, until August 31, 2023, at which time, the interest rate increased to 18%. During the year ended December 31, 2024, the Company deconsolidated Elliot, which included activity from the Four Points by Sheraton Hotel (as discussed in Note 3 – VIEs).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Holiday Inn Ocotillo Hotel</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July 2018, the previously consolidated fund entered into a loan agreement which is secured by a deed of trust and assignment of leases and rents of a hotel property in Chandler, Arizona. The loan requires monthly interest-only payments. The interest rate on the loan is equal to 1-month LIBOR plus 6.00%, with a floor rate of 11.00% until maturity in May 2023. In May 2023, the loan agreement was amended and restated with the lender, extending the maturity date to November 2023 and amending the interest rate to SOFR plus 600 basis points, with a floor rate of 11.00%. In November 2023, the loan agreement was amended with the lender, extending the maturity date to February 2024. In February 2024, the loan agreement was amended with the lender, extending the maturity date to May 2024. The loan is guaranteed by the Company. During the year ended December 31, 2024, the Company deconsolidated Holiday Inn Ocotillo Hotel, a consolidated subsidiary of Caliber Hospitality, LP (as discussed in Note 3 – VIEs).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Airport Hotel Portfolio</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2018, the previously consolidated fund entered into a portfolio loan agreement which was secured by a deed of trust and assignment of leases and rents of the Airport Hotel Portfolio. The loan had a variable interest rate equal to one-month LIBOR plus 3.75% and the loan required interest-only payments until maturity. The loan was guaranteed by the Company and individuals who are affiliates of the Company. In January 2023, the consolidated fund paid the loan amount outstanding in full.</w:t>
      </w:r>
    </w:p>
    <w:p>
      <w:pPr>
        <w:spacing w:after="0" w:line="13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January 2023, the previously consolidated fund entered into a loan agreement which is secured by a deed of trust and assignment of leases and rents of the Airport Hotel Portfolio. Per the terms of the loan agreement, the loan has a variable interest rate equal to SOFR plus 8.75% and matures in January 2025. In connection with the loan, the previously consolidated fund entered into an interest rate cap agreement, which sets the maximum SOFR rate for the loan at 5.00% through January 2024. The loan requires interest-only payments until maturity. The terms of the loan do not allow the prepayment of the outstanding balance in part prior to the maturity date but can be prepaid in whole subject to certain conditions, terms and fees outlined in the loan agreement. The terms of the loan agreement require an exit fee equal to 1.25% of the original principal amount of the loan and a minimum return equal to 30.0% of the original principal amount of the loan less any interest payments made at the time the loan is repaid in full. The exit fee was accrued upon entering into the loan and recorded as a deferred financing cost to be amortized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 the life of the loan. The loan is guaranteed by the Company and individuals who are affiliates of the Company. During the year ended December 31, 2024, the Company deconsolidated the Airport Hotel Portfolio, consolidated subsidiaries of Caliber Hospitality, LP (as discussed in Note 3 – VIEs).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DoubleTree by Hilton Tucson Convention Center</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2019, the consolidated fund entered into a loan agreement which is secured by a deed of trust and assignment of rents of the DoubleTree by Hilton Tucson Convention Center located in Tucson, Arizona. The loan has a variable interest rate per annum equal to LIBOR plus 2.50%. In connection with the loan, the consolidated fund entered into an interest rate swap agreement, which sets the interest at a fixed rate of 4.22% from September 2022 through August 2027. The loan required interest-only payments until September 2022 and principal and interest payments thereafter until maturity. The terms of the loan allow for the prepayment of the outstanding balance in whole or in part at any time prior to the maturity date. The loan matures in August 2027 and is guaranteed by the Company. In May 2024, the consolidated fund terminated the interest rate swap agreement and received $1.6 million.</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Hilton Tucson East</w:t>
      </w:r>
    </w:p>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2021, the previously consolidated fund entered into a loan agreement which is secured by the deed of trust and assignment of rents of the Hilton Tucson East hotel located in Tucson, AZ. The loan has a fixed interest rate of 6.25% and matures in November 2025. The loan required interest-only payments until June 1, 2023 and principal and interest payments thereafter until maturity. The loan amount may be prepaid prior to maturity subject to certain conditions and terms and a prepayment fee as outlined in the agreement. During the year ended December 31, 2024, the Company deconsolidated the Hilton Tucson East, a consolidated subsidiary of Caliber Hospitality, LP (as discussed in Note 3 – VIEs).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DT Mesa Holdco II, LLC</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2019, the previously consolidated fund entered into a loan agreement which is secured by the deed of trust of a commercial building in Mesa, Arizona. The loan requires interest-only payments until maturity and the terms of the loan allow the prepayment of the outstanding balance in part or in whole at any time prior to the maturity date with no prepayment penalty. In December 2022, the terms of the loan agreement were renegotiated, extending the maturity date of the loan to November 2023 and amending the interest rate to the greater of (i) the federal home loan bank rate plus 2.75% or</w:t>
      </w:r>
    </w:p>
    <w:p>
      <w:pPr>
        <w:spacing w:after="0" w:line="3" w:lineRule="exact"/>
        <w:rPr>
          <w:sz w:val="20"/>
          <w:szCs w:val="20"/>
          <w:color w:val="auto"/>
        </w:rPr>
      </w:pPr>
    </w:p>
    <w:p>
      <w:pPr>
        <w:jc w:val="both"/>
        <w:ind w:firstLine="8"/>
        <w:spacing w:after="0" w:line="253" w:lineRule="auto"/>
        <w:tabs>
          <w:tab w:leader="none" w:pos="26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6.50%. In November 2023, the loan agreement was amended with the lender, extending the maturity date to February 2024. In February 2024, the loan agreement was amended with the lender, extending the maturity date to May 2024 and waiving the minimum liquidity covenant default. In May 2024, the loan agreement was amended with the lender, extending the maturity date to August 2024 and removed the minimum liquidity covenant. During the year ended December 31, 2024, the Company deconsolidated DT Mesa (as discussed in Note 3 – VIEs) when the loan was refinanced with a new lender.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Southpointe Fundco, LLC</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2022, the consolidated fund entered into a loan agreement which is secured by a deed of trust and assignment of rents of a residential development property in Phoenix, Arizona. The loan initially had a fixed rate per annum equal to 9.99%. In May 2023, an extension agreement was executed with the lender, extending the maturity date to December 2023. In November 2023, an extension agreement was executed with the lender, extending the maturity date to March 2024 and amending the interest to a fixed rate of 11.99%. In February 2024 and August 2024, extension agreements were executed with the lender, extending the maturity date to September 2024 and then March 2025, respectively. The terms of the loan allow the prepayment of the outstanding balance in part or in whole at any time prior to the maturity date with no prepayment penalty. The loan is guaranteed by an individual who is an affiliate of the Company.</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West Frontier Holdco, LLC</w:t>
      </w:r>
    </w:p>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March 2023, the consolidated fund entered into a construction loan agreement which is secured by a deed of trust and assignment of rents of a multi-family residential property in Payson, Arizona. Upon completion of the construction project, subject to conditions in the agreement, the loan converts to a term loan. The loan requires interest-only payments until March 2025 and principal and interest payments until March 2028, at a fixed interest rate of 6.35%. In April 2028, the loan requires principal and interest payments until maturity in February 2038, at a rate of the five year Treasury Constant Federal Reserve Index plus 2.50%. The terms of the loan allow the prepayment of the outstanding balance in part or in whole at any time prior to the maturity date with no prepayment penalty. The loan is guaranteed by individuals who are affiliates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Revolving Line of Credit and Commercial Loan</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August 2019, CFIF III entered into a revolving line of credit (“LOC”) with a maximum borrowing amount of $4.5 million. The LOC was secured by CFIF III’s assets and was guaranteed by the Company. The LOC had a variable interest rate equal to the greater of (i) Wall Street Journal Prime Rate plus 0.25% per annum or (ii) 4.75%. The Company was required to pay a fee of 0.20% of the unused revolving balance. In August 2023, the agreement was amended extending the maturity date of the LOC to October 2024 and removing certain restrictive covenants. In October 2024, the LOC was terminated, and CFIF III entered into a $4.5 million term loan, which is secured by CFIF III’s assets and is guaranteed by the Company, and matures in October 2029. The term loan has a variable interest rate equal to the sum of: (i) 3.30% plus (ii) the greater of: (a) 2.00% or (b) the forward-looking term rate based on SOFR for a one-month period. During the year ended December 31, 2024, the Company deconsolidated CFIF III when CFIF III was officially declared in wind-down.</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Member Notes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2022 and 2023, the consolidated fund, Southpointe Fundco, LLC, (“Southpointe”), entered into 10.0% unsecured promissory notes with individual investors. The notes mature in June 2025 and may be extended up to two additional 12-month periods by the fund manager. The notes require quarterly interest-only payments. The terms of the notes allow the prepayment of the outstanding balance in part or in whole at any time prior to the maturity date with no prepayment penalty.</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Economic Injury Disaster Loans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2020, the consolidated funds were granted Economic Injury Disaster Loans, which are secured by the assets of the respective funds and have a fixed interest rate of 3.75% and mature in June 2050. At December 31, 2024, there was an immaterial outstanding principal balance. At December 31, 2023, the outstanding principal balance was $0.5 million. Fixed monthly installment payments began in December 2022 with payments applied first to accrued interest and then the balance, if any, will be applied to principal outstanding. The loans allow for prepayment of principal plus accrued interest prior to maturity. The loan agreements contain certain usual and customary restrictions and covenants relating to, among other things, insurance, and other indebtedness. In addition, the terms of the loans include a cross-default provision whereby the Small Business Administration may, in its discretion, without notice or demand require immediate payment of all amounts outstanding under the loans.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Debt Maturities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the future aggregate principal repayments due on the Company’s notes payable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80" w:type="dxa"/>
            <w:vAlign w:val="bottom"/>
          </w:tcPr>
          <w:p>
            <w:pPr>
              <w:spacing w:after="0"/>
              <w:rPr>
                <w:sz w:val="20"/>
                <w:szCs w:val="20"/>
                <w:color w:val="auto"/>
              </w:rPr>
            </w:pPr>
          </w:p>
        </w:tc>
        <w:tc>
          <w:tcPr>
            <w:tcW w:w="16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17,046</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9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w:t>
            </w:r>
          </w:p>
        </w:tc>
      </w:tr>
      <w:tr>
        <w:trPr>
          <w:trHeight w:val="248"/>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29,408</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of deferred financing costs was $0.4 million and $1.5 million during the years ended December 31, 2024 and 2023, respectively. During the year ended December 31, 2024, there were no deferred financing cost write-offs. There was $0.4 million deferred financing cost write-offs during the year ended December 31,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 Party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of the Company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Platform Revenues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shows the total revenues earned for providing services under the Platform as described in the Revenue Recognition section of Note 2 – Summary of Significant Accounting Policies for the years ended December 31,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39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60" w:type="dxa"/>
            <w:vAlign w:val="bottom"/>
            <w:tcBorders>
              <w:bottom w:val="single" w:sz="8" w:color="auto"/>
            </w:tcBorders>
          </w:tcPr>
          <w:p>
            <w:pPr>
              <w:spacing w:after="0"/>
              <w:rPr>
                <w:sz w:val="20"/>
                <w:szCs w:val="20"/>
                <w:color w:val="auto"/>
              </w:rPr>
            </w:pPr>
          </w:p>
        </w:tc>
      </w:tr>
      <w:tr>
        <w:trPr>
          <w:trHeight w:val="223"/>
        </w:trPr>
        <w:tc>
          <w:tcPr>
            <w:tcW w:w="65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Borders>
              <w:bottom w:val="single" w:sz="8" w:color="auto"/>
            </w:tcBorders>
          </w:tcPr>
          <w:p>
            <w:pPr>
              <w:spacing w:after="0"/>
              <w:rPr>
                <w:sz w:val="19"/>
                <w:szCs w:val="19"/>
                <w:color w:val="auto"/>
              </w:rPr>
            </w:pP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management fees</w:t>
            </w:r>
          </w:p>
        </w:tc>
        <w:tc>
          <w:tcPr>
            <w:tcW w:w="1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9,219</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w:t>
            </w: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fees</w:t>
            </w:r>
          </w:p>
        </w:tc>
        <w:tc>
          <w:tcPr>
            <w:tcW w:w="1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and construction fees</w:t>
            </w:r>
          </w:p>
        </w:tc>
        <w:tc>
          <w:tcPr>
            <w:tcW w:w="1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w:t>
            </w:r>
          </w:p>
        </w:tc>
      </w:tr>
      <w:tr>
        <w:trPr>
          <w:trHeight w:val="230"/>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Brokerage fees</w:t>
            </w:r>
          </w:p>
        </w:tc>
        <w:tc>
          <w:tcPr>
            <w:tcW w:w="1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3"/>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 management</w:t>
            </w:r>
          </w:p>
        </w:tc>
        <w:tc>
          <w:tcPr>
            <w:tcW w:w="1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10,571</w:t>
            </w:r>
          </w:p>
        </w:tc>
      </w:tr>
      <w:tr>
        <w:trPr>
          <w:trHeight w:val="230"/>
        </w:trPr>
        <w:tc>
          <w:tcPr>
            <w:tcW w:w="6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w:t>
            </w:r>
          </w:p>
        </w:tc>
      </w:tr>
      <w:tr>
        <w:trPr>
          <w:trHeight w:val="248"/>
        </w:trPr>
        <w:tc>
          <w:tcPr>
            <w:tcW w:w="65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related party Platform revenue</w:t>
            </w:r>
          </w:p>
        </w:tc>
        <w:tc>
          <w:tcPr>
            <w:tcW w:w="1480" w:type="dxa"/>
            <w:vAlign w:val="bottom"/>
            <w:tcBorders>
              <w:bottom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17,237</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14,210</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and 2023, amounts due to the Company from related parties for services performed under the Platform was $6.2 million and $7.8 million, respectively, which is included in due from related parties on the accompanying consolidated balance sheets.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had an allowance for doubtful accounts of $4.0 million as of December 31, 2024. The Company did not record an allowance for doubtful accounts as of December 31, 2023.</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entered into unsecured promissory notes with related parties. No payments are required prior to the maturity of the notes. The notes may be prepaid in whole, or in part, without penalty.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notes receivable – related parties as of December 31, 2024 and 2023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Receivable - Related Parties</w:t>
            </w:r>
          </w:p>
        </w:tc>
        <w:tc>
          <w:tcPr>
            <w:tcW w:w="160" w:type="dxa"/>
            <w:vAlign w:val="bottom"/>
          </w:tcPr>
          <w:p>
            <w:pPr>
              <w:spacing w:after="0"/>
              <w:rPr>
                <w:sz w:val="23"/>
                <w:szCs w:val="23"/>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23"/>
                <w:szCs w:val="23"/>
                <w:color w:val="auto"/>
              </w:rPr>
            </w:pPr>
          </w:p>
        </w:tc>
        <w:tc>
          <w:tcPr>
            <w:tcW w:w="1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3"/>
                <w:szCs w:val="23"/>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 xml:space="preserve">Interest Rate </w:t>
            </w:r>
            <w:r>
              <w:rPr>
                <w:rFonts w:ascii="Times New Roman" w:cs="Times New Roman" w:eastAsia="Times New Roman" w:hAnsi="Times New Roman"/>
                <w:sz w:val="23"/>
                <w:szCs w:val="23"/>
                <w:b w:val="1"/>
                <w:bCs w:val="1"/>
                <w:color w:val="auto"/>
                <w:w w:val="96"/>
                <w:vertAlign w:val="superscript"/>
              </w:rPr>
              <w:t>(1)</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xml:space="preserve">Maturity Date </w:t>
            </w:r>
            <w:r>
              <w:rPr>
                <w:rFonts w:ascii="Times New Roman" w:cs="Times New Roman" w:eastAsia="Times New Roman" w:hAnsi="Times New Roman"/>
                <w:sz w:val="23"/>
                <w:szCs w:val="23"/>
                <w:b w:val="1"/>
                <w:bCs w:val="1"/>
                <w:color w:val="auto"/>
                <w:w w:val="96"/>
                <w:vertAlign w:val="superscript"/>
              </w:rPr>
              <w:t>(1)</w:t>
            </w:r>
          </w:p>
        </w:tc>
      </w:tr>
      <w:tr>
        <w:trPr>
          <w:trHeight w:val="223"/>
        </w:trPr>
        <w:tc>
          <w:tcPr>
            <w:tcW w:w="368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Caliber Hospitality LP </w:t>
            </w:r>
            <w:r>
              <w:rPr>
                <w:rFonts w:ascii="Times New Roman" w:cs="Times New Roman" w:eastAsia="Times New Roman" w:hAnsi="Times New Roman"/>
                <w:sz w:val="23"/>
                <w:szCs w:val="23"/>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September 2025</w:t>
            </w: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Olathe Behavioral Health</w:t>
            </w:r>
          </w:p>
        </w:tc>
        <w:tc>
          <w:tcPr>
            <w:tcW w:w="16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25</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2025</w:t>
            </w: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DFW Behavioral Health LLC</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25</w:t>
            </w:r>
          </w:p>
        </w:tc>
        <w:tc>
          <w:tcPr>
            <w:tcW w:w="16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May 2025</w:t>
            </w: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Blue Spruce Ridge MezzCo, LLC</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2026</w:t>
            </w: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 Ridge MezzCo, LLC</w:t>
            </w: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2026</w:t>
            </w:r>
          </w:p>
        </w:tc>
      </w:tr>
      <w:tr>
        <w:trPr>
          <w:trHeight w:val="22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Notes Receivable - Related Parties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4" w:lineRule="exact"/>
        <w:rPr>
          <w:sz w:val="20"/>
          <w:szCs w:val="20"/>
          <w:color w:val="auto"/>
        </w:rPr>
      </w:pPr>
    </w:p>
    <w:p>
      <w:pPr>
        <w:ind w:left="360" w:hanging="352"/>
        <w:spacing w:after="0"/>
        <w:tabs>
          <w:tab w:leader="none" w:pos="36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2024.</w:t>
      </w:r>
    </w:p>
    <w:p>
      <w:pPr>
        <w:spacing w:after="0" w:line="170" w:lineRule="exact"/>
        <w:rPr>
          <w:rFonts w:ascii="Times New Roman" w:cs="Times New Roman" w:eastAsia="Times New Roman" w:hAnsi="Times New Roman"/>
          <w:sz w:val="23"/>
          <w:szCs w:val="23"/>
          <w:color w:val="auto"/>
          <w:vertAlign w:val="superscript"/>
        </w:rPr>
      </w:pPr>
    </w:p>
    <w:p>
      <w:pPr>
        <w:jc w:val="both"/>
        <w:ind w:left="340" w:hanging="332"/>
        <w:spacing w:after="0" w:line="239" w:lineRule="auto"/>
        <w:tabs>
          <w:tab w:leader="none" w:pos="339"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year ended December 31, 2024, the Company deconsolidated Caliber Hospitality, LP and Caliber Hospitality Trust, which included activity from six hospitality funds, Elliot, and Caliber Fixed Income Fund III. This note is included in the table above despite having a $0 balance at both of the years ended December 31, 2024 and 2023, as Caliber Hospitality LP has the ability to borrow on this note up to a maximum of $12.0 million up until it matures.</w:t>
      </w:r>
    </w:p>
    <w:p>
      <w:pPr>
        <w:spacing w:after="0" w:line="1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earned $0.2 million and an immaterial amount of interest in connection with the notes, which is included in interest income on the accompanying consolidated statements of operations. Interest that accrues on certain related party notes receivable can be added to the principal outstanding balance, due at the</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respective loan maturity date and incurs interest at the respective interest rate. There was an immaterial amount of interest due to the Company as of December 31, 2024 and 2023.</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has various amounts due from and/or due to related parties, including affiliate entities and individuals, for various expenses paid for by the Company on their behalf and other charges. These amounts are generally unsecured, interest-free, and due on demand. As of December 31, 2024 and 2023, other amounts due from related parties was $0.8 million and $1.9 million, respectively, which is included in due from related parties on the accompanying consolidated balance sheets. As of December 31, 2024 and 2023, other amounts due to related parties from the Company were $0.3 million and $0.3 million, respectively, which are included in due to related parties on the accompanying consolidated balance sheets.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of the Consolidated Funds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funds entered into unsecured promissory notes with related parties. The notes may be repaid in whole, or in part, without penalty. The notes receivable – related parties consisted of the following as of December 31, 2024 and 2023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Receivable - Related Parties</w:t>
            </w:r>
          </w:p>
        </w:tc>
        <w:tc>
          <w:tcPr>
            <w:tcW w:w="14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22"/>
                <w:szCs w:val="22"/>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2"/>
                <w:szCs w:val="22"/>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Interest Rate</w:t>
            </w:r>
            <w:r>
              <w:rPr>
                <w:rFonts w:ascii="Times New Roman" w:cs="Times New Roman" w:eastAsia="Times New Roman" w:hAnsi="Times New Roman"/>
                <w:sz w:val="23"/>
                <w:szCs w:val="23"/>
                <w:b w:val="1"/>
                <w:bCs w:val="1"/>
                <w:color w:val="auto"/>
                <w:w w:val="96"/>
                <w:vertAlign w:val="superscript"/>
              </w:rPr>
              <w:t>(1)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Maturity Date</w:t>
            </w:r>
            <w:r>
              <w:rPr>
                <w:rFonts w:ascii="Times New Roman" w:cs="Times New Roman" w:eastAsia="Times New Roman" w:hAnsi="Times New Roman"/>
                <w:sz w:val="23"/>
                <w:szCs w:val="23"/>
                <w:b w:val="1"/>
                <w:bCs w:val="1"/>
                <w:color w:val="auto"/>
                <w:w w:val="96"/>
                <w:vertAlign w:val="superscript"/>
              </w:rPr>
              <w:t>(1)</w:t>
            </w:r>
          </w:p>
        </w:tc>
      </w:tr>
      <w:tr>
        <w:trPr>
          <w:trHeight w:val="223"/>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SF Alaska, LP</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14,976</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2025</w:t>
            </w: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Ketch, LLC</w:t>
            </w:r>
          </w:p>
        </w:tc>
        <w:tc>
          <w:tcPr>
            <w:tcW w:w="14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2026</w:t>
            </w: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Circle Lofts, LLC</w:t>
            </w: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5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2026</w:t>
            </w:r>
          </w:p>
        </w:tc>
      </w:tr>
      <w:tr>
        <w:trPr>
          <w:trHeight w:val="230"/>
        </w:trPr>
        <w:tc>
          <w:tcPr>
            <w:tcW w:w="42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Elliot &amp; 51st Street, LLC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2026</w:t>
            </w: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J-25 Development Group, LLC</w:t>
            </w: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5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2026</w:t>
            </w: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Diversified Opportunity Fund II, LP</w:t>
            </w:r>
          </w:p>
        </w:tc>
        <w:tc>
          <w:tcPr>
            <w:tcW w:w="14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r>
      <w:tr>
        <w:trPr>
          <w:trHeight w:val="23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Ridge II, LLC</w:t>
            </w: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5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Ironwood, LLC</w:t>
            </w:r>
          </w:p>
        </w:tc>
        <w:tc>
          <w:tcPr>
            <w:tcW w:w="14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r>
      <w:tr>
        <w:trPr>
          <w:trHeight w:val="23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Southridge, LLC</w:t>
            </w: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5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2025</w:t>
            </w:r>
          </w:p>
        </w:tc>
      </w:tr>
      <w:tr>
        <w:trPr>
          <w:trHeight w:val="230"/>
        </w:trPr>
        <w:tc>
          <w:tcPr>
            <w:tcW w:w="42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Caliber Hospitality, LP </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September 2026</w:t>
            </w:r>
          </w:p>
        </w:tc>
      </w:tr>
      <w:tr>
        <w:trPr>
          <w:trHeight w:val="248"/>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Receivable - Related Parties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68"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2024.</w:t>
      </w:r>
    </w:p>
    <w:p>
      <w:pPr>
        <w:spacing w:after="0" w:line="157" w:lineRule="exact"/>
        <w:rPr>
          <w:rFonts w:ascii="Times New Roman" w:cs="Times New Roman" w:eastAsia="Times New Roman" w:hAnsi="Times New Roman"/>
          <w:sz w:val="23"/>
          <w:szCs w:val="23"/>
          <w:color w:val="auto"/>
          <w:vertAlign w:val="superscript"/>
        </w:rPr>
      </w:pPr>
    </w:p>
    <w:p>
      <w:pPr>
        <w:ind w:left="340" w:right="20" w:hanging="332"/>
        <w:spacing w:after="0" w:line="229" w:lineRule="auto"/>
        <w:tabs>
          <w:tab w:leader="none" w:pos="429"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year ended December 31, 2024, the Company deconsolidated Caliber Hospitality, LP and the Caliber Hospitality Trust, which included activity from six hospitality funds, Elliot, and Caliber Fixed Income Fund III.</w:t>
      </w:r>
    </w:p>
    <w:p>
      <w:pPr>
        <w:spacing w:after="0" w:line="15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and 2023, the consolidated funds earned $5.9 million and $3.7 million, respectively, of interest in connection with the notes, which is included in consolidated funds – other revenues on the accompanying consolidated statements of operations. Interest that accrues on certain related party notes receivable, in which the consolidated fund and respective borrower mutually agreed, is added to the principal outstanding balance, due at the respective loan maturity date and incurs interest at the respective interest rate. $0.3 million and no interest was due to the Company as of December 31, 2024 and 2023, respectively, which is included in due from related parties on the accompanying consolidated balance sheets.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Notes Payable</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funds entered into unsecured promissory notes with related parties. The notes may be repaid in whole, or in part, without penalty. The notes payable – related parties consisted of the following as of December 31, 2024 and 2023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 - Related Parties</w:t>
            </w:r>
          </w:p>
        </w:tc>
        <w:tc>
          <w:tcPr>
            <w:tcW w:w="14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22"/>
                <w:szCs w:val="22"/>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2"/>
                <w:szCs w:val="22"/>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Interest Rate</w:t>
            </w:r>
            <w:r>
              <w:rPr>
                <w:rFonts w:ascii="Times New Roman" w:cs="Times New Roman" w:eastAsia="Times New Roman" w:hAnsi="Times New Roman"/>
                <w:sz w:val="23"/>
                <w:szCs w:val="23"/>
                <w:b w:val="1"/>
                <w:bCs w:val="1"/>
                <w:color w:val="auto"/>
                <w:w w:val="96"/>
                <w:vertAlign w:val="superscript"/>
              </w:rPr>
              <w:t>(1)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Maturity Date</w:t>
            </w:r>
            <w:r>
              <w:rPr>
                <w:rFonts w:ascii="Times New Roman" w:cs="Times New Roman" w:eastAsia="Times New Roman" w:hAnsi="Times New Roman"/>
                <w:sz w:val="23"/>
                <w:szCs w:val="23"/>
                <w:b w:val="1"/>
                <w:bCs w:val="1"/>
                <w:color w:val="auto"/>
                <w:w w:val="96"/>
                <w:vertAlign w:val="superscript"/>
              </w:rPr>
              <w:t>(1)</w:t>
            </w:r>
          </w:p>
        </w:tc>
      </w:tr>
      <w:tr>
        <w:trPr>
          <w:trHeight w:val="223"/>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Caliber Tax Advantaged Opportunity Zone Fund, LP</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Tax Advantaged Opportunity Zone Fund II, LP</w:t>
            </w:r>
          </w:p>
        </w:tc>
        <w:tc>
          <w:tcPr>
            <w:tcW w:w="14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00" w:type="dxa"/>
            <w:vAlign w:val="bottom"/>
          </w:tcPr>
          <w:p>
            <w:pPr>
              <w:spacing w:after="0"/>
              <w:rPr>
                <w:sz w:val="19"/>
                <w:szCs w:val="19"/>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Caliber Fixed Income Fund III</w:t>
            </w:r>
          </w:p>
        </w:tc>
        <w:tc>
          <w:tcPr>
            <w:tcW w:w="1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r>
      <w:tr>
        <w:trPr>
          <w:trHeight w:val="22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Notes Payable - Related Parties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12,055</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66" w:lineRule="exact"/>
        <w:rPr>
          <w:sz w:val="20"/>
          <w:szCs w:val="20"/>
          <w:color w:val="auto"/>
        </w:rPr>
      </w:pPr>
    </w:p>
    <w:p>
      <w:pPr>
        <w:ind w:left="180" w:hanging="172"/>
        <w:spacing w:after="0"/>
        <w:tabs>
          <w:tab w:leader="none" w:pos="180" w:val="left"/>
        </w:tabs>
        <w:numPr>
          <w:ilvl w:val="0"/>
          <w:numId w:val="6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2024.</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and 2023, the consolidated funds incurred $0.3 million and $1.2 million, respectively, of interest expense in connection with the notes payable – related parties, which is included in consolidated funds – hospitality expenses and consolidated funds – other expenses on the accompanying consolidated statements of operations. No interest was payable as of December 31, 2024. As of December 31, 2023, there was $0.1 million of interest expense payable which is included in due to related parties on the accompanying consolidated balance sheets. Management expects to extend these notes at maturity.</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consolidated funds have various amounts due from and/or due to related parties, including affiliate entities and individuals, for various expenses paid by the funds on their behalf and other charges. These amounts are generally unsecured, interest-free, and due on demand. As of December 31, 2024 and 2023, there was an immaterial amount of other amounts due from related parties. As of December 31, 2024 and 2023, there was $0.1 million and an immaterial amount, respectively, of other amounts due to related parties.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Lessee - Company</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2024, the Company is the lessee under one corporate office lease which meets the criteria of an operating lease. The operating lease has a remaining lease term of 2.8 years and a 9.4% discount rate as of December 31, 2024. As of December 31, 2023, the Company is the lessee under one corporate office lease which meets the criteria of an operating lease. The operating lease has a remaining lease term of 3.8 years and a 9.4% discount rate as of December 31, 2023. As the Company’s lease does not specifically state an implicit rate, the Company uses a discount rate indicative of synthetic credit rate based on a market-specific analysis, and applied based on the lease term as of the lease commencement date or upon a remeasurement event when calculating the present value of the remaining lease payments. Therefore, the incremental borrowing rate used reflects the cost to borrow on a securitized basis. The remaining lease term does not reflect all renewal options available to the Company, only those renewal options that the Company has assessed as reasonably certain of being exercised. The operating lease agreement does not contain any material residual value guarantees or material restrictive covenants. As of December 31, 2024, the Company does not have any material operating or financing leases with related parties or that have not yet commenced, or any sale-leaseback arrangements. Variable lease expense is primarily costs reimbursed related to common area maintenance. Fixed and variable leasing costs incurred by the Company were $0.1 million and $0.1 million, during the years ended December 31, 2024 and 2023, respectively.</w:t>
      </w:r>
    </w:p>
    <w:p>
      <w:pPr>
        <w:spacing w:after="0" w:line="16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cash paid for amounts included in the measurement of operating lease liabilities and future maturities of operating lease liabilities are immaterial.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Lessee - Consolidated Funds</w:t>
      </w:r>
    </w:p>
    <w:p>
      <w:pPr>
        <w:spacing w:after="0" w:line="20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2024, the consolidated funds are the lessee under zero ground lease arrangements that meet the criteria of an operating lease. As of December 31, 2024, the consolidated funds do not have any material operating or financing leases with related parties or that have not yet commenced, or any sale-leaseback arrangements. As of December 31, 2023, the consolidated funds are the lessee under two ground lease arrangements that meet the criteria of an operating lease. The operating leases have a weighted average remaining lease term of 55.7 years and a 9.6% weighted average discount rate as of December 31, 2023. As the consolidated funds leases do not specifically state an implicit rate, the consolidated funds use discount rates indicative of synthetic credit rate based on a market-specific analysis, and applied based on the lease term as of the lease commencement date or upon a remeasurement event when calculating the present value of the remaining lease payments. Therefore, the incremental borrowing rate used reflects the cost to borrow on a securitized basis. The remaining lease term does not reflect all renewal options available to the consolidated funds, only those renewal options that the consolidated funds has assessed as reasonably certain of being exercised. The operating lease agreements do not contain any material residual value guarantees or material restrictive covenants. There was no fixed lease expense for the consolidated funds for the year ended December 31, 2024. Fixed lease expense for the consolidated funds for the year ended December 31, 2023 was $1.4 million. There was $0.1 million variable lease expense for the years ended December 31, 2024 and 2023.</w:t>
      </w:r>
    </w:p>
    <w:p>
      <w:pPr>
        <w:spacing w:after="0" w:line="1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there was no cash paid for operating lease liabilities or lease liabilities arising from lease modifications. During the year ended December 31, 2023, there was $1.3 million of cash paid for amounts included in the measurement of operating lease liabilities and $1.5 million of lease liabilities arising from lease modifications.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 Company</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Rental revenue of the Company includes the revenues generated by the rental operations of one commercial office property, which was acquired in January 2023. As of December 31, 2024, the leases have non-cancelable remaining lease terms from 1.2 years to 9.6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December 31, 2024, the Company does not have any material related party leases as a lessor. The components of rental revenue for the years ended December 31, 2024 and 2023, are presented in the table below (in thousands). Variable rental revenue is primarily costs reimbursed related to common area maintenance.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34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Borders>
              <w:bottom w:val="single" w:sz="8" w:color="auto"/>
            </w:tcBorders>
          </w:tcPr>
          <w:p>
            <w:pPr>
              <w:spacing w:after="0"/>
              <w:rPr>
                <w:sz w:val="20"/>
                <w:szCs w:val="20"/>
                <w:color w:val="auto"/>
              </w:rPr>
            </w:pPr>
          </w:p>
        </w:tc>
      </w:tr>
      <w:tr>
        <w:trPr>
          <w:trHeight w:val="223"/>
        </w:trPr>
        <w:tc>
          <w:tcPr>
            <w:tcW w:w="71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w:t>
            </w:r>
          </w:p>
        </w:tc>
        <w:tc>
          <w:tcPr>
            <w:tcW w:w="13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w:t>
            </w:r>
          </w:p>
        </w:tc>
        <w:tc>
          <w:tcPr>
            <w:tcW w:w="1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Future minimum lease payments due to the Company under non-cancellable operating leases over the next five years and thereafter as of December 31, 2024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r>
      <w:tr>
        <w:trPr>
          <w:trHeight w:val="230"/>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3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30"/>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9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48"/>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 Consolidated Funds</w:t>
      </w:r>
    </w:p>
    <w:p>
      <w:pPr>
        <w:spacing w:after="0" w:line="20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Rental revenue of the consolidated funds includes the revenues generated primarily by the rental operations of two multi-family residential properties, including Circle Lofts which was deconsolidated during the year ended December 31, 2023 and two commercial properties, including Northsight Crossing which was sold in October 2023 and DT Mesa, which was deconsolidated</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2024. As of December 31, 2024, the leases have non-cancelable remaining lease terms from 0.1 years to 1.0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December 31, 2024, the consolidated funds do not have any material related party leases as a lessor. The components of rental revenue for the years ended December 31, 2024 and 2023 (in thousands) are presented in the table below. Variable rental revenue are primarily costs reimbursed related to common area maintenance.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346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40" w:type="dxa"/>
            <w:vAlign w:val="bottom"/>
            <w:tcBorders>
              <w:bottom w:val="single" w:sz="8" w:color="auto"/>
            </w:tcBorders>
          </w:tcPr>
          <w:p>
            <w:pPr>
              <w:spacing w:after="0"/>
              <w:rPr>
                <w:sz w:val="20"/>
                <w:szCs w:val="20"/>
                <w:color w:val="auto"/>
              </w:rPr>
            </w:pPr>
          </w:p>
        </w:tc>
      </w:tr>
      <w:tr>
        <w:trPr>
          <w:trHeight w:val="223"/>
        </w:trPr>
        <w:tc>
          <w:tcPr>
            <w:tcW w:w="71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w:t>
            </w:r>
          </w:p>
        </w:tc>
        <w:tc>
          <w:tcPr>
            <w:tcW w:w="13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r>
      <w:tr>
        <w:trPr>
          <w:trHeight w:val="22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w:t>
            </w:r>
          </w:p>
        </w:tc>
        <w:tc>
          <w:tcPr>
            <w:tcW w:w="1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lease payments due to the consolidated funds under non-cancellable operating leases over the next five years and thereafter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4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7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Other Liabilities</w:t>
            </w:r>
          </w:p>
        </w:tc>
        <w:tc>
          <w:tcPr>
            <w:tcW w:w="1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72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Liabilities of the Company</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liabilities consisted of the following as of December 31, 2024 and 2023 (in thousands):</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7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 market leases,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Tenant improvement allowance</w:t>
            </w:r>
          </w:p>
        </w:tc>
        <w:tc>
          <w:tcPr>
            <w:tcW w:w="18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72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Deposits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Includes tenant security deposits.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Liabilities of the Consolidated Funds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liabilities of the consolidated funds consisted of the following as of December 31, 2024 and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key money,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7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Deposits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48"/>
        </w:trPr>
        <w:tc>
          <w:tcPr>
            <w:tcW w:w="7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66" w:lineRule="exact"/>
        <w:rPr>
          <w:sz w:val="20"/>
          <w:szCs w:val="20"/>
          <w:color w:val="auto"/>
        </w:rPr>
      </w:pPr>
    </w:p>
    <w:p>
      <w:pPr>
        <w:ind w:left="180" w:hanging="172"/>
        <w:spacing w:after="0"/>
        <w:tabs>
          <w:tab w:leader="none" w:pos="180" w:val="left"/>
        </w:tabs>
        <w:numPr>
          <w:ilvl w:val="0"/>
          <w:numId w:val="6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hotel advance deposits and tenant security and pet deposits.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0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components of the income tax provision (benefit) from total operations for the years ended December 31, 2024 and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334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80" w:type="dxa"/>
            <w:vAlign w:val="bottom"/>
            <w:tcBorders>
              <w:bottom w:val="single" w:sz="8" w:color="auto"/>
            </w:tcBorders>
          </w:tcPr>
          <w:p>
            <w:pPr>
              <w:spacing w:after="0"/>
              <w:rPr>
                <w:sz w:val="20"/>
                <w:szCs w:val="20"/>
                <w:color w:val="auto"/>
              </w:rPr>
            </w:pPr>
          </w:p>
        </w:tc>
      </w:tr>
      <w:tr>
        <w:trPr>
          <w:trHeight w:val="223"/>
        </w:trPr>
        <w:tc>
          <w:tcPr>
            <w:tcW w:w="72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r>
      <w:tr>
        <w:trPr>
          <w:trHeight w:val="20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provision (benefit)</w:t>
            </w: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1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7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r>
      <w:tr>
        <w:trPr>
          <w:trHeight w:val="230"/>
        </w:trPr>
        <w:tc>
          <w:tcPr>
            <w:tcW w:w="7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23"/>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r>
      <w:tr>
        <w:trPr>
          <w:trHeight w:val="162"/>
        </w:trPr>
        <w:tc>
          <w:tcPr>
            <w:tcW w:w="7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valuation allowance</w:t>
            </w:r>
          </w:p>
        </w:tc>
        <w:tc>
          <w:tcPr>
            <w:tcW w:w="1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r>
      <w:tr>
        <w:trPr>
          <w:trHeight w:val="223"/>
        </w:trPr>
        <w:tc>
          <w:tcPr>
            <w:tcW w:w="7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reconciles the U.S. federal statutory tax rate to the effective income tax rate for the years ended December 31, 2024 and 2023:</w:t>
      </w:r>
    </w:p>
    <w:p>
      <w:pPr>
        <w:spacing w:after="0" w:line="22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0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9"/>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passed through to noncontrolling interest, federal tax</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passed through to noncontrolling interest, state tax</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 VIEs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Prior period return-to-provision adjustments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43"/>
        </w:trPr>
        <w:tc>
          <w:tcPr>
            <w:tcW w:w="8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r>
        <w:trPr>
          <w:trHeight w:val="716"/>
        </w:trPr>
        <w:tc>
          <w:tcPr>
            <w:tcW w:w="832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F-35</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5"/>
        </w:trPr>
        <w:tc>
          <w:tcPr>
            <w:tcW w:w="70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the components of the Company’s deferred tax assets and liabilities as of December 31, 2024 and 2023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17,837</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13,632</w:t>
            </w:r>
          </w:p>
        </w:tc>
      </w:tr>
      <w:tr>
        <w:trPr>
          <w:trHeight w:val="229"/>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 362 basis Step-up</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30"/>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29"/>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based compensation</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30"/>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gain/loss on investments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23"/>
        </w:trPr>
        <w:tc>
          <w:tcPr>
            <w:tcW w:w="7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18,440</w:t>
            </w:r>
          </w:p>
        </w:tc>
      </w:tr>
      <w:tr>
        <w:trPr>
          <w:trHeight w:val="20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30"/>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Passthrough income/loss from partnerships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w:t>
            </w:r>
          </w:p>
        </w:tc>
      </w:tr>
      <w:tr>
        <w:trPr>
          <w:trHeight w:val="229"/>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30"/>
        </w:trPr>
        <w:tc>
          <w:tcPr>
            <w:tcW w:w="7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23"/>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(11,468)</w:t>
            </w:r>
          </w:p>
        </w:tc>
      </w:tr>
      <w:tr>
        <w:trPr>
          <w:trHeight w:val="230"/>
        </w:trPr>
        <w:tc>
          <w:tcPr>
            <w:tcW w:w="7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(6,972)</w:t>
            </w:r>
          </w:p>
        </w:tc>
      </w:tr>
      <w:tr>
        <w:trPr>
          <w:trHeight w:val="248"/>
        </w:trPr>
        <w:tc>
          <w:tcPr>
            <w:tcW w:w="72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approximately $72.3 million and $71.3 million of federal and state net operating losses (“NOL”), respectively, available to offset future taxable income. As of December 31, 2023, the Company had approximately $59.5 million and $59.8 million of federal and state NOL, respectively, available to offset future taxable income. The federal NOLs arising in 2017 and prior, if not utilized, begin expiring in the year 2035. Federal NOLs arising in tax years ending after December 31, 2017 can be carried forward indefinitely but are subject to an 80% of taxable income limitation. The Arizona state NOLs arising in 2015, if not utilized, begin expiring in the year 2035. In accordance with Section 382 of the Internal Revenue Code, deductibility of the Company’s federal NOL carryovers may be limited in the event of a change in control of ownership.</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assessing the need for a valuation allowance against its net deferred tax assets, the Company considers both positive and negative evidence related to the likelihood of realization of the deferred tax assets to determine, based on the weight of available evidence, whether it is more-likely-than-not that some or all of the deferred tax assets will not be realized. In evaluating the need for a valuation allowance, the Company considered cumulative tax losses as a significant piece of negative evidence and established a full valuation allowance of $11.7 million and $7.0 million against the Company’s net deferred tax assets as of December 31, 2024 and 2023, respectively.</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to the Company’s valuation allowance during the years ended December 31, 2024 and 2023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338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40" w:type="dxa"/>
            <w:vAlign w:val="bottom"/>
            <w:tcBorders>
              <w:bottom w:val="single" w:sz="8" w:color="auto"/>
            </w:tcBorders>
          </w:tcPr>
          <w:p>
            <w:pPr>
              <w:spacing w:after="0"/>
              <w:rPr>
                <w:sz w:val="20"/>
                <w:szCs w:val="20"/>
                <w:color w:val="auto"/>
              </w:rPr>
            </w:pPr>
          </w:p>
        </w:tc>
      </w:tr>
      <w:tr>
        <w:trPr>
          <w:trHeight w:val="223"/>
        </w:trPr>
        <w:tc>
          <w:tcPr>
            <w:tcW w:w="72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at the beginning of the year</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 recorded during the year</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at the end of the year</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are subject to the following significant taxing jurisdictions: U.S., Alaska, Arizona, California, Colorado, Florida, Missouri, Oregon, and Texas. The Company is currently not under income tax examination in any tax jurisdiction.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believe our tax returns are correct, the final determination of tax examinations and any related litigation could be different from what was reported on the tax returns. We are currently open to audit under the statute of limitations by the United States Internal Revenue Service as well as state taxing authorities for the past four years (three years in some states). However, due to NOL carryforwards not being utilized, all periods are open to potential examinations. Any penalties and interest related to unrecognized tax benefits would be classified as income tax expense in the accompanying consolidated statements of operations.</w:t>
      </w:r>
    </w:p>
    <w:p>
      <w:pPr>
        <w:spacing w:after="0" w:line="1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apply U.S. GAAP related to accounting for uncertainty in income taxes, which prescribes a recognition threshold that a tax position is required to meet before recognition in the financial statements and provides guidance on derecognition, measurement, classification, interest and penalties, accounting in interim periods, disclosure and transition issues. We do not believe that there are any positions taken by the Company which would require recognition or disclosure in these financial statements for the years ended December 31, 2024 and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Supplemental Cash Flow Disclosures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consisted of the following for the years ended December 31, 2024 and 2023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310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74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 none of which was capitalized for the years ended December 31, 2024 and</w:t>
            </w: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1"/>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respectively</w:t>
            </w: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40" w:type="dxa"/>
            <w:vAlign w:val="bottom"/>
          </w:tcPr>
          <w:p>
            <w:pPr>
              <w:spacing w:after="0"/>
              <w:rPr>
                <w:sz w:val="22"/>
                <w:szCs w:val="22"/>
                <w:color w:val="auto"/>
              </w:rPr>
            </w:pP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20" w:type="dxa"/>
            <w:vAlign w:val="bottom"/>
          </w:tcPr>
          <w:p>
            <w:pPr>
              <w:spacing w:after="0"/>
              <w:rPr>
                <w:sz w:val="22"/>
                <w:szCs w:val="22"/>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 of Consolidated Funds</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capitalized interest of $3 and $33 for the years ended December 31,</w:t>
            </w: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1"/>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and 2023, respectively</w:t>
            </w:r>
          </w:p>
        </w:tc>
        <w:tc>
          <w:tcPr>
            <w:tcW w:w="1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14,731</w:t>
            </w:r>
          </w:p>
        </w:tc>
        <w:tc>
          <w:tcPr>
            <w:tcW w:w="20" w:type="dxa"/>
            <w:vAlign w:val="bottom"/>
          </w:tcPr>
          <w:p>
            <w:pPr>
              <w:spacing w:after="0"/>
              <w:rPr>
                <w:sz w:val="22"/>
                <w:szCs w:val="22"/>
                <w:color w:val="auto"/>
              </w:rPr>
            </w:pPr>
          </w:p>
        </w:tc>
      </w:tr>
      <w:tr>
        <w:trPr>
          <w:trHeight w:val="729"/>
        </w:trPr>
        <w:tc>
          <w:tcPr>
            <w:tcW w:w="748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F-37</w:t>
            </w: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4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8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r>
      <w:tr>
        <w:trPr>
          <w:trHeight w:val="20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Decrease in notes receivable - related party due to return of capital from investments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 in notes receivable - related party due the payment of accounts payable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Increase in notes receivable - related party due to deconsolidation of VIEs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 in due from related party due to non-cash investment rollover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Increase in accounts receivable - related party due to deconsolidation of VIEs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 related party eliminated in consolidation of VIEs</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20" w:type="dxa"/>
            <w:vAlign w:val="bottom"/>
          </w:tcPr>
          <w:p>
            <w:pPr>
              <w:spacing w:after="0"/>
              <w:rPr>
                <w:sz w:val="19"/>
                <w:szCs w:val="19"/>
                <w:color w:val="auto"/>
              </w:rPr>
            </w:pPr>
          </w:p>
        </w:tc>
      </w:tr>
      <w:tr>
        <w:trPr>
          <w:trHeight w:val="230"/>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Increase in investments in unconsolidated entities due to deconsolidation of VIEs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15,710</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Assumption of note payable</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20" w:type="dxa"/>
            <w:vAlign w:val="bottom"/>
          </w:tcPr>
          <w:p>
            <w:pPr>
              <w:spacing w:after="0"/>
              <w:rPr>
                <w:sz w:val="19"/>
                <w:szCs w:val="19"/>
                <w:color w:val="auto"/>
              </w:rPr>
            </w:pPr>
          </w:p>
        </w:tc>
      </w:tr>
      <w:tr>
        <w:trPr>
          <w:trHeight w:val="230"/>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Corporate note rollover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Extinguishment of operating lease right-of-use assets</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0" w:type="dxa"/>
            <w:vAlign w:val="bottom"/>
          </w:tcPr>
          <w:p>
            <w:pPr>
              <w:spacing w:after="0"/>
              <w:rPr>
                <w:sz w:val="19"/>
                <w:szCs w:val="19"/>
                <w:color w:val="auto"/>
              </w:rPr>
            </w:pPr>
          </w:p>
        </w:tc>
      </w:tr>
      <w:tr>
        <w:trPr>
          <w:trHeight w:val="229"/>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Extinguishment of operating lease liabilities</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0" w:type="dxa"/>
            <w:vAlign w:val="bottom"/>
          </w:tcPr>
          <w:p>
            <w:pPr>
              <w:spacing w:after="0"/>
              <w:rPr>
                <w:sz w:val="19"/>
                <w:szCs w:val="19"/>
                <w:color w:val="auto"/>
              </w:rPr>
            </w:pPr>
          </w:p>
        </w:tc>
      </w:tr>
      <w:tr>
        <w:trPr>
          <w:trHeight w:val="230"/>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real estate investments included in accounts payable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tcPr>
          <w:p>
            <w:pPr>
              <w:spacing w:after="0"/>
              <w:rPr>
                <w:sz w:val="19"/>
                <w:szCs w:val="19"/>
                <w:color w:val="auto"/>
              </w:rPr>
            </w:pPr>
          </w:p>
        </w:tc>
      </w:tr>
      <w:tr>
        <w:trPr>
          <w:trHeight w:val="229"/>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real estate investments included in due to related parties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unconsolidated entities included in due to related parties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Investments in unconsolidated entities included in accrued expenses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0" w:type="dxa"/>
            <w:vAlign w:val="bottom"/>
          </w:tcPr>
          <w:p>
            <w:pPr>
              <w:spacing w:after="0"/>
              <w:rPr>
                <w:sz w:val="19"/>
                <w:szCs w:val="19"/>
                <w:color w:val="auto"/>
              </w:rPr>
            </w:pP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in lieu of cash payment for accounts payable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180"/>
        </w:trPr>
        <w:tc>
          <w:tcPr>
            <w:tcW w:w="864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 of Consolidated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8"/>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Funds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receivable eliminated in consolidation</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20" w:type="dxa"/>
            <w:vAlign w:val="bottom"/>
          </w:tcPr>
          <w:p>
            <w:pPr>
              <w:spacing w:after="0"/>
              <w:rPr>
                <w:sz w:val="19"/>
                <w:szCs w:val="19"/>
                <w:color w:val="auto"/>
              </w:rPr>
            </w:pPr>
          </w:p>
        </w:tc>
      </w:tr>
      <w:tr>
        <w:trPr>
          <w:trHeight w:val="230"/>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Increase in notes receivable - related party due to transfer of pursuit costs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 in notes receivable - related party due to return of capital from investments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Decrease in notes receivable related party due to payment of accounts payable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Contributions from noncontrolling interest in connection with settlement of notes - related parties</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0" w:type="dxa"/>
            <w:vAlign w:val="bottom"/>
          </w:tcPr>
          <w:p>
            <w:pPr>
              <w:spacing w:after="0"/>
              <w:rPr>
                <w:sz w:val="19"/>
                <w:szCs w:val="19"/>
                <w:color w:val="auto"/>
              </w:rPr>
            </w:pPr>
          </w:p>
        </w:tc>
      </w:tr>
      <w:tr>
        <w:trPr>
          <w:trHeight w:val="230"/>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Increase in notes receivable - related party due to deconsolidation of VIEs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22,746</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notes payable - related party due to deconsolidation of VIEs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Conversion of line of credit to term loan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real estate investments included in accounts payable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 w:type="dxa"/>
            <w:vAlign w:val="bottom"/>
          </w:tcPr>
          <w:p>
            <w:pPr>
              <w:spacing w:after="0"/>
              <w:rPr>
                <w:sz w:val="19"/>
                <w:szCs w:val="19"/>
                <w:color w:val="auto"/>
              </w:rPr>
            </w:pPr>
          </w:p>
        </w:tc>
      </w:tr>
      <w:tr>
        <w:trPr>
          <w:trHeight w:val="229"/>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real estate investments included in due to related parties</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r>
      <w:tr>
        <w:trPr>
          <w:trHeight w:val="184"/>
        </w:trPr>
        <w:tc>
          <w:tcPr>
            <w:tcW w:w="8640" w:type="dxa"/>
            <w:vAlign w:val="bottom"/>
            <w:gridSpan w:val="2"/>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Contributions from noncontrolling interests in connection with settlement of notes payable - related</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4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29"/>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Establishment of operating right-of-use assets or increase from lease modifications</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0" w:type="dxa"/>
            <w:vAlign w:val="bottom"/>
          </w:tcPr>
          <w:p>
            <w:pPr>
              <w:spacing w:after="0"/>
              <w:rPr>
                <w:sz w:val="19"/>
                <w:szCs w:val="19"/>
                <w:color w:val="auto"/>
              </w:rPr>
            </w:pPr>
          </w:p>
        </w:tc>
      </w:tr>
      <w:tr>
        <w:trPr>
          <w:trHeight w:val="230"/>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Establishment of operating lease liabilities or increase from lease modifications</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0" w:type="dxa"/>
            <w:vAlign w:val="bottom"/>
          </w:tcPr>
          <w:p>
            <w:pPr>
              <w:spacing w:after="0"/>
              <w:rPr>
                <w:sz w:val="19"/>
                <w:szCs w:val="19"/>
                <w:color w:val="auto"/>
              </w:rPr>
            </w:pPr>
          </w:p>
        </w:tc>
      </w:tr>
      <w:tr>
        <w:trPr>
          <w:trHeight w:val="230"/>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Consolidation of VIEs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86,402</w:t>
            </w:r>
          </w:p>
        </w:tc>
        <w:tc>
          <w:tcPr>
            <w:tcW w:w="20" w:type="dxa"/>
            <w:vAlign w:val="bottom"/>
          </w:tcPr>
          <w:p>
            <w:pPr>
              <w:spacing w:after="0"/>
              <w:rPr>
                <w:sz w:val="19"/>
                <w:szCs w:val="19"/>
                <w:color w:val="auto"/>
              </w:rPr>
            </w:pPr>
          </w:p>
        </w:tc>
      </w:tr>
      <w:tr>
        <w:trPr>
          <w:trHeight w:val="229"/>
        </w:trPr>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20" w:type="dxa"/>
            <w:vAlign w:val="bottom"/>
          </w:tcPr>
          <w:p>
            <w:pPr>
              <w:spacing w:after="0"/>
              <w:rPr>
                <w:sz w:val="19"/>
                <w:szCs w:val="19"/>
                <w:color w:val="auto"/>
              </w:rPr>
            </w:pPr>
          </w:p>
        </w:tc>
      </w:tr>
      <w:tr>
        <w:trPr>
          <w:trHeight w:val="230"/>
        </w:trPr>
        <w:tc>
          <w:tcPr>
            <w:tcW w:w="8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30"/>
        </w:trPr>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20" w:type="dxa"/>
            <w:vAlign w:val="bottom"/>
          </w:tcPr>
          <w:p>
            <w:pPr>
              <w:spacing w:after="0"/>
              <w:rPr>
                <w:sz w:val="19"/>
                <w:szCs w:val="19"/>
                <w:color w:val="auto"/>
              </w:rPr>
            </w:pPr>
          </w:p>
        </w:tc>
      </w:tr>
      <w:tr>
        <w:trPr>
          <w:trHeight w:val="230"/>
        </w:trPr>
        <w:tc>
          <w:tcPr>
            <w:tcW w:w="8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and other assets</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20" w:type="dxa"/>
            <w:vAlign w:val="bottom"/>
          </w:tcPr>
          <w:p>
            <w:pPr>
              <w:spacing w:after="0"/>
              <w:rPr>
                <w:sz w:val="19"/>
                <w:szCs w:val="19"/>
                <w:color w:val="auto"/>
              </w:rPr>
            </w:pPr>
          </w:p>
        </w:tc>
      </w:tr>
      <w:tr>
        <w:trPr>
          <w:trHeight w:val="229"/>
        </w:trPr>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Notes payable, net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80,449</w:t>
            </w:r>
          </w:p>
        </w:tc>
        <w:tc>
          <w:tcPr>
            <w:tcW w:w="20" w:type="dxa"/>
            <w:vAlign w:val="bottom"/>
          </w:tcPr>
          <w:p>
            <w:pPr>
              <w:spacing w:after="0"/>
              <w:rPr>
                <w:sz w:val="19"/>
                <w:szCs w:val="19"/>
                <w:color w:val="auto"/>
              </w:rPr>
            </w:pPr>
          </w:p>
        </w:tc>
      </w:tr>
      <w:tr>
        <w:trPr>
          <w:trHeight w:val="230"/>
        </w:trPr>
        <w:tc>
          <w:tcPr>
            <w:tcW w:w="8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payable - related parties</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20" w:type="dxa"/>
            <w:vAlign w:val="bottom"/>
          </w:tcPr>
          <w:p>
            <w:pPr>
              <w:spacing w:after="0"/>
              <w:rPr>
                <w:sz w:val="19"/>
                <w:szCs w:val="19"/>
                <w:color w:val="auto"/>
              </w:rPr>
            </w:pPr>
          </w:p>
        </w:tc>
      </w:tr>
      <w:tr>
        <w:trPr>
          <w:trHeight w:val="230"/>
        </w:trPr>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20" w:type="dxa"/>
            <w:vAlign w:val="bottom"/>
          </w:tcPr>
          <w:p>
            <w:pPr>
              <w:spacing w:after="0"/>
              <w:rPr>
                <w:sz w:val="19"/>
                <w:szCs w:val="19"/>
                <w:color w:val="auto"/>
              </w:rPr>
            </w:pPr>
          </w:p>
        </w:tc>
      </w:tr>
      <w:tr>
        <w:trPr>
          <w:trHeight w:val="229"/>
        </w:trPr>
        <w:tc>
          <w:tcPr>
            <w:tcW w:w="8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Due to related parties</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r>
      <w:tr>
        <w:trPr>
          <w:trHeight w:val="234"/>
        </w:trPr>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w:t>
            </w:r>
          </w:p>
        </w:tc>
        <w:tc>
          <w:tcPr>
            <w:tcW w:w="20" w:type="dxa"/>
            <w:vAlign w:val="bottom"/>
          </w:tcPr>
          <w:p>
            <w:pPr>
              <w:spacing w:after="0"/>
              <w:rPr>
                <w:sz w:val="20"/>
                <w:szCs w:val="20"/>
                <w:color w:val="auto"/>
              </w:rPr>
            </w:pPr>
          </w:p>
        </w:tc>
      </w:tr>
      <w:tr>
        <w:trPr>
          <w:trHeight w:val="738"/>
        </w:trPr>
        <w:tc>
          <w:tcPr>
            <w:tcW w:w="864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F-38</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4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30"/>
        </w:trPr>
        <w:tc>
          <w:tcPr>
            <w:tcW w:w="8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33,732</w:t>
            </w:r>
          </w:p>
        </w:tc>
      </w:tr>
      <w:tr>
        <w:trPr>
          <w:trHeight w:val="229"/>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Deconsolidation of VIEs</w:t>
            </w: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8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137,571</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85,239</w:t>
            </w:r>
          </w:p>
        </w:tc>
      </w:tr>
      <w:tr>
        <w:trPr>
          <w:trHeight w:val="230"/>
        </w:trPr>
        <w:tc>
          <w:tcPr>
            <w:tcW w:w="8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w:t>
            </w:r>
          </w:p>
        </w:tc>
      </w:tr>
      <w:tr>
        <w:trPr>
          <w:trHeight w:val="229"/>
        </w:trPr>
        <w:tc>
          <w:tcPr>
            <w:tcW w:w="8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Notes receivable - related parties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54,496</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w:t>
            </w:r>
          </w:p>
        </w:tc>
      </w:tr>
      <w:tr>
        <w:trPr>
          <w:trHeight w:val="229"/>
        </w:trPr>
        <w:tc>
          <w:tcPr>
            <w:tcW w:w="8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Prepaid and other assets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29"/>
        </w:trPr>
        <w:tc>
          <w:tcPr>
            <w:tcW w:w="8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Due to related parties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r>
      <w:tr>
        <w:trPr>
          <w:trHeight w:val="229"/>
        </w:trPr>
        <w:tc>
          <w:tcPr>
            <w:tcW w:w="8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payable, net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98,639</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74,643</w:t>
            </w:r>
          </w:p>
        </w:tc>
      </w:tr>
      <w:tr>
        <w:trPr>
          <w:trHeight w:val="230"/>
        </w:trPr>
        <w:tc>
          <w:tcPr>
            <w:tcW w:w="8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Notes payable - related parties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12,055</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w:t>
            </w:r>
          </w:p>
        </w:tc>
      </w:tr>
      <w:tr>
        <w:trPr>
          <w:trHeight w:val="229"/>
        </w:trPr>
        <w:tc>
          <w:tcPr>
            <w:tcW w:w="8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11,338</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w:t>
            </w:r>
          </w:p>
        </w:tc>
      </w:tr>
      <w:tr>
        <w:trPr>
          <w:trHeight w:val="229"/>
        </w:trPr>
        <w:tc>
          <w:tcPr>
            <w:tcW w:w="8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13,957</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w:t>
            </w:r>
          </w:p>
        </w:tc>
      </w:tr>
      <w:tr>
        <w:trPr>
          <w:trHeight w:val="230"/>
        </w:trPr>
        <w:tc>
          <w:tcPr>
            <w:tcW w:w="8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34"/>
        </w:trPr>
        <w:tc>
          <w:tcPr>
            <w:tcW w:w="8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29,041</w:t>
            </w:r>
          </w:p>
        </w:tc>
        <w:tc>
          <w:tcPr>
            <w:tcW w:w="1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23,777</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of the Company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ownership and operation of real estate assets, the Company may potentially be liable for costs and damages related to environmental matters. The Company believes it is in material compliance with current laws and regulations and do not know of any existing environmental condition nor has it not been notified by any governmental authority of any non-compliance, liability or other claim, in each case, that could result in a material effect on our financial condition or results of operations.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Caliber Tax Advantaged Opportunity Fund LP</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Caliber O-Zone Fund Manager, LLC (the “CTAF Fund Manager”) is a wholly-owned subsidiary of the Company and general partner and manager of Caliber Tax Advantaged Opportunity Fund LP (“CTAF”). In the event of a dissolution, winding-up, or termination, if the aggregate amount received by the CTAF limited partners does not equal or exceed an amount equal to a 6% IRR for the limited partners, the CTAF Fund Manager shall immediately contribute to CTAF funds in order to meet this minimum requirement for payment to the CTAF limited partners. As of December 31, 2024 and 2023, the Company estimated the fair value of CTAF was less than the 6% IRR for the limited partners.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Caliber Tax Advantaged Opportunity Fund II LLC</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Caliber O-Zone Fund II Manager, LLC (the “CTAF II Fund Manager”) is a wholly-owned subsidiary of the Company and general partner and manager of Caliber Tax Advantaged Opportunity Zone Fund II LLC (“CTAF II”). In the event of a dissolution, winding-up, or termination, if the aggregate amount received by the CTAF II investor members does not equal or exceed an amount equal to a 6% IRR for the investor members, the CTAF II Fund Manager shall immediately contribute to CTAF II funds in order to meet this minimum requirement for payment to the CTAF II investor members. As of December 31, 2024 and 2023, the Company estimated the fair value of CTAF II was less than the 6% IRR for the investor members.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of the Consolidated Funds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Franchise Agreements and Advance Key Money</w:t>
      </w:r>
    </w:p>
    <w:p>
      <w:pPr>
        <w:spacing w:after="0" w:line="20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consolidated funds consolidated during the years ended December 31, 2024 and 2023, are parties to franchise agreements where the fund is required to pay monthly fees, generally consisting of royalty, program, and food and beverage fees. At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December 31, 2024, the consolidated hospitality fund is a party to a franchise agreement that expires in November 2026. The consolidated funds recognized total franchise fees of $2.9 million and $5.0 million for the years ended December 31, 2024 and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Net Income (Loss) Per Share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Basic earnings per common share is calculated by dividing net income (loss) attributable to common shareholders by the weighted average common shares outstanding during the period. Diluted earnings per share is calculated by dividing net income attributable to common shareholders by the weighted-average number of shares outstanding plus the dilutive impact of all potential dilutive common shares, consisting of stock options and warrants using the treasury stock method, and convertible debt and preferred stock using the if-converted method.</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considered the two-class method in calculating the basic and diluted earnings per share, however, it was determined that there was no impact to the calculation of basic and diluted net income (loss) per share attributable to common stockholders as Class A and Class B common stock share in the same earnings and profits, thus, having no impact on the calculation.</w:t>
      </w:r>
    </w:p>
    <w:p>
      <w:pPr>
        <w:spacing w:after="0" w:line="1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calculated the basic and diluted earnings per share during the years ended December 31, 2024 and 2023 as follows (in thousands,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66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60" w:type="dxa"/>
            <w:vAlign w:val="bottom"/>
            <w:tcBorders>
              <w:bottom w:val="single" w:sz="8" w:color="auto"/>
            </w:tcBorders>
          </w:tcPr>
          <w:p>
            <w:pPr>
              <w:spacing w:after="0"/>
              <w:rPr>
                <w:sz w:val="20"/>
                <w:szCs w:val="20"/>
                <w:color w:val="auto"/>
              </w:rPr>
            </w:pPr>
          </w:p>
        </w:tc>
      </w:tr>
      <w:tr>
        <w:trPr>
          <w:trHeight w:val="223"/>
        </w:trPr>
        <w:tc>
          <w:tcPr>
            <w:tcW w:w="6820" w:type="dxa"/>
            <w:vAlign w:val="bottom"/>
            <w:tcBorders>
              <w:bottom w:val="single" w:sz="8" w:color="CCEDFF"/>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CCEDFF"/>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Borders>
              <w:bottom w:val="single" w:sz="8" w:color="auto"/>
            </w:tcBorders>
          </w:tcPr>
          <w:p>
            <w:pPr>
              <w:spacing w:after="0"/>
              <w:rPr>
                <w:sz w:val="19"/>
                <w:szCs w:val="19"/>
                <w:color w:val="auto"/>
              </w:rPr>
            </w:pPr>
          </w:p>
        </w:tc>
      </w:tr>
      <w:tr>
        <w:trPr>
          <w:trHeight w:val="210"/>
        </w:trPr>
        <w:tc>
          <w:tcPr>
            <w:tcW w:w="682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380" w:type="dxa"/>
            <w:vAlign w:val="bottom"/>
            <w:shd w:val="clear" w:color="auto" w:fill="CCEDFF"/>
          </w:tcPr>
          <w:p>
            <w:pPr>
              <w:spacing w:after="0"/>
              <w:rPr>
                <w:sz w:val="18"/>
                <w:szCs w:val="18"/>
                <w:color w:val="auto"/>
              </w:rPr>
            </w:pPr>
          </w:p>
        </w:tc>
        <w:tc>
          <w:tcPr>
            <w:tcW w:w="760" w:type="dxa"/>
            <w:vAlign w:val="bottom"/>
            <w:shd w:val="clear" w:color="auto" w:fill="CCEDFF"/>
          </w:tcPr>
          <w:p>
            <w:pPr>
              <w:spacing w:after="0"/>
              <w:rPr>
                <w:sz w:val="18"/>
                <w:szCs w:val="18"/>
                <w:color w:val="auto"/>
              </w:rPr>
            </w:pPr>
          </w:p>
        </w:tc>
        <w:tc>
          <w:tcPr>
            <w:tcW w:w="140" w:type="dxa"/>
            <w:vAlign w:val="bottom"/>
            <w:shd w:val="clear" w:color="auto" w:fill="CCEDFF"/>
          </w:tcPr>
          <w:p>
            <w:pPr>
              <w:spacing w:after="0"/>
              <w:rPr>
                <w:sz w:val="18"/>
                <w:szCs w:val="18"/>
                <w:color w:val="auto"/>
              </w:rPr>
            </w:pPr>
          </w:p>
        </w:tc>
        <w:tc>
          <w:tcPr>
            <w:tcW w:w="1380" w:type="dxa"/>
            <w:vAlign w:val="bottom"/>
            <w:shd w:val="clear" w:color="auto" w:fill="CCEDFF"/>
          </w:tcPr>
          <w:p>
            <w:pPr>
              <w:spacing w:after="0"/>
              <w:rPr>
                <w:sz w:val="18"/>
                <w:szCs w:val="18"/>
                <w:color w:val="auto"/>
              </w:rPr>
            </w:pPr>
          </w:p>
        </w:tc>
        <w:tc>
          <w:tcPr>
            <w:tcW w:w="760" w:type="dxa"/>
            <w:vAlign w:val="bottom"/>
            <w:shd w:val="clear" w:color="auto" w:fill="CCEDFF"/>
          </w:tcPr>
          <w:p>
            <w:pPr>
              <w:spacing w:after="0"/>
              <w:rPr>
                <w:sz w:val="18"/>
                <w:szCs w:val="18"/>
                <w:color w:val="auto"/>
              </w:rPr>
            </w:pP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attributable to CaliberCos Inc.</w:t>
            </w:r>
          </w:p>
        </w:tc>
        <w:tc>
          <w:tcPr>
            <w:tcW w:w="13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(19,777)</w:t>
            </w:r>
          </w:p>
        </w:tc>
        <w:tc>
          <w:tcPr>
            <w:tcW w:w="140" w:type="dxa"/>
            <w:vAlign w:val="bottom"/>
          </w:tcPr>
          <w:p>
            <w:pPr>
              <w:spacing w:after="0"/>
              <w:rPr>
                <w:sz w:val="19"/>
                <w:szCs w:val="19"/>
                <w:color w:val="auto"/>
              </w:rPr>
            </w:pPr>
          </w:p>
        </w:tc>
        <w:tc>
          <w:tcPr>
            <w:tcW w:w="13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(12,703)</w:t>
            </w:r>
          </w:p>
        </w:tc>
      </w:tr>
      <w:tr>
        <w:trPr>
          <w:trHeight w:val="229"/>
        </w:trPr>
        <w:tc>
          <w:tcPr>
            <w:tcW w:w="682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Convertible debt interest</w:t>
            </w:r>
          </w:p>
        </w:tc>
        <w:tc>
          <w:tcPr>
            <w:tcW w:w="1380" w:type="dxa"/>
            <w:vAlign w:val="bottom"/>
            <w:tcBorders>
              <w:bottom w:val="single" w:sz="8" w:color="auto"/>
            </w:tcBorders>
            <w:shd w:val="clear" w:color="auto" w:fill="CCEDFF"/>
          </w:tcPr>
          <w:p>
            <w:pPr>
              <w:spacing w:after="0"/>
              <w:rPr>
                <w:sz w:val="19"/>
                <w:szCs w:val="19"/>
                <w:color w:val="auto"/>
              </w:rPr>
            </w:pPr>
          </w:p>
        </w:tc>
        <w:tc>
          <w:tcPr>
            <w:tcW w:w="7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shd w:val="clear" w:color="auto" w:fill="CCEDFF"/>
          </w:tcPr>
          <w:p>
            <w:pPr>
              <w:spacing w:after="0"/>
              <w:rPr>
                <w:sz w:val="19"/>
                <w:szCs w:val="19"/>
                <w:color w:val="auto"/>
              </w:rPr>
            </w:pPr>
          </w:p>
        </w:tc>
        <w:tc>
          <w:tcPr>
            <w:tcW w:w="1380" w:type="dxa"/>
            <w:vAlign w:val="bottom"/>
            <w:tcBorders>
              <w:bottom w:val="single" w:sz="8" w:color="auto"/>
            </w:tcBorders>
            <w:shd w:val="clear" w:color="auto" w:fill="CCEDFF"/>
          </w:tcPr>
          <w:p>
            <w:pPr>
              <w:spacing w:after="0"/>
              <w:rPr>
                <w:sz w:val="19"/>
                <w:szCs w:val="19"/>
                <w:color w:val="auto"/>
              </w:rPr>
            </w:pPr>
          </w:p>
        </w:tc>
        <w:tc>
          <w:tcPr>
            <w:tcW w:w="7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attributable to common shareholders of CaliberCos Inc.</w:t>
            </w:r>
          </w:p>
        </w:tc>
        <w:tc>
          <w:tcPr>
            <w:tcW w:w="138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(19,695)</w:t>
            </w:r>
          </w:p>
        </w:tc>
        <w:tc>
          <w:tcPr>
            <w:tcW w:w="140" w:type="dxa"/>
            <w:vAlign w:val="bottom"/>
          </w:tcPr>
          <w:p>
            <w:pPr>
              <w:spacing w:after="0"/>
              <w:rPr>
                <w:sz w:val="19"/>
                <w:szCs w:val="19"/>
                <w:color w:val="auto"/>
              </w:rPr>
            </w:pPr>
          </w:p>
        </w:tc>
        <w:tc>
          <w:tcPr>
            <w:tcW w:w="138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(12,615)</w:t>
            </w:r>
          </w:p>
        </w:tc>
      </w:tr>
      <w:tr>
        <w:trPr>
          <w:trHeight w:val="20"/>
        </w:trPr>
        <w:tc>
          <w:tcPr>
            <w:tcW w:w="6820" w:type="dxa"/>
            <w:vAlign w:val="bottom"/>
            <w:tcBorders>
              <w:bottom w:val="single" w:sz="8" w:color="CCED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D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7"/>
        </w:trPr>
        <w:tc>
          <w:tcPr>
            <w:tcW w:w="6820" w:type="dxa"/>
            <w:vAlign w:val="bottom"/>
            <w:shd w:val="clear" w:color="auto" w:fill="CCED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380" w:type="dxa"/>
            <w:vAlign w:val="bottom"/>
            <w:shd w:val="clear" w:color="auto" w:fill="CCEDFF"/>
          </w:tcPr>
          <w:p>
            <w:pPr>
              <w:spacing w:after="0"/>
              <w:rPr>
                <w:sz w:val="17"/>
                <w:szCs w:val="17"/>
                <w:color w:val="auto"/>
              </w:rPr>
            </w:pPr>
          </w:p>
        </w:tc>
        <w:tc>
          <w:tcPr>
            <w:tcW w:w="760" w:type="dxa"/>
            <w:vAlign w:val="bottom"/>
            <w:shd w:val="clear" w:color="auto" w:fill="CCEDFF"/>
          </w:tcPr>
          <w:p>
            <w:pPr>
              <w:spacing w:after="0"/>
              <w:rPr>
                <w:sz w:val="17"/>
                <w:szCs w:val="17"/>
                <w:color w:val="auto"/>
              </w:rPr>
            </w:pPr>
          </w:p>
        </w:tc>
        <w:tc>
          <w:tcPr>
            <w:tcW w:w="140" w:type="dxa"/>
            <w:vAlign w:val="bottom"/>
            <w:shd w:val="clear" w:color="auto" w:fill="CCEDFF"/>
          </w:tcPr>
          <w:p>
            <w:pPr>
              <w:spacing w:after="0"/>
              <w:rPr>
                <w:sz w:val="17"/>
                <w:szCs w:val="17"/>
                <w:color w:val="auto"/>
              </w:rPr>
            </w:pPr>
          </w:p>
        </w:tc>
        <w:tc>
          <w:tcPr>
            <w:tcW w:w="1380" w:type="dxa"/>
            <w:vAlign w:val="bottom"/>
            <w:shd w:val="clear" w:color="auto" w:fill="CCEDFF"/>
          </w:tcPr>
          <w:p>
            <w:pPr>
              <w:spacing w:after="0"/>
              <w:rPr>
                <w:sz w:val="17"/>
                <w:szCs w:val="17"/>
                <w:color w:val="auto"/>
              </w:rPr>
            </w:pPr>
          </w:p>
        </w:tc>
        <w:tc>
          <w:tcPr>
            <w:tcW w:w="760" w:type="dxa"/>
            <w:vAlign w:val="bottom"/>
            <w:shd w:val="clear" w:color="auto" w:fill="CCEDFF"/>
          </w:tcPr>
          <w:p>
            <w:pPr>
              <w:spacing w:after="0"/>
              <w:rPr>
                <w:sz w:val="17"/>
                <w:szCs w:val="17"/>
                <w:color w:val="auto"/>
              </w:rPr>
            </w:pP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21,986</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20,087</w:t>
            </w:r>
          </w:p>
        </w:tc>
      </w:tr>
      <w:tr>
        <w:trPr>
          <w:trHeight w:val="230"/>
        </w:trPr>
        <w:tc>
          <w:tcPr>
            <w:tcW w:w="682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Dilutive shares - options, net</w:t>
            </w:r>
          </w:p>
        </w:tc>
        <w:tc>
          <w:tcPr>
            <w:tcW w:w="1380" w:type="dxa"/>
            <w:vAlign w:val="bottom"/>
            <w:shd w:val="clear" w:color="auto" w:fill="CCEDFF"/>
          </w:tcPr>
          <w:p>
            <w:pPr>
              <w:spacing w:after="0"/>
              <w:rPr>
                <w:sz w:val="19"/>
                <w:szCs w:val="19"/>
                <w:color w:val="auto"/>
              </w:rPr>
            </w:pPr>
          </w:p>
        </w:tc>
        <w:tc>
          <w:tcPr>
            <w:tcW w:w="900" w:type="dxa"/>
            <w:vAlign w:val="bottom"/>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DFF"/>
          </w:tcPr>
          <w:p>
            <w:pPr>
              <w:spacing w:after="0"/>
              <w:rPr>
                <w:sz w:val="19"/>
                <w:szCs w:val="19"/>
                <w:color w:val="auto"/>
              </w:rPr>
            </w:pPr>
          </w:p>
        </w:tc>
        <w:tc>
          <w:tcPr>
            <w:tcW w:w="7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shares - warrants, net</w:t>
            </w:r>
          </w:p>
        </w:tc>
        <w:tc>
          <w:tcPr>
            <w:tcW w:w="13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Dilutive shares - preferred shares</w:t>
            </w:r>
          </w:p>
        </w:tc>
        <w:tc>
          <w:tcPr>
            <w:tcW w:w="1380" w:type="dxa"/>
            <w:vAlign w:val="bottom"/>
            <w:shd w:val="clear" w:color="auto" w:fill="CCEDFF"/>
          </w:tcPr>
          <w:p>
            <w:pPr>
              <w:spacing w:after="0"/>
              <w:rPr>
                <w:sz w:val="19"/>
                <w:szCs w:val="19"/>
                <w:color w:val="auto"/>
              </w:rPr>
            </w:pPr>
          </w:p>
        </w:tc>
        <w:tc>
          <w:tcPr>
            <w:tcW w:w="900" w:type="dxa"/>
            <w:vAlign w:val="bottom"/>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DFF"/>
          </w:tcPr>
          <w:p>
            <w:pPr>
              <w:spacing w:after="0"/>
              <w:rPr>
                <w:sz w:val="19"/>
                <w:szCs w:val="19"/>
                <w:color w:val="auto"/>
              </w:rPr>
            </w:pPr>
          </w:p>
        </w:tc>
        <w:tc>
          <w:tcPr>
            <w:tcW w:w="7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shares - convertible debt, net</w:t>
            </w:r>
          </w:p>
        </w:tc>
        <w:tc>
          <w:tcPr>
            <w:tcW w:w="13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820" w:type="dxa"/>
            <w:vAlign w:val="bottom"/>
            <w:tcBorders>
              <w:top w:val="single" w:sz="8" w:color="CCEDFF"/>
              <w:bottom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380" w:type="dxa"/>
            <w:vAlign w:val="bottom"/>
            <w:tcBorders>
              <w:top w:val="single" w:sz="8" w:color="auto"/>
              <w:bottom w:val="single" w:sz="8" w:color="auto"/>
            </w:tcBorders>
            <w:shd w:val="clear" w:color="auto" w:fill="CCEDFF"/>
          </w:tcPr>
          <w:p>
            <w:pPr>
              <w:spacing w:after="0"/>
              <w:rPr>
                <w:sz w:val="21"/>
                <w:szCs w:val="21"/>
                <w:color w:val="auto"/>
              </w:rPr>
            </w:pPr>
          </w:p>
        </w:tc>
        <w:tc>
          <w:tcPr>
            <w:tcW w:w="76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21,986</w:t>
            </w:r>
          </w:p>
        </w:tc>
        <w:tc>
          <w:tcPr>
            <w:tcW w:w="140" w:type="dxa"/>
            <w:vAlign w:val="bottom"/>
            <w:tcBorders>
              <w:top w:val="single" w:sz="8" w:color="CCEDFF"/>
              <w:bottom w:val="single" w:sz="8" w:color="CCEDFF"/>
            </w:tcBorders>
            <w:shd w:val="clear" w:color="auto" w:fill="CCEDFF"/>
          </w:tcPr>
          <w:p>
            <w:pPr>
              <w:spacing w:after="0"/>
              <w:rPr>
                <w:sz w:val="21"/>
                <w:szCs w:val="21"/>
                <w:color w:val="auto"/>
              </w:rPr>
            </w:pPr>
          </w:p>
        </w:tc>
        <w:tc>
          <w:tcPr>
            <w:tcW w:w="1380" w:type="dxa"/>
            <w:vAlign w:val="bottom"/>
            <w:tcBorders>
              <w:top w:val="single" w:sz="8" w:color="auto"/>
              <w:bottom w:val="single" w:sz="8" w:color="auto"/>
            </w:tcBorders>
            <w:shd w:val="clear" w:color="auto" w:fill="CCEDFF"/>
          </w:tcPr>
          <w:p>
            <w:pPr>
              <w:spacing w:after="0"/>
              <w:rPr>
                <w:sz w:val="21"/>
                <w:szCs w:val="21"/>
                <w:color w:val="auto"/>
              </w:rPr>
            </w:pPr>
          </w:p>
        </w:tc>
        <w:tc>
          <w:tcPr>
            <w:tcW w:w="76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20,087</w:t>
            </w:r>
          </w:p>
        </w:tc>
      </w:tr>
      <w:tr>
        <w:trPr>
          <w:trHeight w:val="20"/>
        </w:trPr>
        <w:tc>
          <w:tcPr>
            <w:tcW w:w="6820" w:type="dxa"/>
            <w:vAlign w:val="bottom"/>
            <w:tcBorders>
              <w:top w:val="single" w:sz="8" w:color="CCEDFF"/>
            </w:tcBorders>
          </w:tcPr>
          <w:p>
            <w:pPr>
              <w:spacing w:after="0" w:line="20" w:lineRule="exact"/>
              <w:rPr>
                <w:sz w:val="1"/>
                <w:szCs w:val="1"/>
                <w:color w:val="auto"/>
              </w:rPr>
            </w:pPr>
          </w:p>
        </w:tc>
        <w:tc>
          <w:tcPr>
            <w:tcW w:w="1380" w:type="dxa"/>
            <w:vAlign w:val="bottom"/>
            <w:tcBorders>
              <w:top w:val="single" w:sz="8" w:color="CCEDFF"/>
              <w:bottom w:val="single" w:sz="8" w:color="auto"/>
            </w:tcBorders>
          </w:tcPr>
          <w:p>
            <w:pPr>
              <w:spacing w:after="0" w:line="20" w:lineRule="exact"/>
              <w:rPr>
                <w:sz w:val="1"/>
                <w:szCs w:val="1"/>
                <w:color w:val="auto"/>
              </w:rPr>
            </w:pPr>
          </w:p>
        </w:tc>
        <w:tc>
          <w:tcPr>
            <w:tcW w:w="76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1380" w:type="dxa"/>
            <w:vAlign w:val="bottom"/>
            <w:tcBorders>
              <w:top w:val="single" w:sz="8" w:color="CCEDFF"/>
              <w:bottom w:val="single" w:sz="8" w:color="auto"/>
            </w:tcBorders>
          </w:tcPr>
          <w:p>
            <w:pPr>
              <w:spacing w:after="0" w:line="20" w:lineRule="exact"/>
              <w:rPr>
                <w:sz w:val="1"/>
                <w:szCs w:val="1"/>
                <w:color w:val="auto"/>
              </w:rPr>
            </w:pPr>
          </w:p>
        </w:tc>
        <w:tc>
          <w:tcPr>
            <w:tcW w:w="760" w:type="dxa"/>
            <w:vAlign w:val="bottom"/>
            <w:tcBorders>
              <w:top w:val="single" w:sz="8" w:color="CCEDFF"/>
              <w:bottom w:val="single" w:sz="8" w:color="auto"/>
            </w:tcBorders>
          </w:tcPr>
          <w:p>
            <w:pPr>
              <w:spacing w:after="0" w:line="20" w:lineRule="exact"/>
              <w:rPr>
                <w:sz w:val="1"/>
                <w:szCs w:val="1"/>
                <w:color w:val="auto"/>
              </w:rPr>
            </w:pPr>
          </w:p>
        </w:tc>
      </w:tr>
      <w:tr>
        <w:trPr>
          <w:trHeight w:val="203"/>
        </w:trPr>
        <w:tc>
          <w:tcPr>
            <w:tcW w:w="6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55"/>
        </w:trPr>
        <w:tc>
          <w:tcPr>
            <w:tcW w:w="682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Basic net loss per share attributable to common shareholders</w:t>
            </w:r>
          </w:p>
        </w:tc>
        <w:tc>
          <w:tcPr>
            <w:tcW w:w="1380" w:type="dxa"/>
            <w:vAlign w:val="bottom"/>
            <w:tcBorders>
              <w:bottom w:val="single" w:sz="8" w:color="auto"/>
            </w:tcBorders>
            <w:shd w:val="clear" w:color="auto" w:fill="CCED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40" w:type="dxa"/>
            <w:vAlign w:val="bottom"/>
            <w:tcBorders>
              <w:bottom w:val="single" w:sz="8" w:color="CCEDFF"/>
            </w:tcBorders>
            <w:shd w:val="clear" w:color="auto" w:fill="CCEDFF"/>
          </w:tcPr>
          <w:p>
            <w:pPr>
              <w:spacing w:after="0"/>
              <w:rPr>
                <w:sz w:val="21"/>
                <w:szCs w:val="21"/>
                <w:color w:val="auto"/>
              </w:rPr>
            </w:pPr>
          </w:p>
        </w:tc>
        <w:tc>
          <w:tcPr>
            <w:tcW w:w="1380" w:type="dxa"/>
            <w:vAlign w:val="bottom"/>
            <w:tcBorders>
              <w:bottom w:val="single" w:sz="8" w:color="auto"/>
            </w:tcBorders>
            <w:shd w:val="clear" w:color="auto" w:fill="CCED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(0.63)</w:t>
            </w:r>
          </w:p>
        </w:tc>
      </w:tr>
      <w:tr>
        <w:trPr>
          <w:trHeight w:val="20"/>
        </w:trPr>
        <w:tc>
          <w:tcPr>
            <w:tcW w:w="6820" w:type="dxa"/>
            <w:vAlign w:val="bottom"/>
            <w:tcBorders>
              <w:top w:val="single" w:sz="8" w:color="CCEDFF"/>
            </w:tcBorders>
          </w:tcPr>
          <w:p>
            <w:pPr>
              <w:spacing w:after="0" w:line="20" w:lineRule="exact"/>
              <w:rPr>
                <w:sz w:val="1"/>
                <w:szCs w:val="1"/>
                <w:color w:val="auto"/>
              </w:rPr>
            </w:pPr>
          </w:p>
        </w:tc>
        <w:tc>
          <w:tcPr>
            <w:tcW w:w="1380" w:type="dxa"/>
            <w:vAlign w:val="bottom"/>
            <w:tcBorders>
              <w:top w:val="single" w:sz="8" w:color="CCEDFF"/>
              <w:bottom w:val="single" w:sz="8" w:color="auto"/>
            </w:tcBorders>
          </w:tcPr>
          <w:p>
            <w:pPr>
              <w:spacing w:after="0" w:line="20" w:lineRule="exact"/>
              <w:rPr>
                <w:sz w:val="1"/>
                <w:szCs w:val="1"/>
                <w:color w:val="auto"/>
              </w:rPr>
            </w:pPr>
          </w:p>
        </w:tc>
        <w:tc>
          <w:tcPr>
            <w:tcW w:w="76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1380" w:type="dxa"/>
            <w:vAlign w:val="bottom"/>
            <w:tcBorders>
              <w:top w:val="single" w:sz="8" w:color="CCEDFF"/>
              <w:bottom w:val="single" w:sz="8" w:color="auto"/>
            </w:tcBorders>
          </w:tcPr>
          <w:p>
            <w:pPr>
              <w:spacing w:after="0" w:line="20" w:lineRule="exact"/>
              <w:rPr>
                <w:sz w:val="1"/>
                <w:szCs w:val="1"/>
                <w:color w:val="auto"/>
              </w:rPr>
            </w:pPr>
          </w:p>
        </w:tc>
        <w:tc>
          <w:tcPr>
            <w:tcW w:w="760" w:type="dxa"/>
            <w:vAlign w:val="bottom"/>
            <w:tcBorders>
              <w:top w:val="single" w:sz="8" w:color="CCEDFF"/>
              <w:bottom w:val="single" w:sz="8" w:color="auto"/>
            </w:tcBorders>
          </w:tcPr>
          <w:p>
            <w:pPr>
              <w:spacing w:after="0" w:line="20" w:lineRule="exact"/>
              <w:rPr>
                <w:sz w:val="1"/>
                <w:szCs w:val="1"/>
                <w:color w:val="auto"/>
              </w:rPr>
            </w:pPr>
          </w:p>
        </w:tc>
      </w:tr>
      <w:tr>
        <w:trPr>
          <w:trHeight w:val="203"/>
        </w:trPr>
        <w:tc>
          <w:tcPr>
            <w:tcW w:w="68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net loss per share attributable to common shareholders</w:t>
            </w:r>
          </w:p>
        </w:tc>
        <w:tc>
          <w:tcPr>
            <w:tcW w:w="1380" w:type="dxa"/>
            <w:vAlign w:val="bottom"/>
            <w:tcBorders>
              <w:bottom w:val="single" w:sz="8" w:color="auto"/>
            </w:tcBorders>
          </w:tcPr>
          <w:p>
            <w:pPr>
              <w:jc w:val="right"/>
              <w:ind w:right="1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(0.90)</w:t>
            </w:r>
          </w:p>
        </w:tc>
        <w:tc>
          <w:tcPr>
            <w:tcW w:w="140" w:type="dxa"/>
            <w:vAlign w:val="bottom"/>
          </w:tcPr>
          <w:p>
            <w:pPr>
              <w:spacing w:after="0"/>
              <w:rPr>
                <w:sz w:val="17"/>
                <w:szCs w:val="17"/>
                <w:color w:val="auto"/>
              </w:rPr>
            </w:pPr>
          </w:p>
        </w:tc>
        <w:tc>
          <w:tcPr>
            <w:tcW w:w="1380" w:type="dxa"/>
            <w:vAlign w:val="bottom"/>
            <w:tcBorders>
              <w:bottom w:val="single" w:sz="8" w:color="auto"/>
            </w:tcBorders>
          </w:tcPr>
          <w:p>
            <w:pPr>
              <w:jc w:val="right"/>
              <w:ind w:right="1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(0.63)</w:t>
            </w:r>
          </w:p>
        </w:tc>
      </w:tr>
      <w:tr>
        <w:trPr>
          <w:trHeight w:val="20"/>
        </w:trPr>
        <w:tc>
          <w:tcPr>
            <w:tcW w:w="6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number of antidilutive shares consisted of the potential exercise of stock options and potential conversion of convertible debt. The following table summarizes these potential exercises and conversions during the years ended December 31, 2024 and 2023, which have been excluded from the computation of diluted earnings per share attributable to common shareholders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420" w:type="dxa"/>
            <w:vAlign w:val="bottom"/>
            <w:tcBorders>
              <w:bottom w:val="single" w:sz="8" w:color="auto"/>
            </w:tcBorders>
            <w:gridSpan w:val="3"/>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498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common shares, if stock options were exercised</w:t>
            </w:r>
          </w:p>
        </w:tc>
        <w:tc>
          <w:tcPr>
            <w:tcW w:w="18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common shares, if warrants were exercised</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common shares, if preferred shares were converted</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common shares, if convertible debt were converted</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48"/>
        </w:trPr>
        <w:tc>
          <w:tcPr>
            <w:tcW w:w="498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CCEEFF"/>
              <w:bottom w:val="single" w:sz="8" w:color="CCEEFF"/>
            </w:tcBorders>
            <w:shd w:val="clear" w:color="auto" w:fill="CCEEFF"/>
          </w:tcPr>
          <w:p>
            <w:pPr>
              <w:spacing w:after="0"/>
              <w:rPr>
                <w:sz w:val="21"/>
                <w:szCs w:val="21"/>
                <w:color w:val="auto"/>
              </w:rPr>
            </w:pP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r>
        <w:trPr>
          <w:trHeight w:val="716"/>
        </w:trPr>
        <w:tc>
          <w:tcPr>
            <w:tcW w:w="4980" w:type="dxa"/>
            <w:vAlign w:val="bottom"/>
          </w:tcPr>
          <w:p>
            <w:pPr>
              <w:spacing w:after="0"/>
              <w:rPr>
                <w:sz w:val="24"/>
                <w:szCs w:val="24"/>
                <w:color w:val="auto"/>
              </w:rPr>
            </w:pPr>
          </w:p>
        </w:tc>
        <w:tc>
          <w:tcPr>
            <w:tcW w:w="41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F-40</w:t>
            </w:r>
          </w:p>
        </w:tc>
        <w:tc>
          <w:tcPr>
            <w:tcW w:w="214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Fair Value of Financial Instruments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of the Company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values of financial instruments held by the Company are estimated using available market information and established valuation methodologies.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estimates presented are not necessarily indicative of the amounts the Company could realize on disposition of the financial 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 of different market assumptions and/or valuation methodologies may have a material effect on the estimated fair value amounts.</w:t>
      </w:r>
    </w:p>
    <w:p>
      <w:pPr>
        <w:spacing w:after="0" w:line="16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Financial instruments that approximate fair value due to the short-term nature of the instruments consist of cash, restricted cash, accounts receivable, and accounts payable. The fair values of debt have been estimated based on current rates available for similar instruments with similar terms, maturities, and collateral. The fair value of the Company’s fixed rate debt were measured with Level 2 inputs. The estimated fair value of the Company’s real estate loan was determined by management based on a discounted future cash-flow model. As of December 31, 2024 the Company’s real estate loan had a carrying value of $15.9 million and a fair value of $12.6 million. As of December 31, 2023, the Company’s real estate loan had a carrying value of $16.2 million and a fair value of $9.5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of the Consolidated Funds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values of financial instruments held by consolidated funds are estimated using available market information and established valuation methodologies. Accordingly, the estimates presented are not necessarily indicative of the amounts the consolidated funds could realize on disposition of the financial instruments. The use of different market assumptions and/or valuation methodologies may have a material effect on the estimated fair value amounts.</w:t>
      </w:r>
    </w:p>
    <w:p>
      <w:pPr>
        <w:spacing w:after="0" w:line="1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approximate fair value due to the short-term nature of the instruments consist of cash, restricted cash, accounts receivable, and accounts payable. The fair values of debt, advance key money, and interest rate caps have been estimated based on current rates available for similar instruments with similar terms, maturities, and collateral. The carrying values of the consolidated funds’ variable rate debt and advance key money as of December 31, 2024 and 2023 approximated fair value. The fair value of the consolidated funds’ fixed rate debt were measured with Level 2 inputs. The estimated fair values for the instruments below were determined by management based on a discounted future cash-flow model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69"/>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Payable</w:t>
            </w:r>
          </w:p>
        </w:tc>
        <w:tc>
          <w:tcPr>
            <w:tcW w:w="280" w:type="dxa"/>
            <w:vAlign w:val="bottom"/>
          </w:tcPr>
          <w:p>
            <w:pPr>
              <w:spacing w:after="0"/>
              <w:rPr>
                <w:sz w:val="14"/>
                <w:szCs w:val="14"/>
                <w:color w:val="auto"/>
              </w:rPr>
            </w:pPr>
          </w:p>
        </w:tc>
        <w:tc>
          <w:tcPr>
            <w:tcW w:w="1720" w:type="dxa"/>
            <w:vAlign w:val="bottom"/>
            <w:gridSpan w:val="3"/>
          </w:tcPr>
          <w:p>
            <w:pPr>
              <w:jc w:val="center"/>
              <w:ind w:right="5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780" w:type="dxa"/>
            <w:vAlign w:val="bottom"/>
            <w:gridSpan w:val="3"/>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60" w:type="dxa"/>
            <w:vAlign w:val="bottom"/>
            <w:gridSpan w:val="2"/>
          </w:tcPr>
          <w:p>
            <w:pPr>
              <w:jc w:val="center"/>
              <w:ind w:right="42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Pr>
          <w:p>
            <w:pPr>
              <w:spacing w:after="0"/>
              <w:rPr>
                <w:sz w:val="14"/>
                <w:szCs w:val="14"/>
                <w:color w:val="auto"/>
              </w:rPr>
            </w:pPr>
          </w:p>
        </w:tc>
        <w:tc>
          <w:tcPr>
            <w:tcW w:w="13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440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3"/>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780" w:type="dxa"/>
            <w:vAlign w:val="bottom"/>
            <w:gridSpan w:val="3"/>
            <w:vMerge w:val="continue"/>
          </w:tcPr>
          <w:p>
            <w:pPr>
              <w:spacing w:after="0"/>
              <w:rPr>
                <w:sz w:val="21"/>
                <w:szCs w:val="21"/>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4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Hampton Inn &amp; Suites Hotel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Southpointe Fundco, LLC</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Tucson East, LLC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w:t>
            </w:r>
          </w:p>
        </w:tc>
        <w:tc>
          <w:tcPr>
            <w:tcW w:w="0" w:type="dxa"/>
            <w:vAlign w:val="bottom"/>
          </w:tcPr>
          <w:p>
            <w:pPr>
              <w:spacing w:after="0"/>
              <w:rPr>
                <w:sz w:val="1"/>
                <w:szCs w:val="1"/>
                <w:color w:val="auto"/>
              </w:rPr>
            </w:pPr>
          </w:p>
        </w:tc>
      </w:tr>
      <w:tr>
        <w:trPr>
          <w:trHeight w:val="234"/>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Frontier, LLC</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85" w:lineRule="exact"/>
        <w:rPr>
          <w:sz w:val="20"/>
          <w:szCs w:val="20"/>
          <w:color w:val="auto"/>
        </w:rPr>
      </w:pPr>
    </w:p>
    <w:p>
      <w:pPr>
        <w:ind w:left="340" w:right="20" w:hanging="332"/>
        <w:spacing w:after="0" w:line="229" w:lineRule="auto"/>
        <w:tabs>
          <w:tab w:leader="none" w:pos="442"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year ended December 31, 2024, the Company deconsolidated Caliber Hospitality, LP and the Caliber Hospitality Trust, which included activity from six hospitality funds, and Caliber Fixed Income Fund III.</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Derivative Instruments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Objective of Using Derivatives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consolidated funds utilize derivative instruments, including interest rate caps and swaps, to reduce interest rate risk associated with its borrowings.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funds do not intend to utilize derivatives for purposes other than interest rate risk management.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and 2023, the Company did not have any derivatives designated as hedging instruments.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funds have entered into interest rate caps and swaps. The following table summarizes the consolidated funds non-designated derivatives as of December 31, 2024 and 2023 (dollar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88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Type of Derivative</w:t>
            </w:r>
          </w:p>
        </w:tc>
        <w:tc>
          <w:tcPr>
            <w:tcW w:w="1540" w:type="dxa"/>
            <w:vAlign w:val="bottom"/>
            <w:gridSpan w:val="2"/>
          </w:tcPr>
          <w:p>
            <w:pPr>
              <w:jc w:val="center"/>
              <w:ind w:right="140"/>
              <w:spacing w:after="0" w:line="169"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200" w:type="dxa"/>
            <w:vAlign w:val="bottom"/>
          </w:tcPr>
          <w:p>
            <w:pPr>
              <w:spacing w:after="0"/>
              <w:rPr>
                <w:sz w:val="14"/>
                <w:szCs w:val="14"/>
                <w:color w:val="auto"/>
              </w:rPr>
            </w:pPr>
          </w:p>
        </w:tc>
        <w:tc>
          <w:tcPr>
            <w:tcW w:w="154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5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0" w:type="dxa"/>
            <w:vAlign w:val="bottom"/>
          </w:tcPr>
          <w:p>
            <w:pPr>
              <w:spacing w:after="0"/>
              <w:rPr>
                <w:sz w:val="1"/>
                <w:szCs w:val="1"/>
                <w:color w:val="auto"/>
              </w:rPr>
            </w:pPr>
          </w:p>
        </w:tc>
      </w:tr>
      <w:tr>
        <w:trPr>
          <w:trHeight w:val="243"/>
        </w:trPr>
        <w:tc>
          <w:tcPr>
            <w:tcW w:w="4880" w:type="dxa"/>
            <w:vAlign w:val="bottom"/>
            <w:gridSpan w:val="2"/>
            <w:vMerge w:val="continue"/>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15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15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26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18,418</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cap</w:t>
            </w:r>
          </w:p>
        </w:tc>
        <w:tc>
          <w:tcPr>
            <w:tcW w:w="1540" w:type="dxa"/>
            <w:vAlign w:val="bottom"/>
            <w:tcBorders>
              <w:bottom w:val="single" w:sz="8" w:color="CCEEFF"/>
            </w:tcBorders>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consolidated funds’ non-designated derivatives, as well as their classification in the consolidated balance sheets, as of December 31, 2024 and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Type of Derivative</w:t>
            </w:r>
          </w:p>
        </w:tc>
        <w:tc>
          <w:tcPr>
            <w:tcW w:w="478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40" w:type="dxa"/>
            <w:vAlign w:val="bottom"/>
            <w:tcBorders>
              <w:top w:val="single" w:sz="8" w:color="CCEEFF"/>
            </w:tcBorders>
            <w:shd w:val="clear" w:color="auto" w:fill="CCEEFF"/>
          </w:tcPr>
          <w:p>
            <w:pPr>
              <w:spacing w:after="0"/>
              <w:rPr>
                <w:sz w:val="19"/>
                <w:szCs w:val="19"/>
                <w:color w:val="auto"/>
              </w:rPr>
            </w:pPr>
          </w:p>
        </w:tc>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funds - Prepaid and other assets</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3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cap</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funds - Prepaid and other assets</w:t>
            </w:r>
          </w:p>
        </w:tc>
        <w:tc>
          <w:tcPr>
            <w:tcW w:w="200" w:type="dxa"/>
            <w:vAlign w:val="bottom"/>
          </w:tcPr>
          <w:p>
            <w:pPr>
              <w:spacing w:after="0"/>
              <w:rPr>
                <w:sz w:val="19"/>
                <w:szCs w:val="19"/>
                <w:color w:val="auto"/>
              </w:rPr>
            </w:pPr>
          </w:p>
        </w:tc>
        <w:tc>
          <w:tcPr>
            <w:tcW w:w="196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2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The following table presents the gain or loss recognized in consolidated funds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hospitality expenses in the consolidated statements of operations for years ended December 31, 2024 and 2023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7"/>
        </w:trPr>
        <w:tc>
          <w:tcPr>
            <w:tcW w:w="21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Type of Derivative</w:t>
            </w:r>
          </w:p>
        </w:tc>
        <w:tc>
          <w:tcPr>
            <w:tcW w:w="140" w:type="dxa"/>
            <w:vAlign w:val="bottom"/>
          </w:tcPr>
          <w:p>
            <w:pPr>
              <w:spacing w:after="0"/>
              <w:rPr>
                <w:sz w:val="20"/>
                <w:szCs w:val="20"/>
                <w:color w:val="auto"/>
              </w:rPr>
            </w:pPr>
          </w:p>
        </w:tc>
        <w:tc>
          <w:tcPr>
            <w:tcW w:w="480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Statement of Operations Location</w:t>
            </w:r>
          </w:p>
        </w:tc>
        <w:tc>
          <w:tcPr>
            <w:tcW w:w="460" w:type="dxa"/>
            <w:vAlign w:val="bottom"/>
          </w:tcPr>
          <w:p>
            <w:pPr>
              <w:spacing w:after="0"/>
              <w:rPr>
                <w:sz w:val="20"/>
                <w:szCs w:val="20"/>
                <w:color w:val="auto"/>
              </w:rPr>
            </w:pPr>
          </w:p>
        </w:tc>
        <w:tc>
          <w:tcPr>
            <w:tcW w:w="15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12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3"/>
                <w:szCs w:val="23"/>
                <w:color w:val="auto"/>
                <w:vertAlign w:val="superscript"/>
              </w:rPr>
              <w:t>(1)</w:t>
            </w:r>
          </w:p>
        </w:tc>
        <w:tc>
          <w:tcPr>
            <w:tcW w:w="140" w:type="dxa"/>
            <w:vAlign w:val="bottom"/>
            <w:tcBorders>
              <w:top w:val="single" w:sz="8" w:color="CCEEFF"/>
            </w:tcBorders>
            <w:shd w:val="clear" w:color="auto" w:fill="CCEEFF"/>
          </w:tcPr>
          <w:p>
            <w:pPr>
              <w:spacing w:after="0"/>
              <w:rPr>
                <w:sz w:val="19"/>
                <w:szCs w:val="19"/>
                <w:color w:val="auto"/>
              </w:rPr>
            </w:pPr>
          </w:p>
        </w:tc>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21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rate cap </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99"/>
              </w:rPr>
              <w:t>(35)</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8"/>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4" w:lineRule="exact"/>
        <w:rPr>
          <w:sz w:val="20"/>
          <w:szCs w:val="20"/>
          <w:color w:val="auto"/>
        </w:rPr>
      </w:pPr>
    </w:p>
    <w:p>
      <w:pPr>
        <w:ind w:left="360" w:hanging="352"/>
        <w:spacing w:after="0"/>
        <w:tabs>
          <w:tab w:leader="none" w:pos="360"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year ended December 31, 2024, the interest rate swap was terminated.</w:t>
      </w:r>
    </w:p>
    <w:p>
      <w:pPr>
        <w:spacing w:after="0" w:line="157" w:lineRule="exact"/>
        <w:rPr>
          <w:rFonts w:ascii="Times New Roman" w:cs="Times New Roman" w:eastAsia="Times New Roman" w:hAnsi="Times New Roman"/>
          <w:sz w:val="23"/>
          <w:szCs w:val="23"/>
          <w:color w:val="auto"/>
          <w:vertAlign w:val="superscript"/>
        </w:rPr>
      </w:pPr>
    </w:p>
    <w:p>
      <w:pPr>
        <w:ind w:left="340" w:right="20" w:hanging="332"/>
        <w:spacing w:after="0" w:line="229" w:lineRule="auto"/>
        <w:tabs>
          <w:tab w:leader="none" w:pos="442"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year ended December 31, 2024, the Company deconsolidated Caliber Hospitality, LP and the Caliber Hospitality Trust, which included activity from six hospitality funds.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Stockholders’ Equity and Share-Based Payments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2023, the Company filed a third amended and restated certificate of incorporation. The Company is authorized to issue 137,500,000 shares consisting of: (a) 115,000,000 shares of common stock consisting of (i) 100,000,000 shares of Class A common stock with a par value of $0.001 per share,</w:t>
      </w:r>
    </w:p>
    <w:p>
      <w:pPr>
        <w:ind w:firstLine="8"/>
        <w:spacing w:after="0" w:line="260" w:lineRule="auto"/>
        <w:tabs>
          <w:tab w:leader="none" w:pos="28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 shares of Class B common stock with a par value of $0.001 per share; and (b) 22,500,000 shares of preferred stock with a par value of $0.001 per share.</w:t>
      </w:r>
    </w:p>
    <w:p>
      <w:pPr>
        <w:spacing w:after="0" w:line="14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Class B common stock is identical in all respects to Class A common stock, except it is entitled to 10 votes per share and is convertible at any time on a one-for-one basis into shares of Class A common stock. All other rights, privileges, and rank will be shared equally and be identical in all respects as to all matters.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holders of common stock shall be entitled to receive dividends when, as, and if declared by the board of directors. The holders of common stock shall at all times vote together as one class on all matters. Class A common stock shall be entitled to one vote for each share of common stock and Class B common stock shall be entitled to 10 votes for each share of common stock. No holder of shares of common stock shall have the right to cumulate votes. In the event of liquidation, subject to the prior rights of holders of preferred stock to share ratably in the Company’s assets, the holders of common stock and holders of any shares of preferred stock which are not entitled to any preference in liquidation shall share equally and ratably in the Company’s assets</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available for distribution after giving effect to any liquidation preference of shares of preferred stock. The holders of Class A common stock shall not have any conversion, redemption, or other preemptive rights. The holders of Class B common stock are entitled to a conversion upon notice or an automatic conversion upon transfer at which time the Class B Common stockholder will be entitled to one fully paid and nonassessable share of Class A common stock. In addition, Class B common stock shall not have any redemption or other preemptive rights.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Beginning in 2024, the Company began issuing warrants for the purchase of its Class A Common Stock, either as stand-alone transactions or combined with other debt and/or equity instruments. The warrants may be exercised up to the fifth anniversary of their origination date and transferred independently at any time. Using the Black-Scholes model, the Company estimates the relative fair value of warrants on the date of issuance. The relative fair value of warrants is included in Paid-in capital on the consolidated balance sheets dated December 31, 2024. As of December 31, 2024, the Company had 1,058,790 warrants outstanding with a weighted average exercise price per share and weighted average remaining exercise period of $0.82 and 4.9 years,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Incentive Stock Plan</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may award stock options to employees under the Amended and Restated 2017 Incentive Stock Plan (“2017 Plan”). The 2017 Plan allows the Company to: (i) grant stock awards, (ii) grant stock options, and (iii) offer restricted stock purchases to directors, executives and selected employees, consultants, and advisors. Options will vest if the recipient maintains constant employment through the end of the requisite service period. The following inputs and assumptions were used to calculate the weighted average fair values of the options granted for the years ended December 31, 2024 and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r>
      <w:tr>
        <w:trPr>
          <w:trHeight w:val="223"/>
        </w:trPr>
        <w:tc>
          <w:tcPr>
            <w:tcW w:w="7160" w:type="dxa"/>
            <w:vAlign w:val="bottom"/>
            <w:tcBorders>
              <w:bottom w:val="single" w:sz="8" w:color="CCED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D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1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6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40" w:type="dxa"/>
            <w:vAlign w:val="bottom"/>
            <w:shd w:val="clear" w:color="auto" w:fill="CCEDFF"/>
          </w:tcPr>
          <w:p>
            <w:pPr>
              <w:spacing w:after="0"/>
              <w:rPr>
                <w:sz w:val="19"/>
                <w:szCs w:val="19"/>
                <w:color w:val="auto"/>
              </w:rPr>
            </w:pPr>
          </w:p>
        </w:tc>
        <w:tc>
          <w:tcPr>
            <w:tcW w:w="620" w:type="dxa"/>
            <w:vAlign w:val="bottom"/>
            <w:shd w:val="clear" w:color="auto" w:fill="CCEDFF"/>
          </w:tcPr>
          <w:p>
            <w:pPr>
              <w:spacing w:after="0"/>
              <w:rPr>
                <w:sz w:val="19"/>
                <w:szCs w:val="19"/>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- 36%</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- 40%</w:t>
            </w:r>
          </w:p>
        </w:tc>
      </w:tr>
      <w:tr>
        <w:trPr>
          <w:trHeight w:val="230"/>
        </w:trPr>
        <w:tc>
          <w:tcPr>
            <w:tcW w:w="71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6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40" w:type="dxa"/>
            <w:vAlign w:val="bottom"/>
            <w:shd w:val="clear" w:color="auto" w:fill="CCEDFF"/>
          </w:tcPr>
          <w:p>
            <w:pPr>
              <w:spacing w:after="0"/>
              <w:rPr>
                <w:sz w:val="19"/>
                <w:szCs w:val="19"/>
                <w:color w:val="auto"/>
              </w:rPr>
            </w:pPr>
          </w:p>
        </w:tc>
        <w:tc>
          <w:tcPr>
            <w:tcW w:w="620" w:type="dxa"/>
            <w:vAlign w:val="bottom"/>
            <w:shd w:val="clear" w:color="auto" w:fill="CCEDFF"/>
          </w:tcPr>
          <w:p>
            <w:pPr>
              <w:spacing w:after="0"/>
              <w:rPr>
                <w:sz w:val="19"/>
                <w:szCs w:val="19"/>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 - 4.52%</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 - 4.61%</w:t>
            </w:r>
          </w:p>
        </w:tc>
      </w:tr>
      <w:tr>
        <w:trPr>
          <w:trHeight w:val="229"/>
        </w:trPr>
        <w:tc>
          <w:tcPr>
            <w:tcW w:w="71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Grant date fair value</w:t>
            </w:r>
          </w:p>
        </w:tc>
        <w:tc>
          <w:tcPr>
            <w:tcW w:w="460" w:type="dxa"/>
            <w:vAlign w:val="bottom"/>
            <w:shd w:val="clear" w:color="auto" w:fill="CCED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0.32</w:t>
            </w:r>
          </w:p>
        </w:tc>
        <w:tc>
          <w:tcPr>
            <w:tcW w:w="140" w:type="dxa"/>
            <w:vAlign w:val="bottom"/>
            <w:shd w:val="clear" w:color="auto" w:fill="CCEDFF"/>
          </w:tcPr>
          <w:p>
            <w:pPr>
              <w:spacing w:after="0"/>
              <w:rPr>
                <w:sz w:val="19"/>
                <w:szCs w:val="19"/>
                <w:color w:val="auto"/>
              </w:rPr>
            </w:pPr>
          </w:p>
        </w:tc>
        <w:tc>
          <w:tcPr>
            <w:tcW w:w="620" w:type="dxa"/>
            <w:vAlign w:val="bottom"/>
            <w:shd w:val="clear" w:color="auto" w:fill="CCED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0.38</w:t>
            </w:r>
          </w:p>
        </w:tc>
      </w:tr>
    </w:tbl>
    <w:p>
      <w:pPr>
        <w:spacing w:after="0" w:line="25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Compensation expense is recognized on a straight-line basis over the service period. During the years ended December 31, 2024 and 2023, the Company recognized $2.4 million and $3.7 million, respectively, in compensation expense, related to the 2017 Plan. As of December 31, 2024 and 2023, there was $5.2 million and $0.6 million, respectively, of unrecognized compensation expense related to the 2017 Plan stock options.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detail the activity of the 2017 Plan during the years ended December 31, 2024 and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24"/>
                <w:szCs w:val="24"/>
                <w:color w:val="auto"/>
              </w:rPr>
            </w:pPr>
          </w:p>
        </w:tc>
        <w:tc>
          <w:tcPr>
            <w:tcW w:w="17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02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20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8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202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40" w:type="dxa"/>
            <w:vAlign w:val="bottom"/>
          </w:tcPr>
          <w:p>
            <w:pPr>
              <w:spacing w:after="0"/>
              <w:rPr>
                <w:sz w:val="16"/>
                <w:szCs w:val="16"/>
                <w:color w:val="auto"/>
              </w:rPr>
            </w:pPr>
          </w:p>
        </w:tc>
        <w:tc>
          <w:tcPr>
            <w:tcW w:w="17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19"/>
                <w:szCs w:val="19"/>
                <w:color w:val="auto"/>
              </w:rPr>
            </w:pPr>
          </w:p>
        </w:tc>
        <w:tc>
          <w:tcPr>
            <w:tcW w:w="20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40" w:type="dxa"/>
            <w:vAlign w:val="bottom"/>
          </w:tcPr>
          <w:p>
            <w:pPr>
              <w:spacing w:after="0"/>
              <w:rPr>
                <w:sz w:val="19"/>
                <w:szCs w:val="19"/>
                <w:color w:val="auto"/>
              </w:rPr>
            </w:pPr>
          </w:p>
        </w:tc>
        <w:tc>
          <w:tcPr>
            <w:tcW w:w="17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88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2,003,088</w:t>
            </w:r>
          </w:p>
        </w:tc>
        <w:tc>
          <w:tcPr>
            <w:tcW w:w="120" w:type="dxa"/>
            <w:vAlign w:val="bottom"/>
            <w:tcBorders>
              <w:top w:val="single" w:sz="8" w:color="CCEDFF"/>
            </w:tcBorders>
            <w:shd w:val="clear" w:color="auto" w:fill="CCEDFF"/>
          </w:tcPr>
          <w:p>
            <w:pPr>
              <w:spacing w:after="0"/>
              <w:rPr>
                <w:sz w:val="19"/>
                <w:szCs w:val="19"/>
                <w:color w:val="auto"/>
              </w:rPr>
            </w:pPr>
          </w:p>
        </w:tc>
        <w:tc>
          <w:tcPr>
            <w:tcW w:w="18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Borders>
              <w:top w:val="single" w:sz="8" w:color="CCEDFF"/>
            </w:tcBorders>
            <w:shd w:val="clear" w:color="auto" w:fill="CCEDFF"/>
          </w:tcPr>
          <w:p>
            <w:pPr>
              <w:spacing w:after="0"/>
              <w:rPr>
                <w:sz w:val="19"/>
                <w:szCs w:val="19"/>
                <w:color w:val="auto"/>
              </w:rPr>
            </w:pPr>
          </w:p>
        </w:tc>
        <w:tc>
          <w:tcPr>
            <w:tcW w:w="188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tcBorders>
              <w:top w:val="single" w:sz="8" w:color="CCEDFF"/>
            </w:tcBorders>
            <w:shd w:val="clear" w:color="auto" w:fill="CCEDFF"/>
          </w:tcPr>
          <w:p>
            <w:pPr>
              <w:spacing w:after="0"/>
              <w:rPr>
                <w:sz w:val="19"/>
                <w:szCs w:val="19"/>
                <w:color w:val="auto"/>
              </w:rPr>
            </w:pPr>
          </w:p>
        </w:tc>
        <w:tc>
          <w:tcPr>
            <w:tcW w:w="1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29"/>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 Employee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9"/>
                <w:szCs w:val="19"/>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(25,046)</w:t>
            </w:r>
          </w:p>
        </w:tc>
        <w:tc>
          <w:tcPr>
            <w:tcW w:w="12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17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shd w:val="clear" w:color="auto" w:fill="CCEDFF"/>
          </w:tcPr>
          <w:p>
            <w:pPr>
              <w:spacing w:after="0"/>
              <w:rPr>
                <w:sz w:val="19"/>
                <w:szCs w:val="19"/>
                <w:color w:val="auto"/>
              </w:rPr>
            </w:pPr>
          </w:p>
        </w:tc>
        <w:tc>
          <w:tcPr>
            <w:tcW w:w="2020" w:type="dxa"/>
            <w:vAlign w:val="bottom"/>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DFF"/>
          </w:tcPr>
          <w:p>
            <w:pPr>
              <w:spacing w:after="0"/>
              <w:rPr>
                <w:sz w:val="19"/>
                <w:szCs w:val="19"/>
                <w:color w:val="auto"/>
              </w:rPr>
            </w:pPr>
          </w:p>
        </w:tc>
        <w:tc>
          <w:tcPr>
            <w:tcW w:w="17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Expired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19"/>
                <w:szCs w:val="19"/>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88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2,285,601</w:t>
            </w:r>
          </w:p>
        </w:tc>
        <w:tc>
          <w:tcPr>
            <w:tcW w:w="120" w:type="dxa"/>
            <w:vAlign w:val="bottom"/>
            <w:tcBorders>
              <w:top w:val="single" w:sz="8" w:color="CCEDFF"/>
            </w:tcBorders>
            <w:shd w:val="clear" w:color="auto" w:fill="CCEDFF"/>
          </w:tcPr>
          <w:p>
            <w:pPr>
              <w:spacing w:after="0"/>
              <w:rPr>
                <w:sz w:val="19"/>
                <w:szCs w:val="19"/>
                <w:color w:val="auto"/>
              </w:rPr>
            </w:pPr>
          </w:p>
        </w:tc>
        <w:tc>
          <w:tcPr>
            <w:tcW w:w="180" w:type="dxa"/>
            <w:vAlign w:val="bottom"/>
            <w:tcBorders>
              <w:top w:val="single" w:sz="8" w:color="auto"/>
            </w:tcBorders>
            <w:shd w:val="clear" w:color="auto" w:fill="CCEDFF"/>
          </w:tcPr>
          <w:p>
            <w:pPr>
              <w:spacing w:after="0"/>
              <w:rPr>
                <w:sz w:val="19"/>
                <w:szCs w:val="19"/>
                <w:color w:val="auto"/>
              </w:rPr>
            </w:pPr>
          </w:p>
        </w:tc>
        <w:tc>
          <w:tcPr>
            <w:tcW w:w="17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top w:val="single" w:sz="8" w:color="CCEDFF"/>
            </w:tcBorders>
            <w:shd w:val="clear" w:color="auto" w:fill="CCEDFF"/>
          </w:tcPr>
          <w:p>
            <w:pPr>
              <w:spacing w:after="0"/>
              <w:rPr>
                <w:sz w:val="19"/>
                <w:szCs w:val="19"/>
                <w:color w:val="auto"/>
              </w:rPr>
            </w:pPr>
          </w:p>
        </w:tc>
        <w:tc>
          <w:tcPr>
            <w:tcW w:w="188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tcBorders>
              <w:top w:val="single" w:sz="8" w:color="CCEDFF"/>
            </w:tcBorders>
            <w:shd w:val="clear" w:color="auto" w:fill="CCEDFF"/>
          </w:tcPr>
          <w:p>
            <w:pPr>
              <w:spacing w:after="0"/>
              <w:rPr>
                <w:sz w:val="19"/>
                <w:szCs w:val="19"/>
                <w:color w:val="auto"/>
              </w:rPr>
            </w:pPr>
          </w:p>
        </w:tc>
        <w:tc>
          <w:tcPr>
            <w:tcW w:w="140" w:type="dxa"/>
            <w:vAlign w:val="bottom"/>
            <w:tcBorders>
              <w:top w:val="single" w:sz="8" w:color="auto"/>
            </w:tcBorders>
            <w:shd w:val="clear" w:color="auto" w:fill="CCEDFF"/>
          </w:tcPr>
          <w:p>
            <w:pPr>
              <w:spacing w:after="0"/>
              <w:rPr>
                <w:sz w:val="19"/>
                <w:szCs w:val="19"/>
                <w:color w:val="auto"/>
              </w:rPr>
            </w:pPr>
          </w:p>
        </w:tc>
        <w:tc>
          <w:tcPr>
            <w:tcW w:w="17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3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 Employee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tcPr>
          <w:p>
            <w:pPr>
              <w:spacing w:after="0"/>
              <w:rPr>
                <w:sz w:val="19"/>
                <w:szCs w:val="19"/>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Granted - Nonemployee</w:t>
            </w:r>
          </w:p>
        </w:tc>
        <w:tc>
          <w:tcPr>
            <w:tcW w:w="18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607,851</w:t>
            </w:r>
          </w:p>
        </w:tc>
        <w:tc>
          <w:tcPr>
            <w:tcW w:w="12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17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shd w:val="clear" w:color="auto" w:fill="CCEDFF"/>
          </w:tcPr>
          <w:p>
            <w:pPr>
              <w:spacing w:after="0"/>
              <w:rPr>
                <w:sz w:val="19"/>
                <w:szCs w:val="19"/>
                <w:color w:val="auto"/>
              </w:rPr>
            </w:pPr>
          </w:p>
        </w:tc>
        <w:tc>
          <w:tcPr>
            <w:tcW w:w="2020" w:type="dxa"/>
            <w:vAlign w:val="bottom"/>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DFF"/>
          </w:tcPr>
          <w:p>
            <w:pPr>
              <w:spacing w:after="0"/>
              <w:rPr>
                <w:sz w:val="19"/>
                <w:szCs w:val="19"/>
                <w:color w:val="auto"/>
              </w:rPr>
            </w:pPr>
          </w:p>
        </w:tc>
        <w:tc>
          <w:tcPr>
            <w:tcW w:w="17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9"/>
                <w:szCs w:val="19"/>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Expired</w:t>
            </w:r>
          </w:p>
        </w:tc>
        <w:tc>
          <w:tcPr>
            <w:tcW w:w="18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(211,657)</w:t>
            </w:r>
          </w:p>
        </w:tc>
        <w:tc>
          <w:tcPr>
            <w:tcW w:w="12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17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CEDFF"/>
          </w:tcPr>
          <w:p>
            <w:pPr>
              <w:spacing w:after="0"/>
              <w:rPr>
                <w:sz w:val="19"/>
                <w:szCs w:val="19"/>
                <w:color w:val="auto"/>
              </w:rPr>
            </w:pPr>
          </w:p>
        </w:tc>
        <w:tc>
          <w:tcPr>
            <w:tcW w:w="2020" w:type="dxa"/>
            <w:vAlign w:val="bottom"/>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DFF"/>
          </w:tcPr>
          <w:p>
            <w:pPr>
              <w:spacing w:after="0"/>
              <w:rPr>
                <w:sz w:val="19"/>
                <w:szCs w:val="19"/>
                <w:color w:val="auto"/>
              </w:rPr>
            </w:pPr>
          </w:p>
        </w:tc>
        <w:tc>
          <w:tcPr>
            <w:tcW w:w="17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2,847,252</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52,479</w:t>
            </w:r>
          </w:p>
        </w:tc>
        <w:tc>
          <w:tcPr>
            <w:tcW w:w="0" w:type="dxa"/>
            <w:vAlign w:val="bottom"/>
          </w:tcPr>
          <w:p>
            <w:pPr>
              <w:spacing w:after="0"/>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83"/>
        </w:trPr>
        <w:tc>
          <w:tcPr>
            <w:tcW w:w="7060" w:type="dxa"/>
            <w:vAlign w:val="bottom"/>
          </w:tcPr>
          <w:p>
            <w:pPr>
              <w:spacing w:after="0"/>
              <w:rPr>
                <w:sz w:val="24"/>
                <w:szCs w:val="24"/>
                <w:color w:val="auto"/>
              </w:rPr>
            </w:pPr>
          </w:p>
        </w:tc>
        <w:tc>
          <w:tcPr>
            <w:tcW w:w="2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200" w:type="dxa"/>
            <w:vAlign w:val="bottom"/>
          </w:tcPr>
          <w:p>
            <w:pPr>
              <w:spacing w:after="0"/>
              <w:rPr>
                <w:sz w:val="24"/>
                <w:szCs w:val="24"/>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7060" w:type="dxa"/>
            <w:vAlign w:val="bottom"/>
          </w:tcPr>
          <w:p>
            <w:pPr>
              <w:spacing w:after="0"/>
              <w:rPr>
                <w:sz w:val="20"/>
                <w:szCs w:val="20"/>
                <w:color w:val="auto"/>
              </w:rPr>
            </w:pPr>
          </w:p>
        </w:tc>
        <w:tc>
          <w:tcPr>
            <w:tcW w:w="2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200" w:type="dxa"/>
            <w:vAlign w:val="bottom"/>
          </w:tcPr>
          <w:p>
            <w:pPr>
              <w:spacing w:after="0"/>
              <w:rPr>
                <w:sz w:val="20"/>
                <w:szCs w:val="20"/>
                <w:color w:val="auto"/>
              </w:rPr>
            </w:pPr>
          </w:p>
        </w:tc>
        <w:tc>
          <w:tcPr>
            <w:tcW w:w="18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706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at December 31, 2022</w:t>
            </w:r>
          </w:p>
        </w:tc>
        <w:tc>
          <w:tcPr>
            <w:tcW w:w="20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396,955</w:t>
            </w:r>
          </w:p>
        </w:tc>
        <w:tc>
          <w:tcPr>
            <w:tcW w:w="140" w:type="dxa"/>
            <w:vAlign w:val="bottom"/>
            <w:tcBorders>
              <w:top w:val="single" w:sz="8" w:color="CCEDFF"/>
            </w:tcBorders>
            <w:shd w:val="clear" w:color="auto" w:fill="CCEDFF"/>
          </w:tcPr>
          <w:p>
            <w:pPr>
              <w:spacing w:after="0"/>
              <w:rPr>
                <w:sz w:val="19"/>
                <w:szCs w:val="19"/>
                <w:color w:val="auto"/>
              </w:rPr>
            </w:pPr>
          </w:p>
        </w:tc>
        <w:tc>
          <w:tcPr>
            <w:tcW w:w="200" w:type="dxa"/>
            <w:vAlign w:val="bottom"/>
            <w:tcBorders>
              <w:top w:val="single" w:sz="8" w:color="auto"/>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29"/>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 - Employee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2,282,086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706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(272,197)</w:t>
            </w:r>
          </w:p>
        </w:tc>
        <w:tc>
          <w:tcPr>
            <w:tcW w:w="14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8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30"/>
        </w:trPr>
        <w:tc>
          <w:tcPr>
            <w:tcW w:w="706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140" w:type="dxa"/>
            <w:vAlign w:val="bottom"/>
            <w:tcBorders>
              <w:bottom w:val="single" w:sz="8" w:color="CCED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3"/>
        </w:trPr>
        <w:tc>
          <w:tcPr>
            <w:tcW w:w="70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at December 31, 2023</w:t>
            </w:r>
          </w:p>
        </w:tc>
        <w:tc>
          <w:tcPr>
            <w:tcW w:w="20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2,386,786</w:t>
            </w:r>
          </w:p>
        </w:tc>
        <w:tc>
          <w:tcPr>
            <w:tcW w:w="14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8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 - Employee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4,971,181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r>
      <w:tr>
        <w:trPr>
          <w:trHeight w:val="230"/>
        </w:trPr>
        <w:tc>
          <w:tcPr>
            <w:tcW w:w="706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(1,246,972)</w:t>
            </w:r>
          </w:p>
        </w:tc>
        <w:tc>
          <w:tcPr>
            <w:tcW w:w="14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8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706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(656,423)</w:t>
            </w:r>
          </w:p>
        </w:tc>
        <w:tc>
          <w:tcPr>
            <w:tcW w:w="140" w:type="dxa"/>
            <w:vAlign w:val="bottom"/>
            <w:tcBorders>
              <w:bottom w:val="single" w:sz="8" w:color="CCED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70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at December 31, 2024</w:t>
            </w:r>
          </w:p>
        </w:tc>
        <w:tc>
          <w:tcPr>
            <w:tcW w:w="20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5,454,572</w:t>
            </w:r>
          </w:p>
        </w:tc>
        <w:tc>
          <w:tcPr>
            <w:tcW w:w="140" w:type="dxa"/>
            <w:vAlign w:val="bottom"/>
            <w:shd w:val="clear" w:color="auto" w:fill="CCEDFF"/>
          </w:tcPr>
          <w:p>
            <w:pPr>
              <w:spacing w:after="0"/>
              <w:rPr>
                <w:sz w:val="19"/>
                <w:szCs w:val="19"/>
                <w:color w:val="auto"/>
              </w:rPr>
            </w:pPr>
          </w:p>
        </w:tc>
        <w:tc>
          <w:tcPr>
            <w:tcW w:w="20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restricted stock units are subject to forfeiture if the participant does not meet certain conditions such as continued employment and/or the attainment of the specified performance target over the specified service period. The performance target related to the outstanding restricted stock units is the completion of an initial public offering or exchange listing. As of December 31, 2024, there was $4.9 million of unrecognized compensation expense related to the restricted stock units. The restricted stock units have a remaining term of 2.9 years as of December 31, 2024.</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Incentive Stock Plan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2024, the Board of Directors approved the 2024 Incentive Stock Plan (the “2024 Plan”) which will be used for future share-based compensation arrangements going forward. As of December 31, 2024, a limited number of awards have been issued under the new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Preferred Stock</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November 2024, the Company entered in to an offering agreement to issue up to $15.0 million, of Series A Convertible Preferred Stock (“Series A Preferred”) and warrants to purchase its Class A Common Stock (“Common Stock”), with a stated value of $20 per share and a 12% annual, non-cumulative dividend payable annually in cash or shares of common stock, at the Company’s discretion.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Series A Preferred is convertible anytime at the option of the stockholder, in four sequential tranches. Each tranche allows the stockholder to convert up to 25% of it’s initial investment, beginning at a conversion price $0.51 per share of Common Stock, and increasing in 50% increments for each successive tranche. Each tranche of Series A Preferred is is mandatorily convertible if the market price of Common Stock is 200% higher than any respective tranche’s conversion price for twenty of thirty consecutive Trading Days.</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year ended December 31, 2024, the Company had issued 100,000 of its Series A Preferred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Historically, the Company’s operations were organized into three reportable segments, fund management, development, and brokerage. During the year ended December 31, 2023, the Company reevaluated its reportable segments, considering (i) the evolution of the Company after closing its initial public offering and how the Company’s chief operating decision maker (“CODM”), the Company’s Chief Executive Officer, John C. Loeffler, assesses performance and allocates resources, (ii) changes to the budgeting process and in key personnel driven by the Company’s growth initiatives, and (iii) how management reports ongoing company performance to the Board of Directors. With the evolution and growth of the Company, the Company’s CODM assesses performance and resource allocation on an aggregate basis under the Company’s asset management platform (“Platform”), and no longer reviews operating results for development or brokerage activity separately. As such, management concluded that the Company operates through one operating segment, which it refers to as Platform.</w:t>
      </w:r>
    </w:p>
    <w:p>
      <w:pPr>
        <w:spacing w:after="0" w:line="16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CODM assesses revenue, operating costs and key operating statistics to evaluate performance and allocate resources on a basis that eliminates the impact of the consolidated investment funds (intercompany eliminations required by U.S. GAAP) and noncontrolling interests. Operating costs consist primarily of payroll related costs that are provided quarterly to the CODM. Platform payroll and payroll related costs were $17.8 million and $19.4 million for the years ended December 31, 2024 and 2023, respectively. Management concluded that the consolidated investment funds do not meet the requirements in ASC 280, Segment Reporting, of operating segments, as the Company’s CODM does not review, nor is he provided with the operating results of these investment funds for the purposes of allocating resources, assessing performance or determining whether additional investments or advances will be made to these funds. The investment funds are consolidated based on the requirement in ASC 810, Consolidation, as the Company was determined to be the primary beneficiary of each of these variable interest entities since it has the power to direct the activities of the entities and the right to absorb losses, generally in the form of guarantees of indebtedness that are significant to the individual investment funds.</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and 2023, total revenues were $20.9 million and $20.6 million, respectively, representing a period-over-period increase of 1.5%. The table below (in thousands) compares the revenues earned for providing services under the Company’s asset management Platform as described in the Revenue Recognition section of Note 2 – Summary of Significant Accounting Policies for the year ended December 31, 2024, to the revenues earned for the same period in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300" w:type="dxa"/>
            <w:vAlign w:val="bottom"/>
          </w:tcPr>
          <w:p>
            <w:pPr>
              <w:spacing w:after="0"/>
              <w:rPr>
                <w:sz w:val="15"/>
                <w:szCs w:val="15"/>
                <w:color w:val="auto"/>
              </w:rPr>
            </w:pPr>
          </w:p>
        </w:tc>
        <w:tc>
          <w:tcPr>
            <w:tcW w:w="1580" w:type="dxa"/>
            <w:vAlign w:val="bottom"/>
            <w:gridSpan w:val="2"/>
          </w:tcPr>
          <w:p>
            <w:pPr>
              <w:jc w:val="center"/>
              <w:ind w:right="4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80" w:type="dxa"/>
            <w:vAlign w:val="bottom"/>
          </w:tcPr>
          <w:p>
            <w:pPr>
              <w:spacing w:after="0"/>
              <w:rPr>
                <w:sz w:val="15"/>
                <w:szCs w:val="15"/>
                <w:color w:val="auto"/>
              </w:rPr>
            </w:pPr>
          </w:p>
        </w:tc>
        <w:tc>
          <w:tcPr>
            <w:tcW w:w="14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40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8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740" w:type="dxa"/>
            <w:vAlign w:val="bottom"/>
            <w:tcBorders>
              <w:top w:val="single" w:sz="8" w:color="CCEDFF"/>
            </w:tcBorders>
            <w:shd w:val="clear" w:color="auto" w:fill="CCEDFF"/>
          </w:tcPr>
          <w:p>
            <w:pPr>
              <w:spacing w:after="0"/>
              <w:rPr>
                <w:sz w:val="18"/>
                <w:szCs w:val="18"/>
                <w:color w:val="auto"/>
              </w:rPr>
            </w:pPr>
          </w:p>
        </w:tc>
        <w:tc>
          <w:tcPr>
            <w:tcW w:w="320" w:type="dxa"/>
            <w:vAlign w:val="bottom"/>
            <w:tcBorders>
              <w:top w:val="single" w:sz="8" w:color="auto"/>
            </w:tcBorders>
            <w:shd w:val="clear" w:color="auto" w:fill="CCEDFF"/>
          </w:tcPr>
          <w:p>
            <w:pPr>
              <w:spacing w:after="0"/>
              <w:rPr>
                <w:sz w:val="18"/>
                <w:szCs w:val="18"/>
                <w:color w:val="auto"/>
              </w:rPr>
            </w:pPr>
          </w:p>
        </w:tc>
        <w:tc>
          <w:tcPr>
            <w:tcW w:w="140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300" w:type="dxa"/>
            <w:vAlign w:val="bottom"/>
            <w:tcBorders>
              <w:top w:val="single" w:sz="8" w:color="auto"/>
            </w:tcBorders>
            <w:shd w:val="clear" w:color="auto" w:fill="CCEDFF"/>
          </w:tcPr>
          <w:p>
            <w:pPr>
              <w:spacing w:after="0"/>
              <w:rPr>
                <w:sz w:val="18"/>
                <w:szCs w:val="18"/>
                <w:color w:val="auto"/>
              </w:rPr>
            </w:pPr>
          </w:p>
        </w:tc>
        <w:tc>
          <w:tcPr>
            <w:tcW w:w="144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80" w:type="dxa"/>
            <w:vAlign w:val="bottom"/>
            <w:tcBorders>
              <w:top w:val="single" w:sz="8" w:color="auto"/>
            </w:tcBorders>
            <w:shd w:val="clear" w:color="auto" w:fill="CCEDFF"/>
          </w:tcPr>
          <w:p>
            <w:pPr>
              <w:spacing w:after="0"/>
              <w:rPr>
                <w:sz w:val="18"/>
                <w:szCs w:val="18"/>
                <w:color w:val="auto"/>
              </w:rPr>
            </w:pPr>
          </w:p>
        </w:tc>
        <w:tc>
          <w:tcPr>
            <w:tcW w:w="1460" w:type="dxa"/>
            <w:vAlign w:val="bottom"/>
            <w:tcBorders>
              <w:top w:val="single" w:sz="8" w:color="auto"/>
            </w:tcBorders>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 management fees</w:t>
            </w:r>
          </w:p>
        </w:tc>
        <w:tc>
          <w:tcPr>
            <w:tcW w:w="2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12,318</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0" w:type="dxa"/>
            <w:vAlign w:val="bottom"/>
          </w:tcPr>
          <w:p>
            <w:pPr>
              <w:spacing w:after="0"/>
              <w:rPr>
                <w:sz w:val="1"/>
                <w:szCs w:val="1"/>
                <w:color w:val="auto"/>
              </w:rPr>
            </w:pPr>
          </w:p>
        </w:tc>
      </w:tr>
      <w:tr>
        <w:trPr>
          <w:trHeight w:val="229"/>
        </w:trPr>
        <w:tc>
          <w:tcPr>
            <w:tcW w:w="402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Financing fees</w:t>
            </w:r>
          </w:p>
        </w:tc>
        <w:tc>
          <w:tcPr>
            <w:tcW w:w="174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and construction fees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0" w:type="dxa"/>
            <w:vAlign w:val="bottom"/>
          </w:tcPr>
          <w:p>
            <w:pPr>
              <w:spacing w:after="0"/>
              <w:rPr>
                <w:sz w:val="1"/>
                <w:szCs w:val="1"/>
                <w:color w:val="auto"/>
              </w:rPr>
            </w:pPr>
          </w:p>
        </w:tc>
      </w:tr>
      <w:tr>
        <w:trPr>
          <w:trHeight w:val="230"/>
        </w:trPr>
        <w:tc>
          <w:tcPr>
            <w:tcW w:w="402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Brokerage fees</w:t>
            </w:r>
          </w:p>
        </w:tc>
        <w:tc>
          <w:tcPr>
            <w:tcW w:w="1740" w:type="dxa"/>
            <w:vAlign w:val="bottom"/>
            <w:shd w:val="clear" w:color="auto" w:fill="CCEDFF"/>
          </w:tcPr>
          <w:p>
            <w:pPr>
              <w:spacing w:after="0"/>
              <w:rPr>
                <w:sz w:val="19"/>
                <w:szCs w:val="19"/>
                <w:color w:val="auto"/>
              </w:rPr>
            </w:pPr>
          </w:p>
        </w:tc>
        <w:tc>
          <w:tcPr>
            <w:tcW w:w="320" w:type="dxa"/>
            <w:vAlign w:val="bottom"/>
            <w:tcBorders>
              <w:bottom w:val="single" w:sz="8" w:color="auto"/>
            </w:tcBorders>
            <w:shd w:val="clear" w:color="auto" w:fill="CCEDFF"/>
          </w:tcPr>
          <w:p>
            <w:pPr>
              <w:spacing w:after="0"/>
              <w:rPr>
                <w:sz w:val="19"/>
                <w:szCs w:val="19"/>
                <w:color w:val="auto"/>
              </w:rPr>
            </w:pPr>
          </w:p>
        </w:tc>
        <w:tc>
          <w:tcPr>
            <w:tcW w:w="14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4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DFF"/>
          </w:tcPr>
          <w:p>
            <w:pPr>
              <w:spacing w:after="0"/>
              <w:rPr>
                <w:sz w:val="19"/>
                <w:szCs w:val="19"/>
                <w:color w:val="auto"/>
              </w:rPr>
            </w:pPr>
          </w:p>
        </w:tc>
        <w:tc>
          <w:tcPr>
            <w:tcW w:w="280" w:type="dxa"/>
            <w:vAlign w:val="bottom"/>
            <w:tcBorders>
              <w:bottom w:val="single" w:sz="8" w:color="auto"/>
            </w:tcBorders>
            <w:shd w:val="clear" w:color="auto" w:fill="CCEDFF"/>
          </w:tcPr>
          <w:p>
            <w:pPr>
              <w:spacing w:after="0"/>
              <w:rPr>
                <w:sz w:val="19"/>
                <w:szCs w:val="19"/>
                <w:color w:val="auto"/>
              </w:rPr>
            </w:pPr>
          </w:p>
        </w:tc>
        <w:tc>
          <w:tcPr>
            <w:tcW w:w="14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 management</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16,879</w:t>
            </w:r>
          </w:p>
        </w:tc>
        <w:tc>
          <w:tcPr>
            <w:tcW w:w="0" w:type="dxa"/>
            <w:vAlign w:val="bottom"/>
          </w:tcPr>
          <w:p>
            <w:pPr>
              <w:spacing w:after="0"/>
              <w:rPr>
                <w:sz w:val="1"/>
                <w:szCs w:val="1"/>
                <w:color w:val="auto"/>
              </w:rPr>
            </w:pPr>
          </w:p>
        </w:tc>
      </w:tr>
      <w:tr>
        <w:trPr>
          <w:trHeight w:val="230"/>
        </w:trPr>
        <w:tc>
          <w:tcPr>
            <w:tcW w:w="402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740" w:type="dxa"/>
            <w:vAlign w:val="bottom"/>
            <w:shd w:val="clear" w:color="auto" w:fill="CCEDFF"/>
          </w:tcPr>
          <w:p>
            <w:pPr>
              <w:spacing w:after="0"/>
              <w:rPr>
                <w:sz w:val="19"/>
                <w:szCs w:val="19"/>
                <w:color w:val="auto"/>
              </w:rPr>
            </w:pPr>
          </w:p>
        </w:tc>
        <w:tc>
          <w:tcPr>
            <w:tcW w:w="320" w:type="dxa"/>
            <w:vAlign w:val="bottom"/>
            <w:tcBorders>
              <w:bottom w:val="single" w:sz="8" w:color="auto"/>
            </w:tcBorders>
            <w:shd w:val="clear" w:color="auto" w:fill="CCEDFF"/>
          </w:tcPr>
          <w:p>
            <w:pPr>
              <w:spacing w:after="0"/>
              <w:rPr>
                <w:sz w:val="19"/>
                <w:szCs w:val="19"/>
                <w:color w:val="auto"/>
              </w:rPr>
            </w:pPr>
          </w:p>
        </w:tc>
        <w:tc>
          <w:tcPr>
            <w:tcW w:w="14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DFF"/>
          </w:tcPr>
          <w:p>
            <w:pPr>
              <w:spacing w:after="0"/>
              <w:rPr>
                <w:sz w:val="19"/>
                <w:szCs w:val="19"/>
                <w:color w:val="auto"/>
              </w:rPr>
            </w:pPr>
          </w:p>
        </w:tc>
        <w:tc>
          <w:tcPr>
            <w:tcW w:w="280" w:type="dxa"/>
            <w:vAlign w:val="bottom"/>
            <w:tcBorders>
              <w:bottom w:val="single" w:sz="8" w:color="auto"/>
            </w:tcBorders>
            <w:shd w:val="clear" w:color="auto" w:fill="CCEDFF"/>
          </w:tcPr>
          <w:p>
            <w:pPr>
              <w:spacing w:after="0"/>
              <w:rPr>
                <w:sz w:val="19"/>
                <w:szCs w:val="19"/>
                <w:color w:val="auto"/>
              </w:rPr>
            </w:pPr>
          </w:p>
        </w:tc>
        <w:tc>
          <w:tcPr>
            <w:tcW w:w="14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3"/>
        </w:trPr>
        <w:tc>
          <w:tcPr>
            <w:tcW w:w="4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Platform revenue</w:t>
            </w:r>
          </w:p>
        </w:tc>
        <w:tc>
          <w:tcPr>
            <w:tcW w:w="17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4020" w:type="dxa"/>
            <w:vAlign w:val="bottom"/>
          </w:tcPr>
          <w:p>
            <w:pPr>
              <w:spacing w:after="0"/>
              <w:rPr>
                <w:sz w:val="24"/>
                <w:szCs w:val="24"/>
                <w:color w:val="auto"/>
              </w:rPr>
            </w:pPr>
          </w:p>
        </w:tc>
        <w:tc>
          <w:tcPr>
            <w:tcW w:w="2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F-45</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300" w:type="dxa"/>
            <w:vAlign w:val="bottom"/>
          </w:tcPr>
          <w:p>
            <w:pPr>
              <w:spacing w:after="0"/>
              <w:rPr>
                <w:sz w:val="15"/>
                <w:szCs w:val="15"/>
                <w:color w:val="auto"/>
              </w:rPr>
            </w:pPr>
          </w:p>
        </w:tc>
        <w:tc>
          <w:tcPr>
            <w:tcW w:w="1580" w:type="dxa"/>
            <w:vAlign w:val="bottom"/>
            <w:gridSpan w:val="2"/>
          </w:tcPr>
          <w:p>
            <w:pPr>
              <w:jc w:val="center"/>
              <w:ind w:right="4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80" w:type="dxa"/>
            <w:vAlign w:val="bottom"/>
          </w:tcPr>
          <w:p>
            <w:pPr>
              <w:spacing w:after="0"/>
              <w:rPr>
                <w:sz w:val="15"/>
                <w:szCs w:val="15"/>
                <w:color w:val="auto"/>
              </w:rPr>
            </w:pPr>
          </w:p>
        </w:tc>
        <w:tc>
          <w:tcPr>
            <w:tcW w:w="14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5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8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6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top w:val="single" w:sz="8" w:color="auto"/>
            </w:tcBorders>
            <w:shd w:val="clear" w:color="auto" w:fill="CCEDFF"/>
          </w:tcPr>
          <w:p>
            <w:pPr>
              <w:spacing w:after="0"/>
              <w:rPr>
                <w:sz w:val="18"/>
                <w:szCs w:val="18"/>
                <w:color w:val="auto"/>
              </w:rPr>
            </w:pPr>
          </w:p>
        </w:tc>
        <w:tc>
          <w:tcPr>
            <w:tcW w:w="140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300" w:type="dxa"/>
            <w:vAlign w:val="bottom"/>
            <w:tcBorders>
              <w:top w:val="single" w:sz="8" w:color="auto"/>
            </w:tcBorders>
            <w:shd w:val="clear" w:color="auto" w:fill="CCEDFF"/>
          </w:tcPr>
          <w:p>
            <w:pPr>
              <w:spacing w:after="0"/>
              <w:rPr>
                <w:sz w:val="18"/>
                <w:szCs w:val="18"/>
                <w:color w:val="auto"/>
              </w:rPr>
            </w:pPr>
          </w:p>
        </w:tc>
        <w:tc>
          <w:tcPr>
            <w:tcW w:w="144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80" w:type="dxa"/>
            <w:vAlign w:val="bottom"/>
            <w:tcBorders>
              <w:top w:val="single" w:sz="8" w:color="auto"/>
            </w:tcBorders>
            <w:shd w:val="clear" w:color="auto" w:fill="CCEDFF"/>
          </w:tcPr>
          <w:p>
            <w:pPr>
              <w:spacing w:after="0"/>
              <w:rPr>
                <w:sz w:val="18"/>
                <w:szCs w:val="18"/>
                <w:color w:val="auto"/>
              </w:rPr>
            </w:pPr>
          </w:p>
        </w:tc>
        <w:tc>
          <w:tcPr>
            <w:tcW w:w="1460" w:type="dxa"/>
            <w:vAlign w:val="bottom"/>
            <w:tcBorders>
              <w:top w:val="single" w:sz="8" w:color="auto"/>
            </w:tcBorders>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 management fees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0" w:type="dxa"/>
            <w:vAlign w:val="bottom"/>
          </w:tcPr>
          <w:p>
            <w:pPr>
              <w:spacing w:after="0"/>
              <w:rPr>
                <w:sz w:val="1"/>
                <w:szCs w:val="1"/>
                <w:color w:val="auto"/>
              </w:rPr>
            </w:pPr>
          </w:p>
        </w:tc>
      </w:tr>
      <w:tr>
        <w:trPr>
          <w:trHeight w:val="229"/>
        </w:trPr>
        <w:tc>
          <w:tcPr>
            <w:tcW w:w="57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Financing fees</w:t>
            </w:r>
          </w:p>
        </w:tc>
        <w:tc>
          <w:tcPr>
            <w:tcW w:w="32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and construction fees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0" w:type="dxa"/>
            <w:vAlign w:val="bottom"/>
          </w:tcPr>
          <w:p>
            <w:pPr>
              <w:spacing w:after="0"/>
              <w:rPr>
                <w:sz w:val="1"/>
                <w:szCs w:val="1"/>
                <w:color w:val="auto"/>
              </w:rPr>
            </w:pPr>
          </w:p>
        </w:tc>
      </w:tr>
      <w:tr>
        <w:trPr>
          <w:trHeight w:val="230"/>
        </w:trPr>
        <w:tc>
          <w:tcPr>
            <w:tcW w:w="57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Brokerage fees</w:t>
            </w:r>
          </w:p>
        </w:tc>
        <w:tc>
          <w:tcPr>
            <w:tcW w:w="320" w:type="dxa"/>
            <w:vAlign w:val="bottom"/>
            <w:tcBorders>
              <w:bottom w:val="single" w:sz="8" w:color="auto"/>
            </w:tcBorders>
            <w:shd w:val="clear" w:color="auto" w:fill="CCEDFF"/>
          </w:tcPr>
          <w:p>
            <w:pPr>
              <w:spacing w:after="0"/>
              <w:rPr>
                <w:sz w:val="19"/>
                <w:szCs w:val="19"/>
                <w:color w:val="auto"/>
              </w:rPr>
            </w:pPr>
          </w:p>
        </w:tc>
        <w:tc>
          <w:tcPr>
            <w:tcW w:w="14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4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shd w:val="clear" w:color="auto" w:fill="CCEDFF"/>
          </w:tcPr>
          <w:p>
            <w:pPr>
              <w:spacing w:after="0"/>
              <w:rPr>
                <w:sz w:val="19"/>
                <w:szCs w:val="19"/>
                <w:color w:val="auto"/>
              </w:rPr>
            </w:pPr>
          </w:p>
        </w:tc>
        <w:tc>
          <w:tcPr>
            <w:tcW w:w="280" w:type="dxa"/>
            <w:vAlign w:val="bottom"/>
            <w:tcBorders>
              <w:bottom w:val="single" w:sz="8" w:color="auto"/>
            </w:tcBorders>
            <w:shd w:val="clear" w:color="auto" w:fill="CCEDFF"/>
          </w:tcPr>
          <w:p>
            <w:pPr>
              <w:spacing w:after="0"/>
              <w:rPr>
                <w:sz w:val="19"/>
                <w:szCs w:val="19"/>
                <w:color w:val="auto"/>
              </w:rPr>
            </w:pPr>
          </w:p>
        </w:tc>
        <w:tc>
          <w:tcPr>
            <w:tcW w:w="14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23"/>
        </w:trPr>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 management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0" w:type="dxa"/>
            <w:vAlign w:val="bottom"/>
          </w:tcPr>
          <w:p>
            <w:pPr>
              <w:spacing w:after="0"/>
              <w:rPr>
                <w:sz w:val="1"/>
                <w:szCs w:val="1"/>
                <w:color w:val="auto"/>
              </w:rPr>
            </w:pPr>
          </w:p>
        </w:tc>
      </w:tr>
      <w:tr>
        <w:trPr>
          <w:trHeight w:val="230"/>
        </w:trPr>
        <w:tc>
          <w:tcPr>
            <w:tcW w:w="576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Performance allocations</w:t>
            </w:r>
          </w:p>
        </w:tc>
        <w:tc>
          <w:tcPr>
            <w:tcW w:w="320" w:type="dxa"/>
            <w:vAlign w:val="bottom"/>
            <w:tcBorders>
              <w:bottom w:val="single" w:sz="8" w:color="auto"/>
            </w:tcBorders>
            <w:shd w:val="clear" w:color="auto" w:fill="CCEDFF"/>
          </w:tcPr>
          <w:p>
            <w:pPr>
              <w:spacing w:after="0"/>
              <w:rPr>
                <w:sz w:val="19"/>
                <w:szCs w:val="19"/>
                <w:color w:val="auto"/>
              </w:rPr>
            </w:pPr>
          </w:p>
        </w:tc>
        <w:tc>
          <w:tcPr>
            <w:tcW w:w="14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4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DFF"/>
          </w:tcPr>
          <w:p>
            <w:pPr>
              <w:spacing w:after="0"/>
              <w:rPr>
                <w:sz w:val="19"/>
                <w:szCs w:val="19"/>
                <w:color w:val="auto"/>
              </w:rPr>
            </w:pPr>
          </w:p>
        </w:tc>
        <w:tc>
          <w:tcPr>
            <w:tcW w:w="280" w:type="dxa"/>
            <w:vAlign w:val="bottom"/>
            <w:tcBorders>
              <w:bottom w:val="single" w:sz="8" w:color="auto"/>
            </w:tcBorders>
            <w:shd w:val="clear" w:color="auto" w:fill="CCEDFF"/>
          </w:tcPr>
          <w:p>
            <w:pPr>
              <w:spacing w:after="0"/>
              <w:rPr>
                <w:sz w:val="19"/>
                <w:szCs w:val="19"/>
                <w:color w:val="auto"/>
              </w:rPr>
            </w:pPr>
          </w:p>
        </w:tc>
        <w:tc>
          <w:tcPr>
            <w:tcW w:w="14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0" w:type="dxa"/>
            <w:vAlign w:val="bottom"/>
          </w:tcPr>
          <w:p>
            <w:pPr>
              <w:spacing w:after="0"/>
              <w:rPr>
                <w:sz w:val="1"/>
                <w:szCs w:val="1"/>
                <w:color w:val="auto"/>
              </w:rPr>
            </w:pPr>
          </w:p>
        </w:tc>
      </w:tr>
      <w:tr>
        <w:trPr>
          <w:trHeight w:val="223"/>
        </w:trPr>
        <w:tc>
          <w:tcPr>
            <w:tcW w:w="5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Platform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present a reconciliation of Platform revenues, expenses and net loss to the most comparable GAAP measure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6"/>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Unconsolidated</w:t>
            </w:r>
          </w:p>
        </w:tc>
        <w:tc>
          <w:tcPr>
            <w:tcW w:w="300" w:type="dxa"/>
            <w:vAlign w:val="bottom"/>
          </w:tcPr>
          <w:p>
            <w:pPr>
              <w:spacing w:after="0"/>
              <w:rPr>
                <w:sz w:val="15"/>
                <w:szCs w:val="15"/>
                <w:color w:val="auto"/>
              </w:rPr>
            </w:pPr>
          </w:p>
        </w:tc>
        <w:tc>
          <w:tcPr>
            <w:tcW w:w="1580" w:type="dxa"/>
            <w:vAlign w:val="bottom"/>
            <w:gridSpan w:val="2"/>
          </w:tcPr>
          <w:p>
            <w:pPr>
              <w:jc w:val="center"/>
              <w:ind w:right="4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80" w:type="dxa"/>
            <w:vAlign w:val="bottom"/>
          </w:tcPr>
          <w:p>
            <w:pPr>
              <w:spacing w:after="0"/>
              <w:rPr>
                <w:sz w:val="15"/>
                <w:szCs w:val="15"/>
                <w:color w:val="auto"/>
              </w:rPr>
            </w:pPr>
          </w:p>
        </w:tc>
        <w:tc>
          <w:tcPr>
            <w:tcW w:w="14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8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40" w:type="dxa"/>
            <w:vAlign w:val="bottom"/>
            <w:tcBorders>
              <w:top w:val="single" w:sz="8" w:color="CCEDFF"/>
            </w:tcBorders>
            <w:shd w:val="clear" w:color="auto" w:fill="CCEDFF"/>
          </w:tcPr>
          <w:p>
            <w:pPr>
              <w:spacing w:after="0"/>
              <w:rPr>
                <w:sz w:val="18"/>
                <w:szCs w:val="18"/>
                <w:color w:val="auto"/>
              </w:rPr>
            </w:pPr>
          </w:p>
        </w:tc>
        <w:tc>
          <w:tcPr>
            <w:tcW w:w="200" w:type="dxa"/>
            <w:vAlign w:val="bottom"/>
            <w:tcBorders>
              <w:top w:val="single" w:sz="8" w:color="auto"/>
            </w:tcBorders>
            <w:shd w:val="clear" w:color="auto" w:fill="CCEDFF"/>
          </w:tcPr>
          <w:p>
            <w:pPr>
              <w:spacing w:after="0"/>
              <w:rPr>
                <w:sz w:val="18"/>
                <w:szCs w:val="18"/>
                <w:color w:val="auto"/>
              </w:rPr>
            </w:pPr>
          </w:p>
        </w:tc>
        <w:tc>
          <w:tcPr>
            <w:tcW w:w="154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300" w:type="dxa"/>
            <w:vAlign w:val="bottom"/>
            <w:tcBorders>
              <w:top w:val="single" w:sz="8" w:color="auto"/>
            </w:tcBorders>
            <w:shd w:val="clear" w:color="auto" w:fill="CCEDFF"/>
          </w:tcPr>
          <w:p>
            <w:pPr>
              <w:spacing w:after="0"/>
              <w:rPr>
                <w:sz w:val="18"/>
                <w:szCs w:val="18"/>
                <w:color w:val="auto"/>
              </w:rPr>
            </w:pPr>
          </w:p>
        </w:tc>
        <w:tc>
          <w:tcPr>
            <w:tcW w:w="144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80" w:type="dxa"/>
            <w:vAlign w:val="bottom"/>
            <w:tcBorders>
              <w:top w:val="single" w:sz="8" w:color="auto"/>
            </w:tcBorders>
            <w:shd w:val="clear" w:color="auto" w:fill="CCEDFF"/>
          </w:tcPr>
          <w:p>
            <w:pPr>
              <w:spacing w:after="0"/>
              <w:rPr>
                <w:sz w:val="18"/>
                <w:szCs w:val="18"/>
                <w:color w:val="auto"/>
              </w:rPr>
            </w:pPr>
          </w:p>
        </w:tc>
        <w:tc>
          <w:tcPr>
            <w:tcW w:w="1460" w:type="dxa"/>
            <w:vAlign w:val="bottom"/>
            <w:tcBorders>
              <w:top w:val="single" w:sz="8" w:color="auto"/>
            </w:tcBorders>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20,563</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16,879</w:t>
            </w:r>
          </w:p>
        </w:tc>
        <w:tc>
          <w:tcPr>
            <w:tcW w:w="0" w:type="dxa"/>
            <w:vAlign w:val="bottom"/>
          </w:tcPr>
          <w:p>
            <w:pPr>
              <w:spacing w:after="0"/>
              <w:rPr>
                <w:sz w:val="1"/>
                <w:szCs w:val="1"/>
                <w:color w:val="auto"/>
              </w:rPr>
            </w:pPr>
          </w:p>
        </w:tc>
      </w:tr>
      <w:tr>
        <w:trPr>
          <w:trHeight w:val="230"/>
        </w:trPr>
        <w:tc>
          <w:tcPr>
            <w:tcW w:w="47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04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revenue</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26,476</w:t>
            </w:r>
          </w:p>
        </w:tc>
        <w:tc>
          <w:tcPr>
            <w:tcW w:w="0" w:type="dxa"/>
            <w:vAlign w:val="bottom"/>
          </w:tcPr>
          <w:p>
            <w:pPr>
              <w:spacing w:after="0"/>
              <w:rPr>
                <w:sz w:val="1"/>
                <w:szCs w:val="1"/>
                <w:color w:val="auto"/>
              </w:rPr>
            </w:pPr>
          </w:p>
        </w:tc>
      </w:tr>
      <w:tr>
        <w:trPr>
          <w:trHeight w:val="230"/>
        </w:trPr>
        <w:tc>
          <w:tcPr>
            <w:tcW w:w="47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w:t>
            </w:r>
          </w:p>
        </w:tc>
        <w:tc>
          <w:tcPr>
            <w:tcW w:w="104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68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tcBorders>
              <w:bottom w:val="single" w:sz="8" w:color="CCED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20,942</w:t>
            </w:r>
          </w:p>
        </w:tc>
        <w:tc>
          <w:tcPr>
            <w:tcW w:w="140" w:type="dxa"/>
            <w:vAlign w:val="bottom"/>
            <w:tcBorders>
              <w:bottom w:val="single" w:sz="8" w:color="CCED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30,177</w:t>
            </w:r>
          </w:p>
        </w:tc>
        <w:tc>
          <w:tcPr>
            <w:tcW w:w="140" w:type="dxa"/>
            <w:vAlign w:val="bottom"/>
            <w:tcBorders>
              <w:bottom w:val="single" w:sz="8" w:color="CCED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51,119</w:t>
            </w:r>
          </w:p>
        </w:tc>
        <w:tc>
          <w:tcPr>
            <w:tcW w:w="0" w:type="dxa"/>
            <w:vAlign w:val="bottom"/>
          </w:tcPr>
          <w:p>
            <w:pPr>
              <w:spacing w:after="0"/>
              <w:rPr>
                <w:sz w:val="1"/>
                <w:szCs w:val="1"/>
                <w:color w:val="auto"/>
              </w:rPr>
            </w:pPr>
          </w:p>
        </w:tc>
      </w:tr>
      <w:tr>
        <w:trPr>
          <w:trHeight w:val="250"/>
        </w:trPr>
        <w:tc>
          <w:tcPr>
            <w:tcW w:w="4700" w:type="dxa"/>
            <w:vAlign w:val="bottom"/>
            <w:shd w:val="clear" w:color="auto" w:fill="CCEDFF"/>
          </w:tcPr>
          <w:p>
            <w:pPr>
              <w:spacing w:after="0"/>
              <w:rPr>
                <w:sz w:val="21"/>
                <w:szCs w:val="21"/>
                <w:color w:val="auto"/>
              </w:rPr>
            </w:pPr>
          </w:p>
        </w:tc>
        <w:tc>
          <w:tcPr>
            <w:tcW w:w="1040" w:type="dxa"/>
            <w:vAlign w:val="bottom"/>
            <w:shd w:val="clear" w:color="auto" w:fill="CCEDFF"/>
          </w:tcPr>
          <w:p>
            <w:pPr>
              <w:spacing w:after="0"/>
              <w:rPr>
                <w:sz w:val="21"/>
                <w:szCs w:val="21"/>
                <w:color w:val="auto"/>
              </w:rPr>
            </w:pPr>
          </w:p>
        </w:tc>
        <w:tc>
          <w:tcPr>
            <w:tcW w:w="200" w:type="dxa"/>
            <w:vAlign w:val="bottom"/>
            <w:shd w:val="clear" w:color="auto" w:fill="CCEDFF"/>
          </w:tcPr>
          <w:p>
            <w:pPr>
              <w:spacing w:after="0"/>
              <w:rPr>
                <w:sz w:val="21"/>
                <w:szCs w:val="21"/>
                <w:color w:val="auto"/>
              </w:rPr>
            </w:pPr>
          </w:p>
        </w:tc>
        <w:tc>
          <w:tcPr>
            <w:tcW w:w="154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300" w:type="dxa"/>
            <w:vAlign w:val="bottom"/>
            <w:shd w:val="clear" w:color="auto" w:fill="CCEDFF"/>
          </w:tcPr>
          <w:p>
            <w:pPr>
              <w:spacing w:after="0"/>
              <w:rPr>
                <w:sz w:val="21"/>
                <w:szCs w:val="21"/>
                <w:color w:val="auto"/>
              </w:rPr>
            </w:pPr>
          </w:p>
        </w:tc>
        <w:tc>
          <w:tcPr>
            <w:tcW w:w="144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280" w:type="dxa"/>
            <w:vAlign w:val="bottom"/>
            <w:shd w:val="clear" w:color="auto" w:fill="CCEDFF"/>
          </w:tcPr>
          <w:p>
            <w:pPr>
              <w:spacing w:after="0"/>
              <w:rPr>
                <w:sz w:val="21"/>
                <w:szCs w:val="21"/>
                <w:color w:val="auto"/>
              </w:rPr>
            </w:pPr>
          </w:p>
        </w:tc>
        <w:tc>
          <w:tcPr>
            <w:tcW w:w="146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104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Payroll and payroll related costs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17,767</w:t>
            </w:r>
          </w:p>
        </w:tc>
        <w:tc>
          <w:tcPr>
            <w:tcW w:w="0" w:type="dxa"/>
            <w:vAlign w:val="bottom"/>
          </w:tcPr>
          <w:p>
            <w:pPr>
              <w:spacing w:after="0"/>
              <w:rPr>
                <w:sz w:val="1"/>
                <w:szCs w:val="1"/>
                <w:color w:val="auto"/>
              </w:rPr>
            </w:pPr>
          </w:p>
        </w:tc>
      </w:tr>
      <w:tr>
        <w:trPr>
          <w:trHeight w:val="230"/>
        </w:trPr>
        <w:tc>
          <w:tcPr>
            <w:tcW w:w="47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30"/>
        </w:trPr>
        <w:tc>
          <w:tcPr>
            <w:tcW w:w="47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26,503</w:t>
            </w:r>
          </w:p>
        </w:tc>
        <w:tc>
          <w:tcPr>
            <w:tcW w:w="0" w:type="dxa"/>
            <w:vAlign w:val="bottom"/>
          </w:tcPr>
          <w:p>
            <w:pPr>
              <w:spacing w:after="0"/>
              <w:rPr>
                <w:sz w:val="1"/>
                <w:szCs w:val="1"/>
                <w:color w:val="auto"/>
              </w:rPr>
            </w:pPr>
          </w:p>
        </w:tc>
      </w:tr>
      <w:tr>
        <w:trPr>
          <w:trHeight w:val="229"/>
        </w:trPr>
        <w:tc>
          <w:tcPr>
            <w:tcW w:w="47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104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68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1040" w:type="dxa"/>
            <w:vAlign w:val="bottom"/>
            <w:tcBorders>
              <w:bottom w:val="single" w:sz="8" w:color="CCED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33,070</w:t>
            </w:r>
          </w:p>
        </w:tc>
        <w:tc>
          <w:tcPr>
            <w:tcW w:w="140" w:type="dxa"/>
            <w:vAlign w:val="bottom"/>
            <w:tcBorders>
              <w:bottom w:val="single" w:sz="8" w:color="CCED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31,362</w:t>
            </w:r>
          </w:p>
        </w:tc>
        <w:tc>
          <w:tcPr>
            <w:tcW w:w="140" w:type="dxa"/>
            <w:vAlign w:val="bottom"/>
            <w:tcBorders>
              <w:bottom w:val="single" w:sz="8" w:color="CCED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64,432</w:t>
            </w:r>
          </w:p>
        </w:tc>
        <w:tc>
          <w:tcPr>
            <w:tcW w:w="0" w:type="dxa"/>
            <w:vAlign w:val="bottom"/>
          </w:tcPr>
          <w:p>
            <w:pPr>
              <w:spacing w:after="0"/>
              <w:rPr>
                <w:sz w:val="1"/>
                <w:szCs w:val="1"/>
                <w:color w:val="auto"/>
              </w:rPr>
            </w:pPr>
          </w:p>
        </w:tc>
      </w:tr>
      <w:tr>
        <w:trPr>
          <w:trHeight w:val="250"/>
        </w:trPr>
        <w:tc>
          <w:tcPr>
            <w:tcW w:w="4700" w:type="dxa"/>
            <w:vAlign w:val="bottom"/>
            <w:shd w:val="clear" w:color="auto" w:fill="CCEDFF"/>
          </w:tcPr>
          <w:p>
            <w:pPr>
              <w:spacing w:after="0"/>
              <w:rPr>
                <w:sz w:val="21"/>
                <w:szCs w:val="21"/>
                <w:color w:val="auto"/>
              </w:rPr>
            </w:pPr>
          </w:p>
        </w:tc>
        <w:tc>
          <w:tcPr>
            <w:tcW w:w="1040" w:type="dxa"/>
            <w:vAlign w:val="bottom"/>
            <w:shd w:val="clear" w:color="auto" w:fill="CCEDFF"/>
          </w:tcPr>
          <w:p>
            <w:pPr>
              <w:spacing w:after="0"/>
              <w:rPr>
                <w:sz w:val="21"/>
                <w:szCs w:val="21"/>
                <w:color w:val="auto"/>
              </w:rPr>
            </w:pPr>
          </w:p>
        </w:tc>
        <w:tc>
          <w:tcPr>
            <w:tcW w:w="200" w:type="dxa"/>
            <w:vAlign w:val="bottom"/>
            <w:shd w:val="clear" w:color="auto" w:fill="CCEDFF"/>
          </w:tcPr>
          <w:p>
            <w:pPr>
              <w:spacing w:after="0"/>
              <w:rPr>
                <w:sz w:val="21"/>
                <w:szCs w:val="21"/>
                <w:color w:val="auto"/>
              </w:rPr>
            </w:pPr>
          </w:p>
        </w:tc>
        <w:tc>
          <w:tcPr>
            <w:tcW w:w="154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300" w:type="dxa"/>
            <w:vAlign w:val="bottom"/>
            <w:shd w:val="clear" w:color="auto" w:fill="CCEDFF"/>
          </w:tcPr>
          <w:p>
            <w:pPr>
              <w:spacing w:after="0"/>
              <w:rPr>
                <w:sz w:val="21"/>
                <w:szCs w:val="21"/>
                <w:color w:val="auto"/>
              </w:rPr>
            </w:pPr>
          </w:p>
        </w:tc>
        <w:tc>
          <w:tcPr>
            <w:tcW w:w="144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280" w:type="dxa"/>
            <w:vAlign w:val="bottom"/>
            <w:shd w:val="clear" w:color="auto" w:fill="CCEDFF"/>
          </w:tcPr>
          <w:p>
            <w:pPr>
              <w:spacing w:after="0"/>
              <w:rPr>
                <w:sz w:val="21"/>
                <w:szCs w:val="21"/>
                <w:color w:val="auto"/>
              </w:rPr>
            </w:pPr>
          </w:p>
        </w:tc>
        <w:tc>
          <w:tcPr>
            <w:tcW w:w="146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(loss), net</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0" w:type="dxa"/>
            <w:vAlign w:val="bottom"/>
          </w:tcPr>
          <w:p>
            <w:pPr>
              <w:spacing w:after="0"/>
              <w:rPr>
                <w:sz w:val="1"/>
                <w:szCs w:val="1"/>
                <w:color w:val="auto"/>
              </w:rPr>
            </w:pPr>
          </w:p>
        </w:tc>
      </w:tr>
      <w:tr>
        <w:trPr>
          <w:trHeight w:val="230"/>
        </w:trPr>
        <w:tc>
          <w:tcPr>
            <w:tcW w:w="47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040" w:type="dxa"/>
            <w:vAlign w:val="bottom"/>
            <w:tcBorders>
              <w:top w:val="single" w:sz="8" w:color="CCEDFF"/>
            </w:tcBorders>
            <w:shd w:val="clear" w:color="auto" w:fill="CCEDFF"/>
          </w:tcPr>
          <w:p>
            <w:pPr>
              <w:spacing w:after="0"/>
              <w:rPr>
                <w:sz w:val="19"/>
                <w:szCs w:val="19"/>
                <w:color w:val="auto"/>
              </w:rPr>
            </w:pPr>
          </w:p>
        </w:tc>
        <w:tc>
          <w:tcPr>
            <w:tcW w:w="200" w:type="dxa"/>
            <w:vAlign w:val="bottom"/>
            <w:tcBorders>
              <w:top w:val="single" w:sz="8" w:color="auto"/>
            </w:tcBorders>
            <w:shd w:val="clear" w:color="auto" w:fill="CCEDFF"/>
          </w:tcPr>
          <w:p>
            <w:pPr>
              <w:spacing w:after="0"/>
              <w:rPr>
                <w:sz w:val="19"/>
                <w:szCs w:val="19"/>
                <w:color w:val="auto"/>
              </w:rPr>
            </w:pPr>
          </w:p>
        </w:tc>
        <w:tc>
          <w:tcPr>
            <w:tcW w:w="15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(19,647)</w:t>
            </w:r>
          </w:p>
        </w:tc>
        <w:tc>
          <w:tcPr>
            <w:tcW w:w="140" w:type="dxa"/>
            <w:vAlign w:val="bottom"/>
            <w:tcBorders>
              <w:top w:val="single" w:sz="8" w:color="CCEDFF"/>
            </w:tcBorders>
            <w:shd w:val="clear" w:color="auto" w:fill="CCEDFF"/>
          </w:tcPr>
          <w:p>
            <w:pPr>
              <w:spacing w:after="0"/>
              <w:rPr>
                <w:sz w:val="19"/>
                <w:szCs w:val="19"/>
                <w:color w:val="auto"/>
              </w:rPr>
            </w:pPr>
          </w:p>
        </w:tc>
        <w:tc>
          <w:tcPr>
            <w:tcW w:w="300" w:type="dxa"/>
            <w:vAlign w:val="bottom"/>
            <w:tcBorders>
              <w:top w:val="single" w:sz="8" w:color="auto"/>
            </w:tcBorders>
            <w:shd w:val="clear" w:color="auto" w:fill="CCEDFF"/>
          </w:tcPr>
          <w:p>
            <w:pPr>
              <w:spacing w:after="0"/>
              <w:rPr>
                <w:sz w:val="19"/>
                <w:szCs w:val="19"/>
                <w:color w:val="auto"/>
              </w:rPr>
            </w:pPr>
          </w:p>
        </w:tc>
        <w:tc>
          <w:tcPr>
            <w:tcW w:w="14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40" w:type="dxa"/>
            <w:vAlign w:val="bottom"/>
            <w:tcBorders>
              <w:top w:val="single" w:sz="8" w:color="CCEDFF"/>
            </w:tcBorders>
            <w:shd w:val="clear" w:color="auto" w:fill="CCEDFF"/>
          </w:tcPr>
          <w:p>
            <w:pPr>
              <w:spacing w:after="0"/>
              <w:rPr>
                <w:sz w:val="19"/>
                <w:szCs w:val="19"/>
                <w:color w:val="auto"/>
              </w:rPr>
            </w:pPr>
          </w:p>
        </w:tc>
        <w:tc>
          <w:tcPr>
            <w:tcW w:w="280" w:type="dxa"/>
            <w:vAlign w:val="bottom"/>
            <w:tcBorders>
              <w:top w:val="single" w:sz="8" w:color="auto"/>
            </w:tcBorders>
            <w:shd w:val="clear" w:color="auto" w:fill="CCEDFF"/>
          </w:tcPr>
          <w:p>
            <w:pPr>
              <w:spacing w:after="0"/>
              <w:rPr>
                <w:sz w:val="19"/>
                <w:szCs w:val="19"/>
                <w:color w:val="auto"/>
              </w:rPr>
            </w:pPr>
          </w:p>
        </w:tc>
        <w:tc>
          <w:tcPr>
            <w:tcW w:w="14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DFF"/>
            </w:tcBorders>
            <w:shd w:val="clear" w:color="auto" w:fill="CCEDFF"/>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40" w:type="dxa"/>
            <w:vAlign w:val="bottom"/>
            <w:tcBorders>
              <w:top w:val="single" w:sz="8" w:color="CCEDFF"/>
            </w:tcBorders>
            <w:shd w:val="clear" w:color="auto" w:fill="CCEDFF"/>
          </w:tcPr>
          <w:p>
            <w:pPr>
              <w:spacing w:after="0"/>
              <w:rPr>
                <w:sz w:val="19"/>
                <w:szCs w:val="19"/>
                <w:color w:val="auto"/>
              </w:rPr>
            </w:pPr>
          </w:p>
        </w:tc>
        <w:tc>
          <w:tcPr>
            <w:tcW w:w="200" w:type="dxa"/>
            <w:vAlign w:val="bottom"/>
            <w:tcBorders>
              <w:top w:val="single" w:sz="8" w:color="auto"/>
            </w:tcBorders>
            <w:shd w:val="clear" w:color="auto" w:fill="CCEDFF"/>
          </w:tcPr>
          <w:p>
            <w:pPr>
              <w:spacing w:after="0"/>
              <w:rPr>
                <w:sz w:val="19"/>
                <w:szCs w:val="19"/>
                <w:color w:val="auto"/>
              </w:rPr>
            </w:pPr>
          </w:p>
        </w:tc>
        <w:tc>
          <w:tcPr>
            <w:tcW w:w="15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(19,647)</w:t>
            </w:r>
          </w:p>
        </w:tc>
        <w:tc>
          <w:tcPr>
            <w:tcW w:w="140" w:type="dxa"/>
            <w:vAlign w:val="bottom"/>
            <w:tcBorders>
              <w:top w:val="single" w:sz="8" w:color="CCEDFF"/>
            </w:tcBorders>
            <w:shd w:val="clear" w:color="auto" w:fill="CCEDFF"/>
          </w:tcPr>
          <w:p>
            <w:pPr>
              <w:spacing w:after="0"/>
              <w:rPr>
                <w:sz w:val="19"/>
                <w:szCs w:val="19"/>
                <w:color w:val="auto"/>
              </w:rPr>
            </w:pPr>
          </w:p>
        </w:tc>
        <w:tc>
          <w:tcPr>
            <w:tcW w:w="300" w:type="dxa"/>
            <w:vAlign w:val="bottom"/>
            <w:tcBorders>
              <w:top w:val="single" w:sz="8" w:color="auto"/>
            </w:tcBorders>
            <w:shd w:val="clear" w:color="auto" w:fill="CCEDFF"/>
          </w:tcPr>
          <w:p>
            <w:pPr>
              <w:spacing w:after="0"/>
              <w:rPr>
                <w:sz w:val="19"/>
                <w:szCs w:val="19"/>
                <w:color w:val="auto"/>
              </w:rPr>
            </w:pPr>
          </w:p>
        </w:tc>
        <w:tc>
          <w:tcPr>
            <w:tcW w:w="14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40" w:type="dxa"/>
            <w:vAlign w:val="bottom"/>
            <w:tcBorders>
              <w:top w:val="single" w:sz="8" w:color="CCEDFF"/>
            </w:tcBorders>
            <w:shd w:val="clear" w:color="auto" w:fill="CCEDFF"/>
          </w:tcPr>
          <w:p>
            <w:pPr>
              <w:spacing w:after="0"/>
              <w:rPr>
                <w:sz w:val="19"/>
                <w:szCs w:val="19"/>
                <w:color w:val="auto"/>
              </w:rPr>
            </w:pPr>
          </w:p>
        </w:tc>
        <w:tc>
          <w:tcPr>
            <w:tcW w:w="280" w:type="dxa"/>
            <w:vAlign w:val="bottom"/>
            <w:tcBorders>
              <w:top w:val="single" w:sz="8" w:color="auto"/>
            </w:tcBorders>
            <w:shd w:val="clear" w:color="auto" w:fill="CCEDFF"/>
          </w:tcPr>
          <w:p>
            <w:pPr>
              <w:spacing w:after="0"/>
              <w:rPr>
                <w:sz w:val="19"/>
                <w:szCs w:val="19"/>
                <w:color w:val="auto"/>
              </w:rPr>
            </w:pPr>
          </w:p>
        </w:tc>
        <w:tc>
          <w:tcPr>
            <w:tcW w:w="14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0" w:type="dxa"/>
            <w:vAlign w:val="bottom"/>
          </w:tcPr>
          <w:p>
            <w:pPr>
              <w:spacing w:after="0"/>
              <w:rPr>
                <w:sz w:val="1"/>
                <w:szCs w:val="1"/>
                <w:color w:val="auto"/>
              </w:rPr>
            </w:pPr>
          </w:p>
        </w:tc>
      </w:tr>
      <w:tr>
        <w:trPr>
          <w:trHeight w:val="229"/>
        </w:trPr>
        <w:tc>
          <w:tcPr>
            <w:tcW w:w="4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DFF"/>
              <w:bottom w:val="single" w:sz="8" w:color="CCEDFF"/>
            </w:tcBorders>
            <w:shd w:val="clear" w:color="auto" w:fill="CCEDFF"/>
          </w:tcPr>
          <w:p>
            <w:pPr>
              <w:ind w:left="680"/>
              <w:spacing w:after="0"/>
              <w:rPr>
                <w:sz w:val="20"/>
                <w:szCs w:val="20"/>
                <w:color w:val="auto"/>
              </w:rPr>
            </w:pPr>
            <w:r>
              <w:rPr>
                <w:rFonts w:ascii="Times New Roman" w:cs="Times New Roman" w:eastAsia="Times New Roman" w:hAnsi="Times New Roman"/>
                <w:sz w:val="18"/>
                <w:szCs w:val="18"/>
                <w:b w:val="1"/>
                <w:bCs w:val="1"/>
                <w:color w:val="auto"/>
              </w:rPr>
              <w:t>Net loss attributable to CaliberCos Inc.</w:t>
            </w:r>
          </w:p>
        </w:tc>
        <w:tc>
          <w:tcPr>
            <w:tcW w:w="1040" w:type="dxa"/>
            <w:vAlign w:val="bottom"/>
            <w:tcBorders>
              <w:top w:val="single" w:sz="8" w:color="CCEDFF"/>
              <w:bottom w:val="single" w:sz="8" w:color="CCEDFF"/>
            </w:tcBorders>
            <w:shd w:val="clear" w:color="auto" w:fill="CCEDFF"/>
          </w:tcPr>
          <w:p>
            <w:pPr>
              <w:spacing w:after="0"/>
              <w:rPr>
                <w:sz w:val="21"/>
                <w:szCs w:val="21"/>
                <w:color w:val="auto"/>
              </w:rPr>
            </w:pPr>
          </w:p>
        </w:tc>
        <w:tc>
          <w:tcPr>
            <w:tcW w:w="20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(19,647)</w:t>
            </w:r>
          </w:p>
        </w:tc>
        <w:tc>
          <w:tcPr>
            <w:tcW w:w="140" w:type="dxa"/>
            <w:vAlign w:val="bottom"/>
            <w:tcBorders>
              <w:top w:val="single" w:sz="8" w:color="CCEDFF"/>
              <w:bottom w:val="single" w:sz="8" w:color="CCEDFF"/>
            </w:tcBorders>
            <w:shd w:val="clear" w:color="auto" w:fill="CCEDFF"/>
          </w:tcPr>
          <w:p>
            <w:pPr>
              <w:spacing w:after="0"/>
              <w:rPr>
                <w:sz w:val="21"/>
                <w:szCs w:val="21"/>
                <w:color w:val="auto"/>
              </w:rPr>
            </w:pPr>
          </w:p>
        </w:tc>
        <w:tc>
          <w:tcPr>
            <w:tcW w:w="300" w:type="dxa"/>
            <w:vAlign w:val="bottom"/>
            <w:tcBorders>
              <w:top w:val="single" w:sz="8" w:color="auto"/>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Borders>
              <w:top w:val="single" w:sz="8" w:color="CCEDFF"/>
              <w:bottom w:val="single" w:sz="8" w:color="CCEDFF"/>
            </w:tcBorders>
            <w:shd w:val="clear" w:color="auto" w:fill="CCEDFF"/>
          </w:tcPr>
          <w:p>
            <w:pPr>
              <w:spacing w:after="0"/>
              <w:rPr>
                <w:sz w:val="21"/>
                <w:szCs w:val="21"/>
                <w:color w:val="auto"/>
              </w:rPr>
            </w:pPr>
          </w:p>
        </w:tc>
        <w:tc>
          <w:tcPr>
            <w:tcW w:w="280" w:type="dxa"/>
            <w:vAlign w:val="bottom"/>
            <w:tcBorders>
              <w:top w:val="single" w:sz="8" w:color="auto"/>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(19,777)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DFF"/>
            </w:tcBorders>
          </w:tcPr>
          <w:p>
            <w:pPr>
              <w:spacing w:after="0" w:line="20" w:lineRule="exact"/>
              <w:rPr>
                <w:sz w:val="1"/>
                <w:szCs w:val="1"/>
                <w:color w:val="auto"/>
              </w:rPr>
            </w:pPr>
          </w:p>
        </w:tc>
        <w:tc>
          <w:tcPr>
            <w:tcW w:w="1040" w:type="dxa"/>
            <w:vAlign w:val="bottom"/>
            <w:tcBorders>
              <w:top w:val="single" w:sz="8" w:color="CCEDFF"/>
            </w:tcBorders>
          </w:tcPr>
          <w:p>
            <w:pPr>
              <w:spacing w:after="0" w:line="20" w:lineRule="exact"/>
              <w:rPr>
                <w:sz w:val="1"/>
                <w:szCs w:val="1"/>
                <w:color w:val="auto"/>
              </w:rPr>
            </w:pPr>
          </w:p>
        </w:tc>
        <w:tc>
          <w:tcPr>
            <w:tcW w:w="200" w:type="dxa"/>
            <w:vAlign w:val="bottom"/>
            <w:tcBorders>
              <w:top w:val="single" w:sz="8" w:color="CCEDFF"/>
              <w:bottom w:val="single" w:sz="8" w:color="auto"/>
            </w:tcBorders>
          </w:tcPr>
          <w:p>
            <w:pPr>
              <w:spacing w:after="0" w:line="20" w:lineRule="exact"/>
              <w:rPr>
                <w:sz w:val="1"/>
                <w:szCs w:val="1"/>
                <w:color w:val="auto"/>
              </w:rPr>
            </w:pPr>
          </w:p>
        </w:tc>
        <w:tc>
          <w:tcPr>
            <w:tcW w:w="154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44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280" w:type="dxa"/>
            <w:vAlign w:val="bottom"/>
            <w:tcBorders>
              <w:top w:val="single" w:sz="8" w:color="CCEDFF"/>
              <w:bottom w:val="single" w:sz="8" w:color="auto"/>
            </w:tcBorders>
          </w:tcPr>
          <w:p>
            <w:pPr>
              <w:spacing w:after="0" w:line="20" w:lineRule="exact"/>
              <w:rPr>
                <w:sz w:val="1"/>
                <w:szCs w:val="1"/>
                <w:color w:val="auto"/>
              </w:rPr>
            </w:pPr>
          </w:p>
        </w:tc>
        <w:tc>
          <w:tcPr>
            <w:tcW w:w="146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700" w:type="dxa"/>
            <w:vAlign w:val="bottom"/>
          </w:tcPr>
          <w:p>
            <w:pPr>
              <w:spacing w:after="0"/>
              <w:rPr>
                <w:sz w:val="24"/>
                <w:szCs w:val="24"/>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F-46</w:t>
            </w: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300" w:type="dxa"/>
            <w:vAlign w:val="bottom"/>
          </w:tcPr>
          <w:p>
            <w:pPr>
              <w:spacing w:after="0"/>
              <w:rPr>
                <w:sz w:val="15"/>
                <w:szCs w:val="15"/>
                <w:color w:val="auto"/>
              </w:rPr>
            </w:pPr>
          </w:p>
        </w:tc>
        <w:tc>
          <w:tcPr>
            <w:tcW w:w="1580" w:type="dxa"/>
            <w:vAlign w:val="bottom"/>
            <w:gridSpan w:val="2"/>
          </w:tcPr>
          <w:p>
            <w:pPr>
              <w:jc w:val="center"/>
              <w:ind w:right="4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80" w:type="dxa"/>
            <w:vAlign w:val="bottom"/>
          </w:tcPr>
          <w:p>
            <w:pPr>
              <w:spacing w:after="0"/>
              <w:rPr>
                <w:sz w:val="15"/>
                <w:szCs w:val="15"/>
                <w:color w:val="auto"/>
              </w:rPr>
            </w:pPr>
          </w:p>
        </w:tc>
        <w:tc>
          <w:tcPr>
            <w:tcW w:w="14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4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8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4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20" w:type="dxa"/>
            <w:vAlign w:val="bottom"/>
            <w:tcBorders>
              <w:top w:val="single" w:sz="8" w:color="CCEDFF"/>
            </w:tcBorders>
            <w:shd w:val="clear" w:color="auto" w:fill="CCEDFF"/>
          </w:tcPr>
          <w:p>
            <w:pPr>
              <w:spacing w:after="0"/>
              <w:rPr>
                <w:sz w:val="18"/>
                <w:szCs w:val="18"/>
                <w:color w:val="auto"/>
              </w:rPr>
            </w:pPr>
          </w:p>
        </w:tc>
        <w:tc>
          <w:tcPr>
            <w:tcW w:w="320" w:type="dxa"/>
            <w:vAlign w:val="bottom"/>
            <w:tcBorders>
              <w:top w:val="single" w:sz="8" w:color="auto"/>
            </w:tcBorders>
            <w:shd w:val="clear" w:color="auto" w:fill="CCEDFF"/>
          </w:tcPr>
          <w:p>
            <w:pPr>
              <w:spacing w:after="0"/>
              <w:rPr>
                <w:sz w:val="18"/>
                <w:szCs w:val="18"/>
                <w:color w:val="auto"/>
              </w:rPr>
            </w:pPr>
          </w:p>
        </w:tc>
        <w:tc>
          <w:tcPr>
            <w:tcW w:w="140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300" w:type="dxa"/>
            <w:vAlign w:val="bottom"/>
            <w:tcBorders>
              <w:top w:val="single" w:sz="8" w:color="auto"/>
            </w:tcBorders>
            <w:shd w:val="clear" w:color="auto" w:fill="CCEDFF"/>
          </w:tcPr>
          <w:p>
            <w:pPr>
              <w:spacing w:after="0"/>
              <w:rPr>
                <w:sz w:val="18"/>
                <w:szCs w:val="18"/>
                <w:color w:val="auto"/>
              </w:rPr>
            </w:pPr>
          </w:p>
        </w:tc>
        <w:tc>
          <w:tcPr>
            <w:tcW w:w="144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80" w:type="dxa"/>
            <w:vAlign w:val="bottom"/>
            <w:tcBorders>
              <w:top w:val="single" w:sz="8" w:color="auto"/>
            </w:tcBorders>
            <w:shd w:val="clear" w:color="auto" w:fill="CCEDFF"/>
          </w:tcPr>
          <w:p>
            <w:pPr>
              <w:spacing w:after="0"/>
              <w:rPr>
                <w:sz w:val="18"/>
                <w:szCs w:val="18"/>
                <w:color w:val="auto"/>
              </w:rPr>
            </w:pPr>
          </w:p>
        </w:tc>
        <w:tc>
          <w:tcPr>
            <w:tcW w:w="1460" w:type="dxa"/>
            <w:vAlign w:val="bottom"/>
            <w:tcBorders>
              <w:top w:val="single" w:sz="8" w:color="auto"/>
            </w:tcBorders>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w:t>
            </w: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0" w:type="dxa"/>
            <w:vAlign w:val="bottom"/>
          </w:tcPr>
          <w:p>
            <w:pPr>
              <w:spacing w:after="0"/>
              <w:rPr>
                <w:sz w:val="1"/>
                <w:szCs w:val="1"/>
                <w:color w:val="auto"/>
              </w:rPr>
            </w:pPr>
          </w:p>
        </w:tc>
      </w:tr>
      <w:tr>
        <w:trPr>
          <w:trHeight w:val="229"/>
        </w:trPr>
        <w:tc>
          <w:tcPr>
            <w:tcW w:w="49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8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revenue</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68,905</w:t>
            </w:r>
          </w:p>
        </w:tc>
        <w:tc>
          <w:tcPr>
            <w:tcW w:w="0" w:type="dxa"/>
            <w:vAlign w:val="bottom"/>
          </w:tcPr>
          <w:p>
            <w:pPr>
              <w:spacing w:after="0"/>
              <w:rPr>
                <w:sz w:val="1"/>
                <w:szCs w:val="1"/>
                <w:color w:val="auto"/>
              </w:rPr>
            </w:pPr>
          </w:p>
        </w:tc>
      </w:tr>
      <w:tr>
        <w:trPr>
          <w:trHeight w:val="230"/>
        </w:trPr>
        <w:tc>
          <w:tcPr>
            <w:tcW w:w="49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w:t>
            </w:r>
          </w:p>
        </w:tc>
        <w:tc>
          <w:tcPr>
            <w:tcW w:w="8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54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820" w:type="dxa"/>
            <w:vAlign w:val="bottom"/>
            <w:tcBorders>
              <w:bottom w:val="single" w:sz="8" w:color="CCED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20,638</w:t>
            </w:r>
          </w:p>
        </w:tc>
        <w:tc>
          <w:tcPr>
            <w:tcW w:w="140" w:type="dxa"/>
            <w:vAlign w:val="bottom"/>
            <w:tcBorders>
              <w:bottom w:val="single" w:sz="8" w:color="CCED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70,299</w:t>
            </w:r>
          </w:p>
        </w:tc>
        <w:tc>
          <w:tcPr>
            <w:tcW w:w="140" w:type="dxa"/>
            <w:vAlign w:val="bottom"/>
            <w:tcBorders>
              <w:bottom w:val="single" w:sz="8" w:color="CCED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90,937</w:t>
            </w:r>
          </w:p>
        </w:tc>
        <w:tc>
          <w:tcPr>
            <w:tcW w:w="0" w:type="dxa"/>
            <w:vAlign w:val="bottom"/>
          </w:tcPr>
          <w:p>
            <w:pPr>
              <w:spacing w:after="0"/>
              <w:rPr>
                <w:sz w:val="1"/>
                <w:szCs w:val="1"/>
                <w:color w:val="auto"/>
              </w:rPr>
            </w:pPr>
          </w:p>
        </w:tc>
      </w:tr>
      <w:tr>
        <w:trPr>
          <w:trHeight w:val="250"/>
        </w:trPr>
        <w:tc>
          <w:tcPr>
            <w:tcW w:w="4940" w:type="dxa"/>
            <w:vAlign w:val="bottom"/>
            <w:shd w:val="clear" w:color="auto" w:fill="CCEDFF"/>
          </w:tcPr>
          <w:p>
            <w:pPr>
              <w:spacing w:after="0"/>
              <w:rPr>
                <w:sz w:val="21"/>
                <w:szCs w:val="21"/>
                <w:color w:val="auto"/>
              </w:rPr>
            </w:pPr>
          </w:p>
        </w:tc>
        <w:tc>
          <w:tcPr>
            <w:tcW w:w="820" w:type="dxa"/>
            <w:vAlign w:val="bottom"/>
            <w:shd w:val="clear" w:color="auto" w:fill="CCEDFF"/>
          </w:tcPr>
          <w:p>
            <w:pPr>
              <w:spacing w:after="0"/>
              <w:rPr>
                <w:sz w:val="21"/>
                <w:szCs w:val="21"/>
                <w:color w:val="auto"/>
              </w:rPr>
            </w:pPr>
          </w:p>
        </w:tc>
        <w:tc>
          <w:tcPr>
            <w:tcW w:w="320" w:type="dxa"/>
            <w:vAlign w:val="bottom"/>
            <w:shd w:val="clear" w:color="auto" w:fill="CCEDFF"/>
          </w:tcPr>
          <w:p>
            <w:pPr>
              <w:spacing w:after="0"/>
              <w:rPr>
                <w:sz w:val="21"/>
                <w:szCs w:val="21"/>
                <w:color w:val="auto"/>
              </w:rPr>
            </w:pPr>
          </w:p>
        </w:tc>
        <w:tc>
          <w:tcPr>
            <w:tcW w:w="140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300" w:type="dxa"/>
            <w:vAlign w:val="bottom"/>
            <w:shd w:val="clear" w:color="auto" w:fill="CCEDFF"/>
          </w:tcPr>
          <w:p>
            <w:pPr>
              <w:spacing w:after="0"/>
              <w:rPr>
                <w:sz w:val="21"/>
                <w:szCs w:val="21"/>
                <w:color w:val="auto"/>
              </w:rPr>
            </w:pPr>
          </w:p>
        </w:tc>
        <w:tc>
          <w:tcPr>
            <w:tcW w:w="144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280" w:type="dxa"/>
            <w:vAlign w:val="bottom"/>
            <w:shd w:val="clear" w:color="auto" w:fill="CCEDFF"/>
          </w:tcPr>
          <w:p>
            <w:pPr>
              <w:spacing w:after="0"/>
              <w:rPr>
                <w:sz w:val="21"/>
                <w:szCs w:val="21"/>
                <w:color w:val="auto"/>
              </w:rPr>
            </w:pPr>
          </w:p>
        </w:tc>
        <w:tc>
          <w:tcPr>
            <w:tcW w:w="146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8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Payroll and payroll related costs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19,421</w:t>
            </w:r>
          </w:p>
        </w:tc>
        <w:tc>
          <w:tcPr>
            <w:tcW w:w="0" w:type="dxa"/>
            <w:vAlign w:val="bottom"/>
          </w:tcPr>
          <w:p>
            <w:pPr>
              <w:spacing w:after="0"/>
              <w:rPr>
                <w:sz w:val="1"/>
                <w:szCs w:val="1"/>
                <w:color w:val="auto"/>
              </w:rPr>
            </w:pPr>
          </w:p>
        </w:tc>
      </w:tr>
      <w:tr>
        <w:trPr>
          <w:trHeight w:val="230"/>
        </w:trPr>
        <w:tc>
          <w:tcPr>
            <w:tcW w:w="49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30"/>
        </w:trPr>
        <w:tc>
          <w:tcPr>
            <w:tcW w:w="49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80,669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80,669</w:t>
            </w:r>
          </w:p>
        </w:tc>
        <w:tc>
          <w:tcPr>
            <w:tcW w:w="0" w:type="dxa"/>
            <w:vAlign w:val="bottom"/>
          </w:tcPr>
          <w:p>
            <w:pPr>
              <w:spacing w:after="0"/>
              <w:rPr>
                <w:sz w:val="1"/>
                <w:szCs w:val="1"/>
                <w:color w:val="auto"/>
              </w:rPr>
            </w:pPr>
          </w:p>
        </w:tc>
      </w:tr>
      <w:tr>
        <w:trPr>
          <w:trHeight w:val="229"/>
        </w:trPr>
        <w:tc>
          <w:tcPr>
            <w:tcW w:w="49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8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54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820" w:type="dxa"/>
            <w:vAlign w:val="bottom"/>
            <w:tcBorders>
              <w:bottom w:val="single" w:sz="8" w:color="CCED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30,219</w:t>
            </w:r>
          </w:p>
        </w:tc>
        <w:tc>
          <w:tcPr>
            <w:tcW w:w="140" w:type="dxa"/>
            <w:vAlign w:val="bottom"/>
            <w:tcBorders>
              <w:bottom w:val="single" w:sz="8" w:color="CCED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89,295</w:t>
            </w:r>
          </w:p>
        </w:tc>
        <w:tc>
          <w:tcPr>
            <w:tcW w:w="140" w:type="dxa"/>
            <w:vAlign w:val="bottom"/>
            <w:tcBorders>
              <w:bottom w:val="single" w:sz="8" w:color="CCED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119,514</w:t>
            </w:r>
          </w:p>
        </w:tc>
        <w:tc>
          <w:tcPr>
            <w:tcW w:w="0" w:type="dxa"/>
            <w:vAlign w:val="bottom"/>
          </w:tcPr>
          <w:p>
            <w:pPr>
              <w:spacing w:after="0"/>
              <w:rPr>
                <w:sz w:val="1"/>
                <w:szCs w:val="1"/>
                <w:color w:val="auto"/>
              </w:rPr>
            </w:pPr>
          </w:p>
        </w:tc>
      </w:tr>
      <w:tr>
        <w:trPr>
          <w:trHeight w:val="250"/>
        </w:trPr>
        <w:tc>
          <w:tcPr>
            <w:tcW w:w="4940" w:type="dxa"/>
            <w:vAlign w:val="bottom"/>
            <w:shd w:val="clear" w:color="auto" w:fill="CCEDFF"/>
          </w:tcPr>
          <w:p>
            <w:pPr>
              <w:spacing w:after="0"/>
              <w:rPr>
                <w:sz w:val="21"/>
                <w:szCs w:val="21"/>
                <w:color w:val="auto"/>
              </w:rPr>
            </w:pPr>
          </w:p>
        </w:tc>
        <w:tc>
          <w:tcPr>
            <w:tcW w:w="820" w:type="dxa"/>
            <w:vAlign w:val="bottom"/>
            <w:shd w:val="clear" w:color="auto" w:fill="CCEDFF"/>
          </w:tcPr>
          <w:p>
            <w:pPr>
              <w:spacing w:after="0"/>
              <w:rPr>
                <w:sz w:val="21"/>
                <w:szCs w:val="21"/>
                <w:color w:val="auto"/>
              </w:rPr>
            </w:pPr>
          </w:p>
        </w:tc>
        <w:tc>
          <w:tcPr>
            <w:tcW w:w="320" w:type="dxa"/>
            <w:vAlign w:val="bottom"/>
            <w:shd w:val="clear" w:color="auto" w:fill="CCEDFF"/>
          </w:tcPr>
          <w:p>
            <w:pPr>
              <w:spacing w:after="0"/>
              <w:rPr>
                <w:sz w:val="21"/>
                <w:szCs w:val="21"/>
                <w:color w:val="auto"/>
              </w:rPr>
            </w:pPr>
          </w:p>
        </w:tc>
        <w:tc>
          <w:tcPr>
            <w:tcW w:w="140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300" w:type="dxa"/>
            <w:vAlign w:val="bottom"/>
            <w:shd w:val="clear" w:color="auto" w:fill="CCEDFF"/>
          </w:tcPr>
          <w:p>
            <w:pPr>
              <w:spacing w:after="0"/>
              <w:rPr>
                <w:sz w:val="21"/>
                <w:szCs w:val="21"/>
                <w:color w:val="auto"/>
              </w:rPr>
            </w:pPr>
          </w:p>
        </w:tc>
        <w:tc>
          <w:tcPr>
            <w:tcW w:w="144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280" w:type="dxa"/>
            <w:vAlign w:val="bottom"/>
            <w:shd w:val="clear" w:color="auto" w:fill="CCEDFF"/>
          </w:tcPr>
          <w:p>
            <w:pPr>
              <w:spacing w:after="0"/>
              <w:rPr>
                <w:sz w:val="21"/>
                <w:szCs w:val="21"/>
                <w:color w:val="auto"/>
              </w:rPr>
            </w:pPr>
          </w:p>
        </w:tc>
        <w:tc>
          <w:tcPr>
            <w:tcW w:w="146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gain on sale of real estate investments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0" w:type="dxa"/>
            <w:vAlign w:val="bottom"/>
          </w:tcPr>
          <w:p>
            <w:pPr>
              <w:spacing w:after="0"/>
              <w:rPr>
                <w:sz w:val="1"/>
                <w:szCs w:val="1"/>
                <w:color w:val="auto"/>
              </w:rPr>
            </w:pPr>
          </w:p>
        </w:tc>
      </w:tr>
      <w:tr>
        <w:trPr>
          <w:trHeight w:val="270"/>
        </w:trPr>
        <w:tc>
          <w:tcPr>
            <w:tcW w:w="4940" w:type="dxa"/>
            <w:vAlign w:val="bottom"/>
            <w:shd w:val="clear" w:color="auto" w:fill="CCEDFF"/>
          </w:tcPr>
          <w:p>
            <w:pPr>
              <w:spacing w:after="0"/>
              <w:rPr>
                <w:sz w:val="23"/>
                <w:szCs w:val="23"/>
                <w:color w:val="auto"/>
              </w:rPr>
            </w:pPr>
          </w:p>
        </w:tc>
        <w:tc>
          <w:tcPr>
            <w:tcW w:w="820" w:type="dxa"/>
            <w:vAlign w:val="bottom"/>
            <w:shd w:val="clear" w:color="auto" w:fill="CCEDFF"/>
          </w:tcPr>
          <w:p>
            <w:pPr>
              <w:spacing w:after="0"/>
              <w:rPr>
                <w:sz w:val="23"/>
                <w:szCs w:val="23"/>
                <w:color w:val="auto"/>
              </w:rPr>
            </w:pPr>
          </w:p>
        </w:tc>
        <w:tc>
          <w:tcPr>
            <w:tcW w:w="320" w:type="dxa"/>
            <w:vAlign w:val="bottom"/>
            <w:shd w:val="clear" w:color="auto" w:fill="CCEDFF"/>
          </w:tcPr>
          <w:p>
            <w:pPr>
              <w:spacing w:after="0"/>
              <w:rPr>
                <w:sz w:val="23"/>
                <w:szCs w:val="23"/>
                <w:color w:val="auto"/>
              </w:rPr>
            </w:pPr>
          </w:p>
        </w:tc>
        <w:tc>
          <w:tcPr>
            <w:tcW w:w="1400" w:type="dxa"/>
            <w:vAlign w:val="bottom"/>
            <w:shd w:val="clear" w:color="auto" w:fill="CCEDFF"/>
          </w:tcPr>
          <w:p>
            <w:pPr>
              <w:spacing w:after="0"/>
              <w:rPr>
                <w:sz w:val="23"/>
                <w:szCs w:val="23"/>
                <w:color w:val="auto"/>
              </w:rPr>
            </w:pPr>
          </w:p>
        </w:tc>
        <w:tc>
          <w:tcPr>
            <w:tcW w:w="140" w:type="dxa"/>
            <w:vAlign w:val="bottom"/>
            <w:shd w:val="clear" w:color="auto" w:fill="CCEDFF"/>
          </w:tcPr>
          <w:p>
            <w:pPr>
              <w:spacing w:after="0"/>
              <w:rPr>
                <w:sz w:val="23"/>
                <w:szCs w:val="23"/>
                <w:color w:val="auto"/>
              </w:rPr>
            </w:pPr>
          </w:p>
        </w:tc>
        <w:tc>
          <w:tcPr>
            <w:tcW w:w="300" w:type="dxa"/>
            <w:vAlign w:val="bottom"/>
            <w:shd w:val="clear" w:color="auto" w:fill="CCEDFF"/>
          </w:tcPr>
          <w:p>
            <w:pPr>
              <w:spacing w:after="0"/>
              <w:rPr>
                <w:sz w:val="23"/>
                <w:szCs w:val="23"/>
                <w:color w:val="auto"/>
              </w:rPr>
            </w:pPr>
          </w:p>
        </w:tc>
        <w:tc>
          <w:tcPr>
            <w:tcW w:w="1440" w:type="dxa"/>
            <w:vAlign w:val="bottom"/>
            <w:shd w:val="clear" w:color="auto" w:fill="CCEDFF"/>
          </w:tcPr>
          <w:p>
            <w:pPr>
              <w:spacing w:after="0"/>
              <w:rPr>
                <w:sz w:val="23"/>
                <w:szCs w:val="23"/>
                <w:color w:val="auto"/>
              </w:rPr>
            </w:pPr>
          </w:p>
        </w:tc>
        <w:tc>
          <w:tcPr>
            <w:tcW w:w="140" w:type="dxa"/>
            <w:vAlign w:val="bottom"/>
            <w:shd w:val="clear" w:color="auto" w:fill="CCEDFF"/>
          </w:tcPr>
          <w:p>
            <w:pPr>
              <w:spacing w:after="0"/>
              <w:rPr>
                <w:sz w:val="23"/>
                <w:szCs w:val="23"/>
                <w:color w:val="auto"/>
              </w:rPr>
            </w:pPr>
          </w:p>
        </w:tc>
        <w:tc>
          <w:tcPr>
            <w:tcW w:w="280" w:type="dxa"/>
            <w:vAlign w:val="bottom"/>
            <w:shd w:val="clear" w:color="auto" w:fill="CCEDFF"/>
          </w:tcPr>
          <w:p>
            <w:pPr>
              <w:spacing w:after="0"/>
              <w:rPr>
                <w:sz w:val="23"/>
                <w:szCs w:val="23"/>
                <w:color w:val="auto"/>
              </w:rPr>
            </w:pPr>
          </w:p>
        </w:tc>
        <w:tc>
          <w:tcPr>
            <w:tcW w:w="1460" w:type="dxa"/>
            <w:vAlign w:val="bottom"/>
            <w:shd w:val="clear" w:color="auto" w:fill="CCED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0"/>
        </w:trPr>
        <w:tc>
          <w:tcPr>
            <w:tcW w:w="49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D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Borders>
              <w:bottom w:val="single" w:sz="8" w:color="CCED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4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D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0" w:type="dxa"/>
            <w:vAlign w:val="bottom"/>
          </w:tcPr>
          <w:p>
            <w:pPr>
              <w:spacing w:after="0"/>
              <w:rPr>
                <w:sz w:val="1"/>
                <w:szCs w:val="1"/>
                <w:color w:val="auto"/>
              </w:rPr>
            </w:pPr>
          </w:p>
        </w:tc>
      </w:tr>
      <w:tr>
        <w:trPr>
          <w:trHeight w:val="223"/>
        </w:trPr>
        <w:tc>
          <w:tcPr>
            <w:tcW w:w="494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8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(11,785)</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(15,809)</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0" w:type="dxa"/>
            <w:vAlign w:val="bottom"/>
          </w:tcPr>
          <w:p>
            <w:pPr>
              <w:spacing w:after="0"/>
              <w:rPr>
                <w:sz w:val="1"/>
                <w:szCs w:val="1"/>
                <w:color w:val="auto"/>
              </w:rPr>
            </w:pP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DFF"/>
            </w:tcBorders>
            <w:shd w:val="clear" w:color="auto" w:fill="CCEDFF"/>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20" w:type="dxa"/>
            <w:vAlign w:val="bottom"/>
            <w:tcBorders>
              <w:top w:val="single" w:sz="8" w:color="CCEDFF"/>
            </w:tcBorders>
            <w:shd w:val="clear" w:color="auto" w:fill="CCEDFF"/>
          </w:tcPr>
          <w:p>
            <w:pPr>
              <w:spacing w:after="0"/>
              <w:rPr>
                <w:sz w:val="19"/>
                <w:szCs w:val="19"/>
                <w:color w:val="auto"/>
              </w:rPr>
            </w:pPr>
          </w:p>
        </w:tc>
        <w:tc>
          <w:tcPr>
            <w:tcW w:w="320" w:type="dxa"/>
            <w:vAlign w:val="bottom"/>
            <w:tcBorders>
              <w:top w:val="single" w:sz="8" w:color="auto"/>
            </w:tcBorders>
            <w:shd w:val="clear" w:color="auto" w:fill="CCEDFF"/>
          </w:tcPr>
          <w:p>
            <w:pPr>
              <w:spacing w:after="0"/>
              <w:rPr>
                <w:sz w:val="19"/>
                <w:szCs w:val="19"/>
                <w:color w:val="auto"/>
              </w:rPr>
            </w:pPr>
          </w:p>
        </w:tc>
        <w:tc>
          <w:tcPr>
            <w:tcW w:w="14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(11,785)</w:t>
            </w:r>
          </w:p>
        </w:tc>
        <w:tc>
          <w:tcPr>
            <w:tcW w:w="140" w:type="dxa"/>
            <w:vAlign w:val="bottom"/>
            <w:tcBorders>
              <w:top w:val="single" w:sz="8" w:color="CCEDFF"/>
            </w:tcBorders>
            <w:shd w:val="clear" w:color="auto" w:fill="CCEDFF"/>
          </w:tcPr>
          <w:p>
            <w:pPr>
              <w:spacing w:after="0"/>
              <w:rPr>
                <w:sz w:val="19"/>
                <w:szCs w:val="19"/>
                <w:color w:val="auto"/>
              </w:rPr>
            </w:pPr>
          </w:p>
        </w:tc>
        <w:tc>
          <w:tcPr>
            <w:tcW w:w="300" w:type="dxa"/>
            <w:vAlign w:val="bottom"/>
            <w:tcBorders>
              <w:top w:val="single" w:sz="8" w:color="auto"/>
            </w:tcBorders>
            <w:shd w:val="clear" w:color="auto" w:fill="CCEDFF"/>
          </w:tcPr>
          <w:p>
            <w:pPr>
              <w:spacing w:after="0"/>
              <w:rPr>
                <w:sz w:val="19"/>
                <w:szCs w:val="19"/>
                <w:color w:val="auto"/>
              </w:rPr>
            </w:pPr>
          </w:p>
        </w:tc>
        <w:tc>
          <w:tcPr>
            <w:tcW w:w="14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(15,809)</w:t>
            </w:r>
          </w:p>
        </w:tc>
        <w:tc>
          <w:tcPr>
            <w:tcW w:w="140" w:type="dxa"/>
            <w:vAlign w:val="bottom"/>
            <w:tcBorders>
              <w:top w:val="single" w:sz="8" w:color="CCEDFF"/>
            </w:tcBorders>
            <w:shd w:val="clear" w:color="auto" w:fill="CCEDFF"/>
          </w:tcPr>
          <w:p>
            <w:pPr>
              <w:spacing w:after="0"/>
              <w:rPr>
                <w:sz w:val="19"/>
                <w:szCs w:val="19"/>
                <w:color w:val="auto"/>
              </w:rPr>
            </w:pPr>
          </w:p>
        </w:tc>
        <w:tc>
          <w:tcPr>
            <w:tcW w:w="280" w:type="dxa"/>
            <w:vAlign w:val="bottom"/>
            <w:tcBorders>
              <w:top w:val="single" w:sz="8" w:color="auto"/>
            </w:tcBorders>
            <w:shd w:val="clear" w:color="auto" w:fill="CCEDFF"/>
          </w:tcPr>
          <w:p>
            <w:pPr>
              <w:spacing w:after="0"/>
              <w:rPr>
                <w:sz w:val="19"/>
                <w:szCs w:val="19"/>
                <w:color w:val="auto"/>
              </w:rPr>
            </w:pPr>
          </w:p>
        </w:tc>
        <w:tc>
          <w:tcPr>
            <w:tcW w:w="14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0" w:type="dxa"/>
            <w:vAlign w:val="bottom"/>
          </w:tcPr>
          <w:p>
            <w:pPr>
              <w:spacing w:after="0"/>
              <w:rPr>
                <w:sz w:val="1"/>
                <w:szCs w:val="1"/>
                <w:color w:val="auto"/>
              </w:rPr>
            </w:pPr>
          </w:p>
        </w:tc>
      </w:tr>
      <w:tr>
        <w:trPr>
          <w:trHeight w:val="230"/>
        </w:trPr>
        <w:tc>
          <w:tcPr>
            <w:tcW w:w="4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(14,891)</w:t>
            </w:r>
          </w:p>
        </w:tc>
        <w:tc>
          <w:tcPr>
            <w:tcW w:w="0" w:type="dxa"/>
            <w:vAlign w:val="bottom"/>
          </w:tcPr>
          <w:p>
            <w:pPr>
              <w:spacing w:after="0"/>
              <w:rPr>
                <w:sz w:val="1"/>
                <w:szCs w:val="1"/>
                <w:color w:val="auto"/>
              </w:rPr>
            </w:pPr>
          </w:p>
        </w:tc>
      </w:tr>
      <w:tr>
        <w:trPr>
          <w:trHeight w:val="248"/>
        </w:trPr>
        <w:tc>
          <w:tcPr>
            <w:tcW w:w="4940" w:type="dxa"/>
            <w:vAlign w:val="bottom"/>
            <w:tcBorders>
              <w:top w:val="single" w:sz="8" w:color="CCEDFF"/>
              <w:bottom w:val="single" w:sz="8" w:color="CCEDFF"/>
            </w:tcBorders>
            <w:shd w:val="clear" w:color="auto" w:fill="CCEDFF"/>
          </w:tcPr>
          <w:p>
            <w:pPr>
              <w:ind w:left="680"/>
              <w:spacing w:after="0"/>
              <w:rPr>
                <w:sz w:val="20"/>
                <w:szCs w:val="20"/>
                <w:color w:val="auto"/>
              </w:rPr>
            </w:pPr>
            <w:r>
              <w:rPr>
                <w:rFonts w:ascii="Times New Roman" w:cs="Times New Roman" w:eastAsia="Times New Roman" w:hAnsi="Times New Roman"/>
                <w:sz w:val="18"/>
                <w:szCs w:val="18"/>
                <w:b w:val="1"/>
                <w:bCs w:val="1"/>
                <w:color w:val="auto"/>
              </w:rPr>
              <w:t>Net loss attributable to CaliberCos Inc.</w:t>
            </w:r>
          </w:p>
        </w:tc>
        <w:tc>
          <w:tcPr>
            <w:tcW w:w="820" w:type="dxa"/>
            <w:vAlign w:val="bottom"/>
            <w:tcBorders>
              <w:top w:val="single" w:sz="8" w:color="CCEDFF"/>
              <w:bottom w:val="single" w:sz="8" w:color="CCEDFF"/>
            </w:tcBorders>
            <w:shd w:val="clear" w:color="auto" w:fill="CCEDFF"/>
          </w:tcPr>
          <w:p>
            <w:pPr>
              <w:spacing w:after="0"/>
              <w:rPr>
                <w:sz w:val="21"/>
                <w:szCs w:val="21"/>
                <w:color w:val="auto"/>
              </w:rPr>
            </w:pPr>
          </w:p>
        </w:tc>
        <w:tc>
          <w:tcPr>
            <w:tcW w:w="320" w:type="dxa"/>
            <w:vAlign w:val="bottom"/>
            <w:tcBorders>
              <w:top w:val="single" w:sz="8" w:color="auto"/>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(11,785)</w:t>
            </w:r>
          </w:p>
        </w:tc>
        <w:tc>
          <w:tcPr>
            <w:tcW w:w="140" w:type="dxa"/>
            <w:vAlign w:val="bottom"/>
            <w:tcBorders>
              <w:top w:val="single" w:sz="8" w:color="CCEDFF"/>
              <w:bottom w:val="single" w:sz="8" w:color="CCEDFF"/>
            </w:tcBorders>
            <w:shd w:val="clear" w:color="auto" w:fill="CCEDFF"/>
          </w:tcPr>
          <w:p>
            <w:pPr>
              <w:spacing w:after="0"/>
              <w:rPr>
                <w:sz w:val="21"/>
                <w:szCs w:val="21"/>
                <w:color w:val="auto"/>
              </w:rPr>
            </w:pPr>
          </w:p>
        </w:tc>
        <w:tc>
          <w:tcPr>
            <w:tcW w:w="300" w:type="dxa"/>
            <w:vAlign w:val="bottom"/>
            <w:tcBorders>
              <w:top w:val="single" w:sz="8" w:color="auto"/>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tcBorders>
              <w:top w:val="single" w:sz="8" w:color="CCEDFF"/>
              <w:bottom w:val="single" w:sz="8" w:color="CCEDFF"/>
            </w:tcBorders>
            <w:shd w:val="clear" w:color="auto" w:fill="CCEDFF"/>
          </w:tcPr>
          <w:p>
            <w:pPr>
              <w:spacing w:after="0"/>
              <w:rPr>
                <w:sz w:val="21"/>
                <w:szCs w:val="21"/>
                <w:color w:val="auto"/>
              </w:rPr>
            </w:pPr>
          </w:p>
        </w:tc>
        <w:tc>
          <w:tcPr>
            <w:tcW w:w="280" w:type="dxa"/>
            <w:vAlign w:val="bottom"/>
            <w:tcBorders>
              <w:top w:val="single" w:sz="8" w:color="auto"/>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DFF"/>
            </w:tcBorders>
          </w:tcPr>
          <w:p>
            <w:pPr>
              <w:spacing w:after="0" w:line="20" w:lineRule="exact"/>
              <w:rPr>
                <w:sz w:val="1"/>
                <w:szCs w:val="1"/>
                <w:color w:val="auto"/>
              </w:rPr>
            </w:pPr>
          </w:p>
        </w:tc>
        <w:tc>
          <w:tcPr>
            <w:tcW w:w="820" w:type="dxa"/>
            <w:vAlign w:val="bottom"/>
            <w:tcBorders>
              <w:top w:val="single" w:sz="8" w:color="CCEDFF"/>
            </w:tcBorders>
          </w:tcPr>
          <w:p>
            <w:pPr>
              <w:spacing w:after="0" w:line="20" w:lineRule="exact"/>
              <w:rPr>
                <w:sz w:val="1"/>
                <w:szCs w:val="1"/>
                <w:color w:val="auto"/>
              </w:rPr>
            </w:pP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40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44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280" w:type="dxa"/>
            <w:vAlign w:val="bottom"/>
            <w:tcBorders>
              <w:top w:val="single" w:sz="8" w:color="CCEDFF"/>
              <w:bottom w:val="single" w:sz="8" w:color="auto"/>
            </w:tcBorders>
          </w:tcPr>
          <w:p>
            <w:pPr>
              <w:spacing w:after="0" w:line="20" w:lineRule="exact"/>
              <w:rPr>
                <w:sz w:val="1"/>
                <w:szCs w:val="1"/>
                <w:color w:val="auto"/>
              </w:rPr>
            </w:pPr>
          </w:p>
        </w:tc>
        <w:tc>
          <w:tcPr>
            <w:tcW w:w="146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4940" w:type="dxa"/>
            <w:vAlign w:val="bottom"/>
          </w:tcPr>
          <w:p>
            <w:pPr>
              <w:spacing w:after="0"/>
              <w:rPr>
                <w:sz w:val="24"/>
                <w:szCs w:val="24"/>
                <w:color w:val="auto"/>
              </w:rPr>
            </w:pP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F-47</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Platform assets to the most comparable GAAP measure for the years ended December 31, 2024 and 2023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120" w:type="dxa"/>
            <w:vAlign w:val="bottom"/>
          </w:tcPr>
          <w:p>
            <w:pPr>
              <w:spacing w:after="0"/>
              <w:rPr>
                <w:sz w:val="15"/>
                <w:szCs w:val="15"/>
                <w:color w:val="auto"/>
              </w:rPr>
            </w:pPr>
          </w:p>
        </w:tc>
        <w:tc>
          <w:tcPr>
            <w:tcW w:w="180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60" w:type="dxa"/>
            <w:vAlign w:val="bottom"/>
          </w:tcPr>
          <w:p>
            <w:pPr>
              <w:spacing w:after="0"/>
              <w:rPr>
                <w:sz w:val="15"/>
                <w:szCs w:val="15"/>
                <w:color w:val="auto"/>
              </w:rPr>
            </w:pPr>
          </w:p>
        </w:tc>
        <w:tc>
          <w:tcPr>
            <w:tcW w:w="15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5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6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shd w:val="clear" w:color="auto" w:fill="CCEEFF"/>
          </w:tcPr>
          <w:p>
            <w:pPr>
              <w:ind w:left="25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15,643</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0" w:type="dxa"/>
            <w:vAlign w:val="bottom"/>
          </w:tcPr>
          <w:p>
            <w:pPr>
              <w:spacing w:after="0"/>
              <w:rPr>
                <w:sz w:val="1"/>
                <w:szCs w:val="1"/>
                <w:color w:val="auto"/>
              </w:rPr>
            </w:pPr>
          </w:p>
        </w:tc>
      </w:tr>
      <w:tr>
        <w:trPr>
          <w:trHeight w:val="268"/>
        </w:trPr>
        <w:tc>
          <w:tcPr>
            <w:tcW w:w="55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57,077</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66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54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120" w:type="dxa"/>
            <w:vAlign w:val="bottom"/>
          </w:tcPr>
          <w:p>
            <w:pPr>
              <w:spacing w:after="0"/>
              <w:rPr>
                <w:sz w:val="15"/>
                <w:szCs w:val="15"/>
                <w:color w:val="auto"/>
              </w:rPr>
            </w:pPr>
          </w:p>
        </w:tc>
        <w:tc>
          <w:tcPr>
            <w:tcW w:w="180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60" w:type="dxa"/>
            <w:vAlign w:val="bottom"/>
          </w:tcPr>
          <w:p>
            <w:pPr>
              <w:spacing w:after="0"/>
              <w:rPr>
                <w:sz w:val="15"/>
                <w:szCs w:val="15"/>
                <w:color w:val="auto"/>
              </w:rPr>
            </w:pPr>
          </w:p>
        </w:tc>
        <w:tc>
          <w:tcPr>
            <w:tcW w:w="15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5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6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shd w:val="clear" w:color="auto" w:fill="CCEEFF"/>
          </w:tcPr>
          <w:p>
            <w:pPr>
              <w:ind w:left="25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21,492</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41,072</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 has evaluated events and transactions that occurred after December 31, 2024 through March 31, 2025, the date these consolidated financial statement were available to be issued. The following events are in addition to those matters discussed in Note 6 – Notes Payable.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12, 2025, the Company was qualified to sell up to $20.0 million of Series AA cumulative redeemable preferred stock under Regulation A, which includes 800,000 shares at a stated value of $25. The Series AA offers a cumulative monthly dividend at a rate of 9.5% per annum. The preferred stock is convertible into shares of Class A Common stock. The proceeds raised by this offering will be used to retire outstanding promissory notes and for general corporate purposes.</w:t>
      </w:r>
    </w:p>
    <w:p>
      <w:pPr>
        <w:spacing w:after="0" w:line="1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20, 2025, the Company entered into a securities purchase agreement with Mast Hill Fund, L.P. (“Mast”), issuing a senior secured promissory note worth up to $1.7 million, a warrant for 200,000 shares of Class A common stock at $0.75 per share, and 200,000 shares of common stock. Simultaneously, the Company also entered into an equity purchase agreement with Mast to sell up to $25.0 million of common stock. This agreement also includes a common stock purchase warrant for an additional 200,000 shares at $1.50 per share. The Company proceeds were $1.2 million in cash, net of discounts.</w:t>
      </w:r>
    </w:p>
    <w:p>
      <w:pPr>
        <w:spacing w:after="0" w:line="1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27, 2025 the Company announced the launch of the Caliber 1031 Exchange program which allows accredited investors to participate in the program either by investing $1.0 million or more from proceeds generated from a sale of real estate, or by the Company sponsoring the sale of the investors existing asset and investing those proceeds generated. In its first transaction, the Caliber 1031 Exchange executed a $10.2 million acquisition of a 602-unit self-storage facility in Rifle, Colorado,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behalf of a group of investors through a Tenants-in-Common arrangement. The Company received a real estate commission in the amount of $0.2 million as a result of the transaction.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40"/>
          </w:cols>
          <w:pgMar w:left="320" w:top="121"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43"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The following description summarizes the most important terms of our capital stock. This summary does not purport to be complete and is qualified in its entirety by the provisions of Caliber’s third amended and restated certificate of incorporation and amended and restated bylaws. For a complete description of Caliber’s capital stock, you should refer to the third amended and restated certificate of incorporation and amended and restated bylaws and to the applicable provisions of Delaware law.</w:t>
      </w:r>
    </w:p>
    <w:p>
      <w:pPr>
        <w:spacing w:after="0" w:line="208"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We are authorized to issue up to 137,500,000 shares of capital stock, of which (i) 100,000,000 shares are Class A common stock with a par value $0.001 per share; (ii) 15,000,000 shares are Class B common stock with a par value $0.001 per share; and (iii) 22,500,000 shares are preferred stock with a par value of $0.001 per share.</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3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w:t>
      </w:r>
      <w:r>
        <w:rPr>
          <w:rFonts w:ascii="Times New Roman" w:cs="Times New Roman" w:eastAsia="Times New Roman" w:hAnsi="Times New Roman"/>
          <w:sz w:val="18"/>
          <w:szCs w:val="18"/>
          <w:color w:val="auto"/>
        </w:rPr>
        <w:t>The holders of the Class A common stock are entitled to one (1) vote for each share of Class A common stock held at all meetings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(and written actions in lieu of meetings). The Class A common stock is not subject to cumulative voting. The Class A common stock and Class B common stock vote together as a single class on all matters submitted to a vote of our stockholders, except as may otherwise be required by law.</w:t>
      </w:r>
    </w:p>
    <w:p>
      <w:pPr>
        <w:spacing w:after="0" w:line="199"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the preferences applicable to the Preferred Stock, the holders of the Class A common stock are entitled to, on an equal basis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holders of Class B common stock, receive dividends when and if declared by the Company’s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23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w:t>
      </w:r>
      <w:r>
        <w:rPr>
          <w:rFonts w:ascii="Times New Roman" w:cs="Times New Roman" w:eastAsia="Times New Roman" w:hAnsi="Times New Roman"/>
          <w:sz w:val="18"/>
          <w:szCs w:val="18"/>
          <w:color w:val="auto"/>
        </w:rPr>
        <w:t>The holders of the Class B common stock are entitled to ten (10) votes for each share of Class B common stock held at all meetings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(and written actions in lieu of meetings). The Class B common stock is not subject to cumulative voting. The Class A common stock and Class B common stock vote together as a single class on all matters submitted to a vote of our stockholders, except as may otherwise be required by law.</w:t>
      </w:r>
    </w:p>
    <w:p>
      <w:pPr>
        <w:spacing w:after="0" w:line="203"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the preferences applicable to the preferred stock, the holders of the Class B common stock are entitled to, on an equal basis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holders of Class A common stock, receive dividends when and if declared by the Company’s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208"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Shares of Class B common stock will automatically convert into Shares of Class A common stock on a share-for-share basis at the earlier of: (i) the date of the sale of all or substantially all of the stock or assets of the Corporation; (ii) transfer or sale of such shares to any person or entity not a holder of such Shares of Class B common stock on the date of adoption of the third amended and restated certificate of incorporation other than a trust or other entity established by a current holder of such Shares of Class B common stock for bona fide estate planning purposes; or (iii) three years following the date the common stock is first publicly traded.</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4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 third amended and restated certificate of incorporation authorizes the Board to establish one or more series of preferred stock. The Board has the discretion to determine the preferences and relative, participating, optional and other special rights, including voting rights, dividend rights, conversion rights, redemption privileges and liquidation preferences of each series of preferred stock.</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ectPr>
          <w:pgSz w:w="11900" w:h="16838" w:orient="portrait"/>
          <w:cols w:equalWidth="0" w:num="1">
            <w:col w:w="11240"/>
          </w:cols>
          <w:pgMar w:left="320" w:top="11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 and Class B Common Stock</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our stockholders holding a majority of the outstanding shares of common stock outstanding will be able to elect all of our directors.</w:t>
      </w:r>
    </w:p>
    <w:p>
      <w:pPr>
        <w:spacing w:after="0" w:line="189"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The foregoing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211"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the control vested in our founders by virtue of their holding of Class B common stock may discourage or impede takeover activities.</w:t>
      </w: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4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217" w:lineRule="exact"/>
        <w:rPr>
          <w:sz w:val="20"/>
          <w:szCs w:val="20"/>
          <w:color w:val="auto"/>
        </w:rPr>
      </w:pPr>
    </w:p>
    <w:p>
      <w:pPr>
        <w:ind w:left="660" w:hanging="409"/>
        <w:spacing w:after="0" w:line="282"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121" w:lineRule="exact"/>
        <w:rPr>
          <w:rFonts w:ascii="Times New Roman" w:cs="Times New Roman" w:eastAsia="Times New Roman" w:hAnsi="Times New Roman"/>
          <w:sz w:val="18"/>
          <w:szCs w:val="18"/>
          <w:color w:val="auto"/>
        </w:rPr>
      </w:pPr>
    </w:p>
    <w:p>
      <w:pPr>
        <w:jc w:val="both"/>
        <w:ind w:left="660" w:hanging="409"/>
        <w:spacing w:after="0" w:line="258"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42" w:lineRule="exact"/>
        <w:rPr>
          <w:rFonts w:ascii="Times New Roman" w:cs="Times New Roman" w:eastAsia="Times New Roman" w:hAnsi="Times New Roman"/>
          <w:sz w:val="18"/>
          <w:szCs w:val="18"/>
          <w:color w:val="auto"/>
        </w:rPr>
      </w:pPr>
    </w:p>
    <w:p>
      <w:pPr>
        <w:jc w:val="both"/>
        <w:ind w:left="660" w:hanging="409"/>
        <w:spacing w:after="0" w:line="266"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general, Section 203 defines business combination to include the following:</w:t>
      </w:r>
    </w:p>
    <w:p>
      <w:pPr>
        <w:spacing w:after="0" w:line="252"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8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ectPr>
          <w:pgSz w:w="11900" w:h="16838" w:orient="portrait"/>
          <w:cols w:equalWidth="0" w:num="1">
            <w:col w:w="11240"/>
          </w:cols>
          <w:pgMar w:left="320" w:top="117" w:right="339" w:bottom="1440" w:gutter="0" w:footer="0" w:header="0"/>
        </w:sectPr>
      </w:pPr>
    </w:p>
    <w:bookmarkStart w:id="129" w:name="page130"/>
    <w:bookmarkEnd w:id="129"/>
    <w:p>
      <w:pPr>
        <w:ind w:left="66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loss, advances, guarantees, pledges or other financial benefits by or through the corporation.</w:t>
      </w:r>
    </w:p>
    <w:p>
      <w:pPr>
        <w:spacing w:after="0" w:line="12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Exclusive forum for adjudication of disputes provision which limits the forum to the Delaware Court of Chancery for certain stockholder litigation matters actions against the Company, which may limit an investor’s ability to obtain a favorable judicial forum for disputes with the Company or its directors, officers, employees or stockholders.</w:t>
      </w:r>
    </w:p>
    <w:p>
      <w:pPr>
        <w:spacing w:after="0" w:line="203"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Section 7.06(a) of Article VII of our Bylaws dictates that, unless we consent in writing to the selection of an alternative forum, the Delaware Court of Chancery (or, if the Delaware Court of Chancery does not have jurisdiction, the federal district court for the State of Delaware) is, to the fullest extent permitted by law, the sole and exclusive forum for certain actions including derivative action or proceeding brought on behalf of the Company; an action asserting a breach of fiduciary duty owed by an officer, director, employee or to the stockholders of the Company; any claim arising under Delaware corporate law, our amended and restated certificate of incorporation or our amended and restated bylaws; and any action asserting a claim governed by the internal affairs doctrine. Any person or entity purchasing or otherwise acquiring any interest in shares of capital stock of the Company shall be deemed to have notice of and consented to the provisions of Section 7.06 of Article VII of our Bylaws.</w:t>
      </w:r>
    </w:p>
    <w:p>
      <w:pPr>
        <w:spacing w:after="0" w:line="212"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However, Section 7.06(a) of Article VII of our Bylaws will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212"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Furthermore, unless the Company consents in writing to the selection of an alternative forum, the federal district courts of the United States of America will be the exclusive forum for the resolution of any complaint asserting a cause of action arising under the Securities Act, or the rules and regulations promulgated thereunder. We note, however, that Section 22 of the Securities Act creates concurrent jurisdiction for federal and state courts over all suits brought to enforce any duty or liability created by the Securities Act or the rules and regulations thereunder. There is uncertainty as to whether a court would enforce this provision and that investors cannot waive compliance with the federal securities laws and the rules and regulations thereunder.</w:t>
      </w:r>
    </w:p>
    <w:p>
      <w:pPr>
        <w:spacing w:after="0" w:line="212"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A Delaware corporation is allowed to mandate in its corporate governance documents a chosen forum for the resolution of state law-based stockholder class actions, derivative suits and other intra-corporate disputes. With respect to such state law claims, the Company’s management believes limiting state law based claims to Delaware will provide the most appropriate outcomes as the risk of another forum misapplying Delaware law is avoided, Delaware courts have a well-developed body of case law and limiting the forum will preclude costly and duplicative litigation and avoids the risk of inconsistent outcomes. Additionally, Delaware Chancery Courts can typically resolve disputes on an accelerated schedule when compared to other forums.</w:t>
      </w:r>
    </w:p>
    <w:p>
      <w:pPr>
        <w:spacing w:after="0" w:line="21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The choice of forum provisions contained in the Company’s Bylaws may limit a stockholder’s ability to bring a claim in a judicial forum that it finds favorable for disputes with the Company or any of its directors, officers, other employees or stockholders, which may discourage lawsuits with respect to such claims. Alternatively, the enforceability of similar choice of forum provisions in other issuers’ bylaws and certificates of incorporation has been challenged in legal proceedings, and it is possible that in connection with any applicable action brought against the Company, a court could find the choice of forum provisions contained in the Company’s Bylaws to be inapplicable or unenforceable in such action. As a result, the Company could incur additional costs associated with resolving such actions in other jurisdictions, which could harm the Company’s business, operating results and financial condition.</w:t>
      </w:r>
    </w:p>
    <w:p>
      <w:pPr>
        <w:sectPr>
          <w:pgSz w:w="11900" w:h="16838" w:orient="portrait"/>
          <w:cols w:equalWidth="0" w:num="1">
            <w:col w:w="11240"/>
          </w:cols>
          <w:pgMar w:left="320" w:top="1417"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CODE OF ETHICS FOR THE CEO, COO, AND SENIOR FINANCIAL OFFICERS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CALIBERCOS INC.</w:t>
      </w:r>
    </w:p>
    <w:p>
      <w:pPr>
        <w:spacing w:after="0" w:line="224"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22"/>
          <w:szCs w:val="22"/>
          <w:color w:val="auto"/>
        </w:rPr>
        <w:t>CaliberCos Inc. (the “Company”) has a Code of Conduct applicable to all directors, officers, and employees of the Company. The Chief Executive Officer, Chief Operating Officer, and all senior financial officers, including the Chief Financial Officer and Principal Accounting Officer, are bound by the provisions set forth therein relating to ethical conduct, conflicts of interest, and compliance with law. In addition to the Code of Conduct, the Chief Executive Officer and senior financial officers are subject to the following additional specific policies:</w:t>
      </w:r>
    </w:p>
    <w:p>
      <w:pPr>
        <w:spacing w:after="0" w:line="192" w:lineRule="exact"/>
        <w:rPr>
          <w:sz w:val="20"/>
          <w:szCs w:val="20"/>
          <w:color w:val="auto"/>
        </w:rPr>
      </w:pPr>
    </w:p>
    <w:p>
      <w:pPr>
        <w:jc w:val="both"/>
        <w:ind w:left="660" w:hanging="328"/>
        <w:spacing w:after="0" w:line="228" w:lineRule="auto"/>
        <w:tabs>
          <w:tab w:leader="none" w:pos="649"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2"/>
          <w:szCs w:val="22"/>
          <w:color w:val="auto"/>
        </w:rPr>
        <w:t>The Chief Executive Officer, Chief Operating Officer, and all senior financial officers are responsible for full, fair, accurate, timely, and understandable disclosure in the periodic reports required to be filed by the Company with the U.S. Securities and Exchange Commission. Accordingly, it is the responsibility of the Chief Executive Officer, Chief Operating Officer, and each senior financial officer promptly to bring to the attention of the Audit Committee any material information of which he or she may become aware that affects the disclosures made by the Company in its public filings or otherwise assist the Audit Committee in fulfilling their responsibilities.</w:t>
      </w:r>
    </w:p>
    <w:p>
      <w:pPr>
        <w:spacing w:after="0" w:line="191" w:lineRule="exact"/>
        <w:rPr>
          <w:rFonts w:ascii="Arial" w:cs="Arial" w:eastAsia="Arial" w:hAnsi="Arial"/>
          <w:sz w:val="20"/>
          <w:szCs w:val="20"/>
          <w:color w:val="auto"/>
        </w:rPr>
      </w:pPr>
    </w:p>
    <w:p>
      <w:pPr>
        <w:jc w:val="both"/>
        <w:ind w:left="660" w:hanging="328"/>
        <w:spacing w:after="0" w:line="230" w:lineRule="auto"/>
        <w:tabs>
          <w:tab w:leader="none" w:pos="649"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2"/>
          <w:szCs w:val="22"/>
          <w:color w:val="auto"/>
        </w:rPr>
        <w:t>The Chief Executive Officer, Chief Operating Officer, and each senior financial officer shall promptly bring to the attention of the Audit Committee any information he or she may have concerning (a) significant deficiencies in the design or operation of internal controls that could adversely affect the Company's ability to record, process, summarize, and report financial data or (b) any fraud, whether or not material, that involves management or other employees who have a significant role in the Company's financial reporting, disclosures, or internal controls.</w:t>
      </w:r>
    </w:p>
    <w:p>
      <w:pPr>
        <w:spacing w:after="0" w:line="191" w:lineRule="exact"/>
        <w:rPr>
          <w:rFonts w:ascii="Arial" w:cs="Arial" w:eastAsia="Arial" w:hAnsi="Arial"/>
          <w:sz w:val="20"/>
          <w:szCs w:val="20"/>
          <w:color w:val="auto"/>
        </w:rPr>
      </w:pPr>
    </w:p>
    <w:p>
      <w:pPr>
        <w:jc w:val="both"/>
        <w:ind w:left="660" w:hanging="328"/>
        <w:spacing w:after="0" w:line="230" w:lineRule="auto"/>
        <w:tabs>
          <w:tab w:leader="none" w:pos="649"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2"/>
          <w:szCs w:val="22"/>
          <w:color w:val="auto"/>
        </w:rPr>
        <w:t>The Chief Executive Officer, Chief Operating Officer, and each senior financial officer shall promptly bring to the attention of the Audit Committee any information he or she may have concerning any violation of this Code of Ethics or the Company's Code of Conduct, including any actual or apparent conflicts of interest between personal and professional relationships, involving any management or other employees who have a significant role in the Company's financial reporting, disclosures, or internal controls.</w:t>
      </w:r>
    </w:p>
    <w:p>
      <w:pPr>
        <w:spacing w:after="0" w:line="191" w:lineRule="exact"/>
        <w:rPr>
          <w:rFonts w:ascii="Arial" w:cs="Arial" w:eastAsia="Arial" w:hAnsi="Arial"/>
          <w:sz w:val="20"/>
          <w:szCs w:val="20"/>
          <w:color w:val="auto"/>
        </w:rPr>
      </w:pPr>
    </w:p>
    <w:p>
      <w:pPr>
        <w:jc w:val="both"/>
        <w:ind w:left="660" w:hanging="328"/>
        <w:spacing w:after="0" w:line="233" w:lineRule="auto"/>
        <w:tabs>
          <w:tab w:leader="none" w:pos="649"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2"/>
          <w:szCs w:val="22"/>
          <w:color w:val="auto"/>
        </w:rPr>
        <w:t>The Chief Executive Officer, Chief Operating Officer, and each senior financial officer shall promptly bring to the attention of the Audit Committee any information he or she may have concerning evidence of a material violation of the securities or other laws, rules, or regulations applicable to the Company and the operation of its business, by the Company or any agent thereof, or of violation of the Code of Conduct or of these additional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131" w:name="page132"/>
    <w:bookmarkEnd w:id="131"/>
    <w:p>
      <w:pPr>
        <w:ind w:left="9988"/>
        <w:spacing w:after="0"/>
        <w:rPr>
          <w:sz w:val="20"/>
          <w:szCs w:val="20"/>
          <w:color w:val="auto"/>
        </w:rPr>
      </w:pPr>
      <w:r>
        <w:rPr>
          <w:rFonts w:ascii="Times New Roman" w:cs="Times New Roman" w:eastAsia="Times New Roman" w:hAnsi="Times New Roman"/>
          <w:sz w:val="17"/>
          <w:szCs w:val="17"/>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328" w:hanging="328"/>
        <w:spacing w:after="0" w:line="235" w:lineRule="auto"/>
        <w:tabs>
          <w:tab w:leader="none" w:pos="317" w:val="left"/>
        </w:tabs>
        <w:numPr>
          <w:ilvl w:val="0"/>
          <w:numId w:val="72"/>
        </w:numPr>
        <w:rPr>
          <w:rFonts w:ascii="Arial" w:cs="Arial" w:eastAsia="Arial" w:hAnsi="Arial"/>
          <w:sz w:val="19"/>
          <w:szCs w:val="19"/>
          <w:color w:val="auto"/>
        </w:rPr>
      </w:pPr>
      <w:r>
        <w:rPr>
          <w:rFonts w:ascii="Times New Roman" w:cs="Times New Roman" w:eastAsia="Times New Roman" w:hAnsi="Times New Roman"/>
          <w:sz w:val="21"/>
          <w:szCs w:val="21"/>
          <w:color w:val="auto"/>
        </w:rPr>
        <w:t>The Board of Directors (the “Board”) shall determine, or designate appropriate persons to determine, appropriate actions to be taken in the event of violations of the Code of Conduct or of these additional procedures by the Chief Executive Officer, Chief Operating Officer, and the Company's senior financial officers. Such actions shall be reasonably designed to deter wrongdoing and to promote accountability for adherence to the Code of Conduct and to these additional procedures, and may include written notices to the individual involved that the Board has determined that there has been a violation, censure by the Board, demotion or re-assignment of the individual involved, suspension with or without pay or benefits (as determined by the Board), and termination of the individual's employment. In determining the appropriate action in a particular case, the Board or such designee shall take into account all relevant information, including the nature and severity of the violation, whether the violation was a single occurrence or repeated occurrences, whether the violation appears to have been intentional or inadvertent, whether the individual in question had been advised prior to the violation as to the proper course of action, and whether or not the individual in question had committed other violations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908"/>
          </w:cols>
          <w:pgMar w:left="652" w:top="117"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ON INSIDE INFORMATION AND INSIDER TRADING</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CALIBERCOS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August 8, 2023)</w:t>
      </w:r>
    </w:p>
    <w:p>
      <w:pPr>
        <w:spacing w:after="0" w:line="229" w:lineRule="exact"/>
        <w:rPr>
          <w:sz w:val="20"/>
          <w:szCs w:val="20"/>
          <w:color w:val="auto"/>
        </w:rPr>
      </w:pPr>
    </w:p>
    <w:p>
      <w:pPr>
        <w:ind w:left="380" w:hanging="372"/>
        <w:spacing w:after="0"/>
        <w:tabs>
          <w:tab w:leader="none" w:pos="38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In the course of your relationship with CaliberCos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or one or more of its subsidiaries, you may have access to information about the Company that is not generally available to the public. One of the principal purposes of the federal securities laws is to prohibit so-called “insider trading.” Insider trading occurs when a person uses material non-public information (also called “</w:t>
      </w:r>
      <w:r>
        <w:rPr>
          <w:rFonts w:ascii="Times New Roman" w:cs="Times New Roman" w:eastAsia="Times New Roman" w:hAnsi="Times New Roman"/>
          <w:sz w:val="21"/>
          <w:szCs w:val="21"/>
          <w:b w:val="1"/>
          <w:bCs w:val="1"/>
          <w:color w:val="auto"/>
        </w:rPr>
        <w:t>inside information</w:t>
      </w:r>
      <w:r>
        <w:rPr>
          <w:rFonts w:ascii="Times New Roman" w:cs="Times New Roman" w:eastAsia="Times New Roman" w:hAnsi="Times New Roman"/>
          <w:sz w:val="21"/>
          <w:szCs w:val="21"/>
          <w:color w:val="auto"/>
        </w:rPr>
        <w:t>”) about a company to make decisions to buy, sell, or otherwise trade the company’s securities (including common stock, debt securities, and stock options) or to provide that information (“</w:t>
      </w:r>
      <w:r>
        <w:rPr>
          <w:rFonts w:ascii="Times New Roman" w:cs="Times New Roman" w:eastAsia="Times New Roman" w:hAnsi="Times New Roman"/>
          <w:sz w:val="21"/>
          <w:szCs w:val="21"/>
          <w:b w:val="1"/>
          <w:bCs w:val="1"/>
          <w:color w:val="auto"/>
        </w:rPr>
        <w:t>tip</w:t>
      </w:r>
      <w:r>
        <w:rPr>
          <w:rFonts w:ascii="Times New Roman" w:cs="Times New Roman" w:eastAsia="Times New Roman" w:hAnsi="Times New Roman"/>
          <w:sz w:val="21"/>
          <w:szCs w:val="21"/>
          <w:color w:val="auto"/>
        </w:rPr>
        <w:t xml:space="preserve">”) to others outside the company. See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for further discussion of the terms “material,” “non-public,” and “inside” information.</w:t>
      </w:r>
    </w:p>
    <w:p>
      <w:pPr>
        <w:spacing w:after="0" w:line="20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Because of your relationship with the Company, you have certain responsibilities under the federal securities laws with respect to inside information. The purpose of this Policy on Inside Information and Insider Trading (this “</w:t>
      </w:r>
      <w:r>
        <w:rPr>
          <w:rFonts w:ascii="Times New Roman" w:cs="Times New Roman" w:eastAsia="Times New Roman" w:hAnsi="Times New Roman"/>
          <w:sz w:val="21"/>
          <w:szCs w:val="21"/>
          <w:b w:val="1"/>
          <w:bCs w:val="1"/>
          <w:color w:val="auto"/>
        </w:rPr>
        <w:t>Policy</w:t>
      </w:r>
      <w:r>
        <w:rPr>
          <w:rFonts w:ascii="Times New Roman" w:cs="Times New Roman" w:eastAsia="Times New Roman" w:hAnsi="Times New Roman"/>
          <w:sz w:val="21"/>
          <w:szCs w:val="21"/>
          <w:color w:val="auto"/>
        </w:rPr>
        <w:t>”) is to describe the Company’s policies regarding the protection of material non-public information and trading and tipping, as well as the expected standards of conduct each member of the Board of Directors of the Company (a “</w:t>
      </w:r>
      <w:r>
        <w:rPr>
          <w:rFonts w:ascii="Times New Roman" w:cs="Times New Roman" w:eastAsia="Times New Roman" w:hAnsi="Times New Roman"/>
          <w:sz w:val="21"/>
          <w:szCs w:val="21"/>
          <w:b w:val="1"/>
          <w:bCs w:val="1"/>
          <w:color w:val="auto"/>
        </w:rPr>
        <w:t>Director</w:t>
      </w:r>
      <w:r>
        <w:rPr>
          <w:rFonts w:ascii="Times New Roman" w:cs="Times New Roman" w:eastAsia="Times New Roman" w:hAnsi="Times New Roman"/>
          <w:sz w:val="21"/>
          <w:szCs w:val="21"/>
          <w:color w:val="auto"/>
        </w:rPr>
        <w:t>”), each person required to file reports under Section 16 (a “</w:t>
      </w:r>
      <w:r>
        <w:rPr>
          <w:rFonts w:ascii="Times New Roman" w:cs="Times New Roman" w:eastAsia="Times New Roman" w:hAnsi="Times New Roman"/>
          <w:sz w:val="21"/>
          <w:szCs w:val="21"/>
          <w:b w:val="1"/>
          <w:bCs w:val="1"/>
          <w:color w:val="auto"/>
        </w:rPr>
        <w:t>Section 16 officer</w:t>
      </w:r>
      <w:r>
        <w:rPr>
          <w:rFonts w:ascii="Times New Roman" w:cs="Times New Roman" w:eastAsia="Times New Roman" w:hAnsi="Times New Roman"/>
          <w:sz w:val="21"/>
          <w:szCs w:val="21"/>
          <w:color w:val="auto"/>
        </w:rPr>
        <w:t>”) of the Securities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regardless of whether that person has been classified by the Board of Directors of the Company as an executive officer, and each employee of the Company with respect to these highly sensitive matters. This Policy explains your obligations under the law and the Company’s policies. You should read this Policy carefully and comply with this Policy at all times.</w:t>
      </w:r>
    </w:p>
    <w:p>
      <w:pPr>
        <w:spacing w:after="0" w:line="195" w:lineRule="exact"/>
        <w:rPr>
          <w:sz w:val="20"/>
          <w:szCs w:val="20"/>
          <w:color w:val="auto"/>
        </w:rPr>
      </w:pPr>
    </w:p>
    <w:p>
      <w:pPr>
        <w:ind w:left="380" w:hanging="372"/>
        <w:spacing w:after="0"/>
        <w:tabs>
          <w:tab w:leader="none" w:pos="38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SCOPE</w:t>
      </w:r>
    </w:p>
    <w:p>
      <w:pPr>
        <w:spacing w:after="0" w:line="22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This Policy applies to every Director and Section 16 officer of the Company, to every employee of the Company, and to any family members who reside in the household of any such person. Therefore, all references to “you” in this Policy mean you as well as any family members who reside in your household.</w:t>
      </w:r>
    </w:p>
    <w:p>
      <w:pPr>
        <w:spacing w:after="0" w:line="20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Policy prohibits trading in certain circumstances and applies to all Directors, Section 16 officers, and employees.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Policy imposes special additional restrictions and applies to all of the following:</w:t>
      </w:r>
    </w:p>
    <w:p>
      <w:pPr>
        <w:spacing w:after="0" w:line="185"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22"/>
          <w:szCs w:val="22"/>
          <w:color w:val="auto"/>
        </w:rPr>
      </w:pPr>
      <w:r>
        <w:rPr>
          <w:rFonts w:ascii="Times New Roman" w:cs="Times New Roman" w:eastAsia="Times New Roman" w:hAnsi="Times New Roman"/>
          <w:sz w:val="22"/>
          <w:szCs w:val="22"/>
          <w:color w:val="auto"/>
        </w:rPr>
        <w:t>Directors,</w:t>
      </w:r>
    </w:p>
    <w:p>
      <w:pPr>
        <w:spacing w:after="0" w:line="13" w:lineRule="exact"/>
        <w:rPr>
          <w:rFonts w:ascii="Arial" w:cs="Arial" w:eastAsia="Arial" w:hAnsi="Arial"/>
          <w:sz w:val="22"/>
          <w:szCs w:val="22"/>
          <w:color w:val="auto"/>
        </w:rPr>
      </w:pPr>
    </w:p>
    <w:p>
      <w:pPr>
        <w:ind w:left="660" w:hanging="328"/>
        <w:spacing w:after="0" w:line="229" w:lineRule="auto"/>
        <w:tabs>
          <w:tab w:leader="none" w:pos="660" w:val="left"/>
        </w:tabs>
        <w:numPr>
          <w:ilvl w:val="0"/>
          <w:numId w:val="75"/>
        </w:numPr>
        <w:rPr>
          <w:rFonts w:ascii="Arial" w:cs="Arial" w:eastAsia="Arial" w:hAnsi="Arial"/>
          <w:sz w:val="22"/>
          <w:szCs w:val="22"/>
          <w:color w:val="auto"/>
        </w:rPr>
      </w:pPr>
      <w:r>
        <w:rPr>
          <w:rFonts w:ascii="Times New Roman" w:cs="Times New Roman" w:eastAsia="Times New Roman" w:hAnsi="Times New Roman"/>
          <w:sz w:val="22"/>
          <w:szCs w:val="22"/>
          <w:color w:val="auto"/>
        </w:rPr>
        <w:t>Section 16 officers, and</w:t>
      </w:r>
    </w:p>
    <w:p>
      <w:pPr>
        <w:ind w:left="660" w:hanging="328"/>
        <w:spacing w:after="0"/>
        <w:tabs>
          <w:tab w:leader="none" w:pos="660" w:val="left"/>
        </w:tabs>
        <w:numPr>
          <w:ilvl w:val="0"/>
          <w:numId w:val="75"/>
        </w:numPr>
        <w:rPr>
          <w:rFonts w:ascii="Arial" w:cs="Arial" w:eastAsia="Arial" w:hAnsi="Arial"/>
          <w:sz w:val="22"/>
          <w:szCs w:val="22"/>
          <w:color w:val="auto"/>
        </w:rPr>
      </w:pPr>
      <w:r>
        <w:rPr>
          <w:rFonts w:ascii="Times New Roman" w:cs="Times New Roman" w:eastAsia="Times New Roman" w:hAnsi="Times New Roman"/>
          <w:sz w:val="22"/>
          <w:szCs w:val="22"/>
          <w:color w:val="auto"/>
        </w:rPr>
        <w:t>“restricted employees,” which includes the personnel listed on Exhibit A,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From time to time, the Nominating and Corporate Governance Committee of the Board of Directors of the Company may designate others as restricted employees or make other changes in the classification of individuals as restricted employees, in each case upon written notice to them. The Company will maintain a list of all restricted employees, which will be updated from time to time after consultation with the Company’s Chief Financial Officer. The term “non-restricted employees” is defined to include all employees other than Section 16 officers and restricted employees.</w:t>
      </w:r>
    </w:p>
    <w:p>
      <w:pPr>
        <w:spacing w:after="0" w:line="20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From time to time, the Board of Directors may designate persons as Section 16 officers whether or not those persons have been designated as executive officers.</w:t>
      </w:r>
    </w:p>
    <w:p>
      <w:pPr>
        <w:spacing w:after="0" w:line="151" w:lineRule="exact"/>
        <w:rPr>
          <w:sz w:val="20"/>
          <w:szCs w:val="20"/>
          <w:color w:val="auto"/>
        </w:rPr>
      </w:pPr>
    </w:p>
    <w:p>
      <w:pPr>
        <w:ind w:left="480" w:hanging="472"/>
        <w:spacing w:after="0" w:line="253" w:lineRule="exact"/>
        <w:tabs>
          <w:tab w:leader="none" w:pos="48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FOR DIRECTORS, SECTION 16 OFFICERS, RESTRICTED EMPLOYEES, AND non</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RESTRICTED</w:t>
      </w:r>
    </w:p>
    <w:p>
      <w:pPr>
        <w:spacing w:after="0" w:line="62"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EMPLOYEES</w:t>
      </w:r>
    </w:p>
    <w:p>
      <w:pPr>
        <w:spacing w:after="0" w:line="20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Applicability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applies to all Directors, Section 16 officers, and employees of the Company as well as any family members who reside in the household of any such person, unless otherwise stated herein.</w:t>
      </w:r>
    </w:p>
    <w:p>
      <w:pPr>
        <w:spacing w:after="0" w:line="18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General Policy Regarding Trading and Tipping</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1300"/>
        <w:spacing w:after="0" w:line="233" w:lineRule="auto"/>
        <w:rPr>
          <w:sz w:val="20"/>
          <w:szCs w:val="20"/>
          <w:color w:val="auto"/>
        </w:rPr>
      </w:pPr>
      <w:r>
        <w:rPr>
          <w:rFonts w:ascii="Times New Roman" w:cs="Times New Roman" w:eastAsia="Times New Roman" w:hAnsi="Times New Roman"/>
          <w:sz w:val="22"/>
          <w:szCs w:val="22"/>
          <w:color w:val="auto"/>
        </w:rPr>
        <w:t>3.2.1 You may not trade in securities of the Company (or any other entity, such as a customer, supplier, or possible acquisition target of the Company) at any time that you possess material non-public information about the Company (or about such other entity). This restriction applies both to securities purchases (to make a profit based on good news) and securities sales (to avoid a loss based on bad news), regardless of how or from whom the material non-public information has been obtained. Because trades made in accordance with a pre-existing written plan, contract, instruction, or arrangement under Rule 10b5-1 of the Exchange Act (a “</w:t>
      </w:r>
      <w:r>
        <w:rPr>
          <w:rFonts w:ascii="Times New Roman" w:cs="Times New Roman" w:eastAsia="Times New Roman" w:hAnsi="Times New Roman"/>
          <w:sz w:val="22"/>
          <w:szCs w:val="22"/>
          <w:b w:val="1"/>
          <w:bCs w:val="1"/>
          <w:color w:val="auto"/>
        </w:rPr>
        <w:t>Rule 10b5-1 Trading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that has been previously approved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not really voluntary trades,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understands that a trade under such a Plan may actually be made at a time that you possess such material non-public information.</w:t>
      </w:r>
    </w:p>
    <w:p>
      <w:pPr>
        <w:spacing w:after="0" w:line="206" w:lineRule="exact"/>
        <w:rPr>
          <w:sz w:val="20"/>
          <w:szCs w:val="20"/>
          <w:color w:val="auto"/>
        </w:rPr>
      </w:pPr>
    </w:p>
    <w:p>
      <w:pPr>
        <w:jc w:val="both"/>
        <w:ind w:left="1300"/>
        <w:spacing w:after="0" w:line="244" w:lineRule="auto"/>
        <w:rPr>
          <w:sz w:val="20"/>
          <w:szCs w:val="20"/>
          <w:color w:val="auto"/>
        </w:rPr>
      </w:pPr>
      <w:r>
        <w:rPr>
          <w:rFonts w:ascii="Times New Roman" w:cs="Times New Roman" w:eastAsia="Times New Roman" w:hAnsi="Times New Roman"/>
          <w:sz w:val="22"/>
          <w:szCs w:val="22"/>
          <w:color w:val="auto"/>
        </w:rPr>
        <w:t>3.2.2 If you are a non-restricted employee, you may trade in securities of the Company at any time and without prior approvals provided that you are not in possession of material non-public information concerning the Company.</w:t>
      </w:r>
    </w:p>
    <w:p>
      <w:pPr>
        <w:spacing w:after="0" w:line="200" w:lineRule="exact"/>
        <w:rPr>
          <w:sz w:val="20"/>
          <w:szCs w:val="20"/>
          <w:color w:val="auto"/>
        </w:rPr>
      </w:pPr>
    </w:p>
    <w:p>
      <w:pPr>
        <w:jc w:val="both"/>
        <w:ind w:left="1300"/>
        <w:spacing w:after="0" w:line="238" w:lineRule="auto"/>
        <w:rPr>
          <w:sz w:val="20"/>
          <w:szCs w:val="20"/>
          <w:color w:val="auto"/>
        </w:rPr>
      </w:pPr>
      <w:r>
        <w:rPr>
          <w:rFonts w:ascii="Times New Roman" w:cs="Times New Roman" w:eastAsia="Times New Roman" w:hAnsi="Times New Roman"/>
          <w:sz w:val="22"/>
          <w:szCs w:val="22"/>
          <w:color w:val="auto"/>
        </w:rPr>
        <w:t xml:space="preserve">3.2.3 If you are a non-restricted employee and wish to enter into, amend, modify, or terminate a Rule 10b5-1 Trading Plan, you must follow the procedures set forth in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and are subject to the restrictions set forth in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17"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640"/>
        <w:spacing w:after="0" w:line="238" w:lineRule="auto"/>
        <w:rPr>
          <w:sz w:val="20"/>
          <w:szCs w:val="20"/>
          <w:color w:val="auto"/>
        </w:rPr>
      </w:pPr>
      <w:r>
        <w:rPr>
          <w:rFonts w:ascii="Times New Roman" w:cs="Times New Roman" w:eastAsia="Times New Roman" w:hAnsi="Times New Roman"/>
          <w:sz w:val="22"/>
          <w:szCs w:val="22"/>
          <w:color w:val="auto"/>
        </w:rPr>
        <w:t>3.2.4 You may not convey (or “</w:t>
      </w:r>
      <w:r>
        <w:rPr>
          <w:rFonts w:ascii="Times New Roman" w:cs="Times New Roman" w:eastAsia="Times New Roman" w:hAnsi="Times New Roman"/>
          <w:sz w:val="22"/>
          <w:szCs w:val="22"/>
          <w:b w:val="1"/>
          <w:bCs w:val="1"/>
          <w:color w:val="auto"/>
        </w:rPr>
        <w:t>tip</w:t>
      </w:r>
      <w:r>
        <w:rPr>
          <w:rFonts w:ascii="Times New Roman" w:cs="Times New Roman" w:eastAsia="Times New Roman" w:hAnsi="Times New Roman"/>
          <w:sz w:val="22"/>
          <w:szCs w:val="22"/>
          <w:color w:val="auto"/>
        </w:rPr>
        <w:t>”) material non-public information regarding the Company (or any other entity, such as a customer, supplier, or possible acquisition target of the Company) to any other person. The concept of unlawful tipping includes passing on such information to friends, family members, or acquaintances. You may, of course, provide such information to other Company employees or representatives on a “need to know” basis in the course of performing your job with the Company.</w:t>
      </w:r>
    </w:p>
    <w:p>
      <w:pPr>
        <w:spacing w:after="0" w:line="208" w:lineRule="exact"/>
        <w:rPr>
          <w:sz w:val="20"/>
          <w:szCs w:val="20"/>
          <w:color w:val="auto"/>
        </w:rPr>
      </w:pPr>
    </w:p>
    <w:p>
      <w:pPr>
        <w:jc w:val="both"/>
        <w:ind w:left="640"/>
        <w:spacing w:after="0" w:line="234" w:lineRule="auto"/>
        <w:rPr>
          <w:sz w:val="20"/>
          <w:szCs w:val="20"/>
          <w:color w:val="auto"/>
        </w:rPr>
      </w:pPr>
      <w:r>
        <w:rPr>
          <w:rFonts w:ascii="Times New Roman" w:cs="Times New Roman" w:eastAsia="Times New Roman" w:hAnsi="Times New Roman"/>
          <w:sz w:val="22"/>
          <w:szCs w:val="22"/>
          <w:color w:val="auto"/>
        </w:rPr>
        <w:t>3.2.5. You may not engage in derivatives trading or hedging involving the Company’s securities or pledging or margining the Company’s common stock, which include trading in call or put options involving the Company’s securities as well as “short sales” of the Company’s securities. The Company prohibits these types of transactions involving the Company’s securities because of the complexity of reporting puts, calls, derivatives, and shorts as well as the difficulty of ensuring that these types of transactions are managed in accordance with applicable securities laws and the possibility of inadvertent violations of the securities laws or this Policy.</w:t>
      </w:r>
    </w:p>
    <w:p>
      <w:pPr>
        <w:spacing w:after="0" w:line="208" w:lineRule="exact"/>
        <w:rPr>
          <w:sz w:val="20"/>
          <w:szCs w:val="20"/>
          <w:color w:val="auto"/>
        </w:rPr>
      </w:pPr>
    </w:p>
    <w:p>
      <w:pPr>
        <w:jc w:val="both"/>
        <w:ind w:left="640"/>
        <w:spacing w:after="0" w:line="239" w:lineRule="auto"/>
        <w:rPr>
          <w:sz w:val="20"/>
          <w:szCs w:val="20"/>
          <w:color w:val="auto"/>
        </w:rPr>
      </w:pPr>
      <w:r>
        <w:rPr>
          <w:rFonts w:ascii="Times New Roman" w:cs="Times New Roman" w:eastAsia="Times New Roman" w:hAnsi="Times New Roman"/>
          <w:sz w:val="22"/>
          <w:szCs w:val="22"/>
          <w:color w:val="auto"/>
        </w:rPr>
        <w:t>3.2.6 You must promptly report to the Company’s Chief Executive Officer, Chief Financial Officer, or legal department any trading in the Company’s securities by Company personnel or disclosure of material non-public information by Company personnel that you believe may violate this Policy or the securities laws of the United States.</w:t>
      </w:r>
    </w:p>
    <w:p>
      <w:pPr>
        <w:spacing w:after="0" w:line="207" w:lineRule="exact"/>
        <w:rPr>
          <w:sz w:val="20"/>
          <w:szCs w:val="20"/>
          <w:color w:val="auto"/>
        </w:rPr>
      </w:pPr>
    </w:p>
    <w:p>
      <w:pPr>
        <w:jc w:val="both"/>
        <w:ind w:left="640"/>
        <w:spacing w:after="0" w:line="236" w:lineRule="auto"/>
        <w:rPr>
          <w:sz w:val="20"/>
          <w:szCs w:val="20"/>
          <w:color w:val="auto"/>
        </w:rPr>
      </w:pPr>
      <w:r>
        <w:rPr>
          <w:rFonts w:ascii="Times New Roman" w:cs="Times New Roman" w:eastAsia="Times New Roman" w:hAnsi="Times New Roman"/>
          <w:sz w:val="22"/>
          <w:szCs w:val="22"/>
          <w:color w:val="auto"/>
        </w:rPr>
        <w:t>3.2.7 As and when circumstances require, the Company’s Chief Financial Officer or legal department may implement additional restrictions (including “</w:t>
      </w:r>
      <w:r>
        <w:rPr>
          <w:rFonts w:ascii="Times New Roman" w:cs="Times New Roman" w:eastAsia="Times New Roman" w:hAnsi="Times New Roman"/>
          <w:sz w:val="22"/>
          <w:szCs w:val="22"/>
          <w:b w:val="1"/>
          <w:bCs w:val="1"/>
          <w:color w:val="auto"/>
        </w:rPr>
        <w:t>blackout periods</w:t>
      </w:r>
      <w:r>
        <w:rPr>
          <w:rFonts w:ascii="Times New Roman" w:cs="Times New Roman" w:eastAsia="Times New Roman" w:hAnsi="Times New Roman"/>
          <w:sz w:val="22"/>
          <w:szCs w:val="22"/>
          <w:color w:val="auto"/>
        </w:rPr>
        <w:t xml:space="preserve">” as discussed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on non-restricted employees who are asked to work on sensitive projects or transactions, or who gain access to material non-public information in connection with a specific project or transaction.</w:t>
      </w:r>
    </w:p>
    <w:p>
      <w:pPr>
        <w:spacing w:after="0" w:line="20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Certain Securities Acquired Through Company Equity Plans</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jc w:val="both"/>
        <w:ind w:left="640"/>
        <w:spacing w:after="0" w:line="236" w:lineRule="auto"/>
        <w:rPr>
          <w:sz w:val="20"/>
          <w:szCs w:val="20"/>
          <w:color w:val="auto"/>
        </w:rPr>
      </w:pPr>
      <w:r>
        <w:rPr>
          <w:rFonts w:ascii="Times New Roman" w:cs="Times New Roman" w:eastAsia="Times New Roman" w:hAnsi="Times New Roman"/>
          <w:sz w:val="22"/>
          <w:szCs w:val="22"/>
          <w:color w:val="auto"/>
        </w:rPr>
        <w:t xml:space="preserve">3.3.1 </w:t>
      </w:r>
      <w:r>
        <w:rPr>
          <w:rFonts w:ascii="Times New Roman" w:cs="Times New Roman" w:eastAsia="Times New Roman" w:hAnsi="Times New Roman"/>
          <w:sz w:val="22"/>
          <w:szCs w:val="22"/>
          <w:i w:val="1"/>
          <w:iCs w:val="1"/>
          <w:color w:val="auto"/>
        </w:rPr>
        <w:t>Stock Options</w:t>
      </w:r>
      <w:r>
        <w:rPr>
          <w:rFonts w:ascii="Times New Roman" w:cs="Times New Roman" w:eastAsia="Times New Roman" w:hAnsi="Times New Roman"/>
          <w:sz w:val="22"/>
          <w:szCs w:val="22"/>
          <w:color w:val="auto"/>
        </w:rPr>
        <w:t xml:space="preserve"> – All sales of securities acquired through the exercise of employee stock options granted by the Company are subject to this Policy. The exercise of employee stock options granted by the Company is exempt from this Policy if the exercise price and statutory tax withholdings are paid in cash or on a “net share basis” in which the Company withholds a portion of the shares underlying the options. This Policy, however, does apply in the case of a Broker-Assisted Cashless Exercise. A Broker-Assisted Cashless Exercise is the exercise of a stock option through a broker in which a portion of the exercised shares are sold into the market and the requisite amount of the sale proceeds are used to pay the exercise price, tax obligations, or both.</w:t>
      </w:r>
    </w:p>
    <w:p>
      <w:pPr>
        <w:spacing w:after="0" w:line="189" w:lineRule="exact"/>
        <w:rPr>
          <w:sz w:val="20"/>
          <w:szCs w:val="20"/>
          <w:color w:val="auto"/>
        </w:rPr>
      </w:pPr>
    </w:p>
    <w:p>
      <w:pPr>
        <w:jc w:val="both"/>
        <w:ind w:left="640"/>
        <w:spacing w:after="0" w:line="246" w:lineRule="auto"/>
        <w:rPr>
          <w:sz w:val="20"/>
          <w:szCs w:val="20"/>
          <w:color w:val="auto"/>
        </w:rPr>
      </w:pPr>
      <w:r>
        <w:rPr>
          <w:rFonts w:ascii="Times New Roman" w:cs="Times New Roman" w:eastAsia="Times New Roman" w:hAnsi="Times New Roman"/>
          <w:sz w:val="22"/>
          <w:szCs w:val="22"/>
          <w:color w:val="auto"/>
        </w:rPr>
        <w:t xml:space="preserve">3.3.2 </w:t>
      </w:r>
      <w:r>
        <w:rPr>
          <w:rFonts w:ascii="Times New Roman" w:cs="Times New Roman" w:eastAsia="Times New Roman" w:hAnsi="Times New Roman"/>
          <w:sz w:val="22"/>
          <w:szCs w:val="22"/>
          <w:i w:val="1"/>
          <w:iCs w:val="1"/>
          <w:color w:val="auto"/>
        </w:rPr>
        <w:t>Restricted Stock or Restricted Stock Units</w:t>
      </w:r>
      <w:r>
        <w:rPr>
          <w:rFonts w:ascii="Times New Roman" w:cs="Times New Roman" w:eastAsia="Times New Roman" w:hAnsi="Times New Roman"/>
          <w:sz w:val="22"/>
          <w:szCs w:val="22"/>
          <w:color w:val="auto"/>
        </w:rPr>
        <w:t xml:space="preserve"> – The prohibitions of this Policy do not apply to the deduction of shares by the Company to satisfy the statutory tax withholding liability upon the vesting or delivery of restricted stock or restricted stock units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80"/>
          </w:cols>
          <w:pgMar w:left="980" w:top="117"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22"/>
          <w:szCs w:val="22"/>
          <w:color w:val="auto"/>
        </w:rPr>
        <w:t xml:space="preserve">3.3.3. </w:t>
      </w:r>
      <w:r>
        <w:rPr>
          <w:rFonts w:ascii="Times New Roman" w:cs="Times New Roman" w:eastAsia="Times New Roman" w:hAnsi="Times New Roman"/>
          <w:sz w:val="22"/>
          <w:szCs w:val="22"/>
          <w:i w:val="1"/>
          <w:iCs w:val="1"/>
          <w:color w:val="auto"/>
        </w:rPr>
        <w:t>Gifts</w:t>
      </w:r>
      <w:r>
        <w:rPr>
          <w:rFonts w:ascii="Times New Roman" w:cs="Times New Roman" w:eastAsia="Times New Roman" w:hAnsi="Times New Roman"/>
          <w:sz w:val="22"/>
          <w:szCs w:val="22"/>
          <w:color w:val="auto"/>
        </w:rPr>
        <w:t xml:space="preserve"> – Bona fide gifts are not subject to this Policy as long as (a) the gift is made to an established charity or (b) the recipient of the gift is subject to this Policy.</w:t>
      </w:r>
    </w:p>
    <w:p>
      <w:pPr>
        <w:spacing w:after="0" w:line="18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Safeguarding Material Non-Public Information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1300"/>
        <w:spacing w:after="0" w:line="244" w:lineRule="auto"/>
        <w:rPr>
          <w:sz w:val="20"/>
          <w:szCs w:val="20"/>
          <w:color w:val="auto"/>
        </w:rPr>
      </w:pPr>
      <w:r>
        <w:rPr>
          <w:rFonts w:ascii="Times New Roman" w:cs="Times New Roman" w:eastAsia="Times New Roman" w:hAnsi="Times New Roman"/>
          <w:sz w:val="22"/>
          <w:szCs w:val="22"/>
          <w:color w:val="auto"/>
        </w:rPr>
        <w:t>3.4.1 Care must be taken to safeguard the confidentiality of internal information. For example, sensitive documents should not be left lying on desks, and visitors should not be left unattended in offices containing internal Company documents.</w:t>
      </w:r>
    </w:p>
    <w:p>
      <w:pPr>
        <w:spacing w:after="0" w:line="187" w:lineRule="exact"/>
        <w:rPr>
          <w:sz w:val="20"/>
          <w:szCs w:val="20"/>
          <w:color w:val="auto"/>
        </w:rPr>
      </w:pPr>
    </w:p>
    <w:p>
      <w:pPr>
        <w:jc w:val="both"/>
        <w:ind w:left="1300"/>
        <w:spacing w:after="0" w:line="235" w:lineRule="auto"/>
        <w:rPr>
          <w:sz w:val="20"/>
          <w:szCs w:val="20"/>
          <w:color w:val="auto"/>
        </w:rPr>
      </w:pPr>
      <w:r>
        <w:rPr>
          <w:rFonts w:ascii="Times New Roman" w:cs="Times New Roman" w:eastAsia="Times New Roman" w:hAnsi="Times New Roman"/>
          <w:sz w:val="22"/>
          <w:szCs w:val="22"/>
          <w:color w:val="auto"/>
        </w:rPr>
        <w:t>3.4.2 Before material information relating to the Company or its business has been disclosed to the general public, it must be kept in strict confidence. Such information should be discussed only with persons who are employed by or represent the Company who have a “need to know” and should be confined to as small a group as possible. The utmost care and circumspection must be exercised at all times. Therefore, conversations in public places, such as elevators, restaurants, and airplanes, should be limited to matters that do not involve information of a sensitive or confidential nature and conversations on mobile phones should be conducted with care. In addition, you should not transmit confidential information through the Internet, including social media sites, blogs, or online forums, or any electronic mail system that is not secure.</w:t>
      </w:r>
    </w:p>
    <w:p>
      <w:pPr>
        <w:spacing w:after="0" w:line="205" w:lineRule="exact"/>
        <w:rPr>
          <w:sz w:val="20"/>
          <w:szCs w:val="20"/>
          <w:color w:val="auto"/>
        </w:rPr>
      </w:pPr>
    </w:p>
    <w:p>
      <w:pPr>
        <w:jc w:val="both"/>
        <w:ind w:left="1300"/>
        <w:spacing w:after="0" w:line="234" w:lineRule="auto"/>
        <w:rPr>
          <w:sz w:val="20"/>
          <w:szCs w:val="20"/>
          <w:color w:val="auto"/>
        </w:rPr>
      </w:pPr>
      <w:r>
        <w:rPr>
          <w:rFonts w:ascii="Times New Roman" w:cs="Times New Roman" w:eastAsia="Times New Roman" w:hAnsi="Times New Roman"/>
          <w:sz w:val="22"/>
          <w:szCs w:val="22"/>
          <w:color w:val="auto"/>
        </w:rPr>
        <w:t>3.4.3 To ensure the Company’s confidences are protected to the maximum extent possible, no individuals other than specifically authorized personnel may release material information to the public or respond to inquiries from the media, analysts, or others outside the Company. If you are contacted by the media or by an analyst seeking information about the Company or any of its subsidiaries and if you have not been expressly authorized by the Company’s Chief Executive Officer or Chief Financial Officer to provide information to the media or to analysts, you should refer the call to the Company’s Chief Financial Officer, or Chief Executive Officer.</w:t>
      </w:r>
    </w:p>
    <w:p>
      <w:pPr>
        <w:spacing w:after="0" w:line="204" w:lineRule="exact"/>
        <w:rPr>
          <w:sz w:val="20"/>
          <w:szCs w:val="20"/>
          <w:color w:val="auto"/>
        </w:rPr>
      </w:pPr>
    </w:p>
    <w:p>
      <w:pPr>
        <w:ind w:left="660" w:right="1140" w:hanging="652"/>
        <w:spacing w:after="0" w:line="262" w:lineRule="auto"/>
        <w:tabs>
          <w:tab w:leader="none" w:pos="378"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RESTRICTIONS FOR DIRECTORS, SECTION 16 OFFICERS, AND/or RESTRICTED EMPLOYEES</w:t>
      </w:r>
    </w:p>
    <w:p>
      <w:pPr>
        <w:spacing w:after="0" w:line="18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Applicability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Except as specifically set forth below,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applies to all Directors, Section 16 officers, and restricted employees as well as any family members who reside in the household of any of them.</w:t>
      </w:r>
    </w:p>
    <w:p>
      <w:pPr>
        <w:spacing w:after="0" w:line="185" w:lineRule="exact"/>
        <w:rPr>
          <w:sz w:val="20"/>
          <w:szCs w:val="20"/>
          <w:color w:val="auto"/>
        </w:rPr>
      </w:pPr>
    </w:p>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Blackout Periods</w:t>
      </w:r>
      <w:r>
        <w:rPr>
          <w:rFonts w:ascii="Times New Roman" w:cs="Times New Roman" w:eastAsia="Times New Roman" w:hAnsi="Times New Roman"/>
          <w:sz w:val="22"/>
          <w:szCs w:val="22"/>
          <w:color w:val="auto"/>
        </w:rPr>
        <w:t>. To avoid improper conduct or the appearance of impropriety, Directors, Section 16 officers, and restricted employees are prohibited from trading in the Company’s securities and entering into, amending, or modifying Rule 10b5-1 Trading Plans during times when the Company is most likely to have (or is presumed to have) material non-public information available. These “blackout periods” (also called “</w:t>
      </w:r>
      <w:r>
        <w:rPr>
          <w:rFonts w:ascii="Times New Roman" w:cs="Times New Roman" w:eastAsia="Times New Roman" w:hAnsi="Times New Roman"/>
          <w:sz w:val="22"/>
          <w:szCs w:val="22"/>
          <w:b w:val="1"/>
          <w:bCs w:val="1"/>
          <w:color w:val="auto"/>
        </w:rPr>
        <w:t>trading freezes</w:t>
      </w:r>
      <w:r>
        <w:rPr>
          <w:rFonts w:ascii="Times New Roman" w:cs="Times New Roman" w:eastAsia="Times New Roman" w:hAnsi="Times New Roman"/>
          <w:sz w:val="22"/>
          <w:szCs w:val="22"/>
          <w:color w:val="auto"/>
        </w:rPr>
        <w:t>”) will be imposed because these persons generally have access to a range of financial and other sensitive information about the Company. These blackout periods may vary in length.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17"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640"/>
        <w:spacing w:after="0" w:line="238" w:lineRule="auto"/>
        <w:rPr>
          <w:sz w:val="20"/>
          <w:szCs w:val="20"/>
          <w:color w:val="auto"/>
        </w:rPr>
      </w:pPr>
      <w:r>
        <w:rPr>
          <w:rFonts w:ascii="Times New Roman" w:cs="Times New Roman" w:eastAsia="Times New Roman" w:hAnsi="Times New Roman"/>
          <w:sz w:val="22"/>
          <w:szCs w:val="22"/>
          <w:color w:val="auto"/>
        </w:rPr>
        <w:t xml:space="preserve">4.2.1 </w:t>
      </w:r>
      <w:r>
        <w:rPr>
          <w:rFonts w:ascii="Times New Roman" w:cs="Times New Roman" w:eastAsia="Times New Roman" w:hAnsi="Times New Roman"/>
          <w:sz w:val="22"/>
          <w:szCs w:val="22"/>
          <w:i w:val="1"/>
          <w:iCs w:val="1"/>
          <w:color w:val="auto"/>
        </w:rPr>
        <w:t>Quarterly Blackout Periods</w:t>
      </w:r>
      <w:r>
        <w:rPr>
          <w:rFonts w:ascii="Times New Roman" w:cs="Times New Roman" w:eastAsia="Times New Roman" w:hAnsi="Times New Roman"/>
          <w:sz w:val="22"/>
          <w:szCs w:val="22"/>
          <w:color w:val="auto"/>
        </w:rPr>
        <w:t xml:space="preserve"> – Trading in the Company’s securities and entering into, amending, or modifying Rule 10b5-1 Trading Plans are prohibited during the period beginning on the fourteenth business day following the public release of the Company’s quarterly earnings for the Company’s preceding fiscal quarter and ending 72 hours after the public release of the Company’s quarterly earnings of the Company’s current fiscal quarter.</w:t>
      </w:r>
    </w:p>
    <w:p>
      <w:pPr>
        <w:spacing w:after="0" w:line="204" w:lineRule="exact"/>
        <w:rPr>
          <w:sz w:val="20"/>
          <w:szCs w:val="20"/>
          <w:color w:val="auto"/>
        </w:rPr>
      </w:pPr>
    </w:p>
    <w:p>
      <w:pPr>
        <w:jc w:val="both"/>
        <w:ind w:left="640"/>
        <w:spacing w:after="0" w:line="237" w:lineRule="auto"/>
        <w:rPr>
          <w:sz w:val="20"/>
          <w:szCs w:val="20"/>
          <w:color w:val="auto"/>
        </w:rPr>
      </w:pPr>
      <w:r>
        <w:rPr>
          <w:rFonts w:ascii="Times New Roman" w:cs="Times New Roman" w:eastAsia="Times New Roman" w:hAnsi="Times New Roman"/>
          <w:sz w:val="22"/>
          <w:szCs w:val="22"/>
          <w:color w:val="auto"/>
        </w:rPr>
        <w:t xml:space="preserve">4.2.2 </w:t>
      </w:r>
      <w:r>
        <w:rPr>
          <w:rFonts w:ascii="Times New Roman" w:cs="Times New Roman" w:eastAsia="Times New Roman" w:hAnsi="Times New Roman"/>
          <w:sz w:val="22"/>
          <w:szCs w:val="22"/>
          <w:i w:val="1"/>
          <w:iCs w:val="1"/>
          <w:color w:val="auto"/>
        </w:rPr>
        <w:t>Rule 10b5-1 Trading Plan Blackout Periods for Directors and Section 16 Officers</w:t>
      </w:r>
      <w:r>
        <w:rPr>
          <w:rFonts w:ascii="Times New Roman" w:cs="Times New Roman" w:eastAsia="Times New Roman" w:hAnsi="Times New Roman"/>
          <w:sz w:val="22"/>
          <w:szCs w:val="22"/>
          <w:color w:val="auto"/>
        </w:rPr>
        <w:t xml:space="preserve"> – If you are a Director or a Section 16 officer, you may not trade, even in accordance with a previously approved Rule 10b5-1 Trading Plan, commencing on the first day of the two-week period prior to an earnings announcement by the Company and continuing until 48 hours thereafter.</w:t>
      </w:r>
    </w:p>
    <w:p>
      <w:pPr>
        <w:spacing w:after="0" w:line="202" w:lineRule="exact"/>
        <w:rPr>
          <w:sz w:val="20"/>
          <w:szCs w:val="20"/>
          <w:color w:val="auto"/>
        </w:rPr>
      </w:pPr>
    </w:p>
    <w:p>
      <w:pPr>
        <w:jc w:val="both"/>
        <w:ind w:left="640"/>
        <w:spacing w:after="0" w:line="241" w:lineRule="auto"/>
        <w:rPr>
          <w:sz w:val="20"/>
          <w:szCs w:val="20"/>
          <w:color w:val="auto"/>
        </w:rPr>
      </w:pPr>
      <w:r>
        <w:rPr>
          <w:rFonts w:ascii="Times New Roman" w:cs="Times New Roman" w:eastAsia="Times New Roman" w:hAnsi="Times New Roman"/>
          <w:sz w:val="22"/>
          <w:szCs w:val="22"/>
          <w:color w:val="auto"/>
        </w:rPr>
        <w:t xml:space="preserve">4.2.3 </w:t>
      </w:r>
      <w:r>
        <w:rPr>
          <w:rFonts w:ascii="Times New Roman" w:cs="Times New Roman" w:eastAsia="Times New Roman" w:hAnsi="Times New Roman"/>
          <w:sz w:val="22"/>
          <w:szCs w:val="22"/>
          <w:i w:val="1"/>
          <w:iCs w:val="1"/>
          <w:color w:val="auto"/>
        </w:rPr>
        <w:t>Other Blackout Periods</w:t>
      </w:r>
      <w:r>
        <w:rPr>
          <w:rFonts w:ascii="Times New Roman" w:cs="Times New Roman" w:eastAsia="Times New Roman" w:hAnsi="Times New Roman"/>
          <w:sz w:val="22"/>
          <w:szCs w:val="22"/>
          <w:color w:val="auto"/>
        </w:rPr>
        <w:t xml:space="preserve"> – The Company, from time to time, may impose additional special blackout periods on Directors, Section 16 officers, and restricted employees as a result of significant unannounced corporate developments. If the Company imposes a special blackout period, it will notify the Directors, Section 16 officers, and restricted employees affected.</w:t>
      </w:r>
    </w:p>
    <w:p>
      <w:pPr>
        <w:spacing w:after="0" w:line="20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Trading Windows</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1"/>
          <w:szCs w:val="21"/>
          <w:color w:val="auto"/>
        </w:rPr>
        <w:t xml:space="preserve">4.3.1 </w:t>
      </w:r>
      <w:r>
        <w:rPr>
          <w:rFonts w:ascii="Times New Roman" w:cs="Times New Roman" w:eastAsia="Times New Roman" w:hAnsi="Times New Roman"/>
          <w:sz w:val="21"/>
          <w:szCs w:val="21"/>
          <w:i w:val="1"/>
          <w:iCs w:val="1"/>
          <w:color w:val="auto"/>
        </w:rPr>
        <w:t>Quarterly Trading Windows</w:t>
      </w:r>
      <w:r>
        <w:rPr>
          <w:rFonts w:ascii="Times New Roman" w:cs="Times New Roman" w:eastAsia="Times New Roman" w:hAnsi="Times New Roman"/>
          <w:sz w:val="21"/>
          <w:szCs w:val="21"/>
          <w:color w:val="auto"/>
        </w:rPr>
        <w:t xml:space="preserve"> – Generally, you may trade in the Company’s securities or enter into, amend, or modify a Rule 10b5-1 Trading Plan during the period beginning 48 hours after the public release of the Company’s quarterly and annual earnings and ending at the close of the market on the last day of the calendar month immediately preceding the Company’s next fiscal quarter end (the “</w:t>
      </w:r>
      <w:r>
        <w:rPr>
          <w:rFonts w:ascii="Times New Roman" w:cs="Times New Roman" w:eastAsia="Times New Roman" w:hAnsi="Times New Roman"/>
          <w:sz w:val="21"/>
          <w:szCs w:val="21"/>
          <w:b w:val="1"/>
          <w:bCs w:val="1"/>
          <w:color w:val="auto"/>
        </w:rPr>
        <w:t>trading window</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open window</w:t>
      </w:r>
      <w:r>
        <w:rPr>
          <w:rFonts w:ascii="Times New Roman" w:cs="Times New Roman" w:eastAsia="Times New Roman" w:hAnsi="Times New Roman"/>
          <w:sz w:val="21"/>
          <w:szCs w:val="21"/>
          <w:color w:val="auto"/>
        </w:rPr>
        <w:t>”).</w:t>
      </w:r>
    </w:p>
    <w:p>
      <w:pPr>
        <w:spacing w:after="0" w:line="191"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4.3.2</w:t>
      </w:r>
      <w:r>
        <w:rPr>
          <w:sz w:val="20"/>
          <w:szCs w:val="20"/>
          <w:color w:val="auto"/>
        </w:rPr>
        <w:tab/>
      </w:r>
      <w:r>
        <w:rPr>
          <w:rFonts w:ascii="Times New Roman" w:cs="Times New Roman" w:eastAsia="Times New Roman" w:hAnsi="Times New Roman"/>
          <w:sz w:val="21"/>
          <w:szCs w:val="21"/>
          <w:i w:val="1"/>
          <w:iCs w:val="1"/>
          <w:color w:val="auto"/>
        </w:rPr>
        <w:t>Exceptions</w:t>
      </w:r>
    </w:p>
    <w:p>
      <w:pPr>
        <w:spacing w:after="0" w:line="237" w:lineRule="exact"/>
        <w:rPr>
          <w:sz w:val="20"/>
          <w:szCs w:val="20"/>
          <w:color w:val="auto"/>
        </w:rPr>
      </w:pPr>
    </w:p>
    <w:p>
      <w:pPr>
        <w:jc w:val="both"/>
        <w:ind w:left="1300"/>
        <w:spacing w:after="0" w:line="239" w:lineRule="auto"/>
        <w:rPr>
          <w:sz w:val="20"/>
          <w:szCs w:val="20"/>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4.2.2</w:t>
      </w:r>
      <w:r>
        <w:rPr>
          <w:rFonts w:ascii="Times New Roman" w:cs="Times New Roman" w:eastAsia="Times New Roman" w:hAnsi="Times New Roman"/>
          <w:sz w:val="22"/>
          <w:szCs w:val="22"/>
          <w:color w:val="auto"/>
        </w:rPr>
        <w:t xml:space="preserve"> for Directors and Section 16 officers, trading windows are not applicable with respect to trading pursuant to a Rule 10b5-1 Trading Plan, provided you have obtained pre-clearance from the Company’s Chief Financial Officer or legal department that such trading plan would not violate this Policy.</w:t>
      </w:r>
    </w:p>
    <w:p>
      <w:pPr>
        <w:spacing w:after="0" w:line="207" w:lineRule="exact"/>
        <w:rPr>
          <w:sz w:val="20"/>
          <w:szCs w:val="20"/>
          <w:color w:val="auto"/>
        </w:rPr>
      </w:pPr>
    </w:p>
    <w:p>
      <w:pPr>
        <w:ind w:left="640"/>
        <w:spacing w:after="0" w:line="258" w:lineRule="auto"/>
        <w:rPr>
          <w:sz w:val="20"/>
          <w:szCs w:val="20"/>
          <w:color w:val="auto"/>
        </w:rPr>
      </w:pPr>
      <w:r>
        <w:rPr>
          <w:rFonts w:ascii="Times New Roman" w:cs="Times New Roman" w:eastAsia="Times New Roman" w:hAnsi="Times New Roman"/>
          <w:sz w:val="22"/>
          <w:szCs w:val="22"/>
          <w:color w:val="auto"/>
        </w:rPr>
        <w:t>4.3.3. In certain very limited circumstances, the Company may waive the requirement that trades be made and Rule 10b5-1 Trading Plans be entered into, amended, or modified only during the trading window.</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Restricted Employees</w:t>
      </w:r>
      <w:r>
        <w:rPr>
          <w:rFonts w:ascii="Times New Roman" w:cs="Times New Roman" w:eastAsia="Times New Roman" w:hAnsi="Times New Roman"/>
          <w:sz w:val="22"/>
          <w:szCs w:val="22"/>
          <w:color w:val="auto"/>
        </w:rPr>
        <w:t>. If you are a restricted employee, except for trades made in accordance with an existing Rule 10b5-1 Trading Plan, you may trade in securities of the Company only (a) during a trading window, subject to limited case-by-case waivers by the Company’s Chief Financial Officer or legal department and (b) after you have obtained pre-clearance from the Company’s Chief Financial Officer or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80"/>
          </w:cols>
          <w:pgMar w:left="980" w:top="117"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u w:val="single" w:color="auto"/>
          <w:color w:val="auto"/>
        </w:rPr>
        <w:t>Directors and Section 16 Officers</w:t>
      </w:r>
      <w:r>
        <w:rPr>
          <w:rFonts w:ascii="Times New Roman" w:cs="Times New Roman" w:eastAsia="Times New Roman" w:hAnsi="Times New Roman"/>
          <w:sz w:val="21"/>
          <w:szCs w:val="21"/>
          <w:color w:val="auto"/>
        </w:rPr>
        <w:t>. If you are a Director or a Section 16 officer:</w:t>
      </w:r>
    </w:p>
    <w:p>
      <w:pPr>
        <w:spacing w:after="0" w:line="233" w:lineRule="exact"/>
        <w:rPr>
          <w:sz w:val="20"/>
          <w:szCs w:val="20"/>
          <w:color w:val="auto"/>
        </w:rPr>
      </w:pPr>
    </w:p>
    <w:p>
      <w:pPr>
        <w:jc w:val="both"/>
        <w:ind w:left="640"/>
        <w:spacing w:after="0" w:line="232" w:lineRule="auto"/>
        <w:rPr>
          <w:sz w:val="20"/>
          <w:szCs w:val="20"/>
          <w:color w:val="auto"/>
        </w:rPr>
      </w:pPr>
      <w:r>
        <w:rPr>
          <w:rFonts w:ascii="Times New Roman" w:cs="Times New Roman" w:eastAsia="Times New Roman" w:hAnsi="Times New Roman"/>
          <w:sz w:val="22"/>
          <w:szCs w:val="22"/>
          <w:color w:val="auto"/>
        </w:rPr>
        <w:t xml:space="preserve">4.5.1 In an </w:t>
      </w:r>
      <w:r>
        <w:rPr>
          <w:rFonts w:ascii="Times New Roman" w:cs="Times New Roman" w:eastAsia="Times New Roman" w:hAnsi="Times New Roman"/>
          <w:sz w:val="22"/>
          <w:szCs w:val="22"/>
          <w:u w:val="single" w:color="auto"/>
          <w:color w:val="auto"/>
        </w:rPr>
        <w:t>open</w:t>
      </w:r>
      <w:r>
        <w:rPr>
          <w:rFonts w:ascii="Times New Roman" w:cs="Times New Roman" w:eastAsia="Times New Roman" w:hAnsi="Times New Roman"/>
          <w:sz w:val="22"/>
          <w:szCs w:val="22"/>
          <w:color w:val="auto"/>
        </w:rPr>
        <w:t xml:space="preserve"> window for transactions that will be completed in not less than two days following the placement of the order with the transacting broker (an “</w:t>
      </w:r>
      <w:r>
        <w:rPr>
          <w:rFonts w:ascii="Times New Roman" w:cs="Times New Roman" w:eastAsia="Times New Roman" w:hAnsi="Times New Roman"/>
          <w:sz w:val="22"/>
          <w:szCs w:val="22"/>
          <w:b w:val="1"/>
          <w:bCs w:val="1"/>
          <w:color w:val="auto"/>
        </w:rPr>
        <w:t>Immediate Trade</w:t>
      </w:r>
      <w:r>
        <w:rPr>
          <w:rFonts w:ascii="Times New Roman" w:cs="Times New Roman" w:eastAsia="Times New Roman" w:hAnsi="Times New Roman"/>
          <w:sz w:val="22"/>
          <w:szCs w:val="22"/>
          <w:color w:val="auto"/>
        </w:rPr>
        <w:t>”) provided that (a) the transaction is done through the broker selected by the Company for such transactions (the “</w:t>
      </w:r>
      <w:r>
        <w:rPr>
          <w:rFonts w:ascii="Times New Roman" w:cs="Times New Roman" w:eastAsia="Times New Roman" w:hAnsi="Times New Roman"/>
          <w:sz w:val="22"/>
          <w:szCs w:val="22"/>
          <w:b w:val="1"/>
          <w:bCs w:val="1"/>
          <w:color w:val="auto"/>
        </w:rPr>
        <w:t>Designated Broker</w:t>
      </w:r>
      <w:r>
        <w:rPr>
          <w:rFonts w:ascii="Times New Roman" w:cs="Times New Roman" w:eastAsia="Times New Roman" w:hAnsi="Times New Roman"/>
          <w:sz w:val="22"/>
          <w:szCs w:val="22"/>
          <w:color w:val="auto"/>
        </w:rPr>
        <w:t>,” currently E-Trade), and (b) all stock of the Company owned by such Director or Section 16 Officer and held in any account by the Designated Broker is treated by the Designated Broker as available for sale only during an open window, (c) the Director or Section 16 Officer will be responsible directly or through the broker to report, not later than the opening of market on the day following the transaction, the date of the transaction, the number of shares involved in the transaction, and the price per share of the shares involved in the transaction, and (d) the Director or Section 16 Officer must not possess any material non-public information regarding the Company at the time of the transaction.</w:t>
      </w:r>
    </w:p>
    <w:p>
      <w:pPr>
        <w:spacing w:after="0" w:line="214" w:lineRule="exact"/>
        <w:rPr>
          <w:sz w:val="20"/>
          <w:szCs w:val="20"/>
          <w:color w:val="auto"/>
        </w:rPr>
      </w:pPr>
    </w:p>
    <w:p>
      <w:pPr>
        <w:jc w:val="both"/>
        <w:ind w:left="640"/>
        <w:spacing w:after="0" w:line="232" w:lineRule="auto"/>
        <w:rPr>
          <w:sz w:val="20"/>
          <w:szCs w:val="20"/>
          <w:color w:val="auto"/>
        </w:rPr>
      </w:pPr>
      <w:r>
        <w:rPr>
          <w:rFonts w:ascii="Times New Roman" w:cs="Times New Roman" w:eastAsia="Times New Roman" w:hAnsi="Times New Roman"/>
          <w:sz w:val="22"/>
          <w:szCs w:val="22"/>
          <w:color w:val="auto"/>
        </w:rPr>
        <w:t>4.5.2 In an open window for transactions that will be completed in not less than two days following the placement of the order with the transacting broker (an “Immediate Trade”) provided that (a) the Director or Section 16 Officer has requested and received an e-mail from either the Chief Financial Officer or Chief Executive Officer of the Company that the Company is in an open window for the sale of a designated number of shares, (b) the broker has agreed in writing to the Company that (i) it will not complete a transaction for the Director or Section 16 Officer until it has received a copy of the foregoing e-mail confirming that there is an open window and (ii) the broker will report the date of the transaction, the number of shares involved in the transaction, and the price per share of the shares involved in the transaction, (c) the Director or Section 16 Officer will be responsible directly or through the broker to report, not later than the opening of market on the day following the transaction, the date of the transaction, the number of shares involved in the transaction, and the price per share of the shares involved in the transaction, and (d) the Director or Section 16 Officer must not possess any material non-public information regarding the Company.</w:t>
      </w:r>
    </w:p>
    <w:p>
      <w:pPr>
        <w:spacing w:after="0" w:line="211" w:lineRule="exact"/>
        <w:rPr>
          <w:sz w:val="20"/>
          <w:szCs w:val="20"/>
          <w:color w:val="auto"/>
        </w:rPr>
      </w:pPr>
    </w:p>
    <w:p>
      <w:pPr>
        <w:jc w:val="both"/>
        <w:ind w:left="640"/>
        <w:spacing w:after="0" w:line="247" w:lineRule="exact"/>
        <w:rPr>
          <w:sz w:val="20"/>
          <w:szCs w:val="20"/>
          <w:color w:val="auto"/>
        </w:rPr>
      </w:pPr>
      <w:r>
        <w:rPr>
          <w:rFonts w:ascii="Times New Roman" w:cs="Times New Roman" w:eastAsia="Times New Roman" w:hAnsi="Times New Roman"/>
          <w:sz w:val="22"/>
          <w:szCs w:val="22"/>
          <w:color w:val="auto"/>
        </w:rPr>
        <w:t xml:space="preserve">4.5.3 Through a Rule 10b5-1 Trading Plan (as described below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that may be entered into (a) during an open window, subject to limited case-by-case waivers by the Company’s Chief Financial Officer after consultation with legal department and (b) after you have obtained pre-clearance of the Rule 10b5-1 Trading Plan from the Company’s Chief Financial Officer. The Company’s Chief Financial Officer and the Company’s legal department must obtain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approval from the Company’s Chief Executive Officer for her or his own Rule 10b5-1 Trading Plan).</w:t>
      </w:r>
    </w:p>
    <w:p>
      <w:pPr>
        <w:spacing w:after="0" w:line="208" w:lineRule="exact"/>
        <w:rPr>
          <w:sz w:val="20"/>
          <w:szCs w:val="20"/>
          <w:color w:val="auto"/>
        </w:rPr>
      </w:pPr>
    </w:p>
    <w:p>
      <w:pPr>
        <w:jc w:val="both"/>
        <w:ind w:left="640"/>
        <w:spacing w:after="0" w:line="244" w:lineRule="auto"/>
        <w:rPr>
          <w:sz w:val="20"/>
          <w:szCs w:val="20"/>
          <w:color w:val="auto"/>
        </w:rPr>
      </w:pPr>
      <w:r>
        <w:rPr>
          <w:rFonts w:ascii="Times New Roman" w:cs="Times New Roman" w:eastAsia="Times New Roman" w:hAnsi="Times New Roman"/>
          <w:sz w:val="22"/>
          <w:szCs w:val="22"/>
          <w:color w:val="auto"/>
        </w:rPr>
        <w:t xml:space="preserve">4.5.4 Pursuant to </w:t>
      </w:r>
      <w:r>
        <w:rPr>
          <w:rFonts w:ascii="Times New Roman" w:cs="Times New Roman" w:eastAsia="Times New Roman" w:hAnsi="Times New Roman"/>
          <w:sz w:val="22"/>
          <w:szCs w:val="22"/>
          <w:u w:val="single" w:color="auto"/>
          <w:color w:val="auto"/>
        </w:rPr>
        <w:t>Section 4.2.2</w:t>
      </w:r>
      <w:r>
        <w:rPr>
          <w:rFonts w:ascii="Times New Roman" w:cs="Times New Roman" w:eastAsia="Times New Roman" w:hAnsi="Times New Roman"/>
          <w:sz w:val="22"/>
          <w:szCs w:val="22"/>
          <w:color w:val="auto"/>
        </w:rPr>
        <w:t>, you may not trade, even in accordance with a previously approved Rule 10b5-1 trading plan, commencing on the first day of the two-week period prior to an earnings announcement by the Company and continuing until 48 business hours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580"/>
          </w:cols>
          <w:pgMar w:left="980" w:top="117"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80" w:hanging="372"/>
        <w:spacing w:after="0"/>
        <w:tabs>
          <w:tab w:leader="none" w:pos="38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RULE 10B5-1 TRADING PLANS</w:t>
      </w:r>
    </w:p>
    <w:p>
      <w:pPr>
        <w:spacing w:after="0" w:line="237" w:lineRule="exact"/>
        <w:rPr>
          <w:sz w:val="20"/>
          <w:szCs w:val="20"/>
          <w:color w:val="auto"/>
        </w:rPr>
      </w:pPr>
    </w:p>
    <w:p>
      <w:pPr>
        <w:jc w:val="both"/>
        <w:ind w:left="660"/>
        <w:spacing w:after="0" w:line="246" w:lineRule="exact"/>
        <w:rPr>
          <w:sz w:val="20"/>
          <w:szCs w:val="20"/>
          <w:color w:val="auto"/>
        </w:rPr>
      </w:pPr>
      <w:r>
        <w:rPr>
          <w:rFonts w:ascii="Times New Roman" w:cs="Times New Roman" w:eastAsia="Times New Roman" w:hAnsi="Times New Roman"/>
          <w:sz w:val="22"/>
          <w:szCs w:val="22"/>
          <w:color w:val="auto"/>
        </w:rPr>
        <w:t xml:space="preserve">5.1 If you are a Director, Section 16 officer, or employee (non-restricted or restricted) and you are not effecting an Immediate Trade as set forth in </w:t>
      </w:r>
      <w:r>
        <w:rPr>
          <w:rFonts w:ascii="Times New Roman" w:cs="Times New Roman" w:eastAsia="Times New Roman" w:hAnsi="Times New Roman"/>
          <w:sz w:val="22"/>
          <w:szCs w:val="22"/>
          <w:u w:val="single" w:color="auto"/>
          <w:color w:val="auto"/>
        </w:rPr>
        <w:t>Section 4.5.1.1</w:t>
      </w:r>
      <w:r>
        <w:rPr>
          <w:rFonts w:ascii="Times New Roman" w:cs="Times New Roman" w:eastAsia="Times New Roman" w:hAnsi="Times New Roman"/>
          <w:sz w:val="22"/>
          <w:szCs w:val="22"/>
          <w:color w:val="auto"/>
        </w:rPr>
        <w:t xml:space="preserve"> above, you may (i) enter into, amend, or modify a Rule 10b5-1 Trading Plan at any time you are not in possession of material non-public information about the Company and (ii) enter into, amend, or modify a Rule 10b5-1 Trading Plan only after you have obtained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clearance from the Company’s Chief Financial Officer or legal department that such Rule 10b5-1 Trading Plan would not violate this Policy (“</w:t>
      </w:r>
      <w:r>
        <w:rPr>
          <w:rFonts w:ascii="Times New Roman" w:cs="Times New Roman" w:eastAsia="Times New Roman" w:hAnsi="Times New Roman"/>
          <w:sz w:val="22"/>
          <w:szCs w:val="22"/>
          <w:b w:val="1"/>
          <w:bCs w:val="1"/>
          <w:color w:val="auto"/>
        </w:rPr>
        <w:t>pre-clearance</w:t>
      </w:r>
      <w:r>
        <w:rPr>
          <w:rFonts w:ascii="Times New Roman" w:cs="Times New Roman" w:eastAsia="Times New Roman" w:hAnsi="Times New Roman"/>
          <w:sz w:val="22"/>
          <w:szCs w:val="22"/>
          <w:color w:val="auto"/>
        </w:rPr>
        <w:t xml:space="preserve">”). Even if you receive pre-clearance, you may enter into, amend, or modify a Rule 10b5-1 Trading Plan only so long as you are not in possession of material non-public information about the Company. If you are a Director, Section 16 officer, or restricted employee, you are also subject to the provisions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with respect to entering into, amending, or modifying a Rule 10b5-1 Trading Plan.</w:t>
      </w:r>
    </w:p>
    <w:p>
      <w:pPr>
        <w:spacing w:after="0" w:line="206"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 xml:space="preserve">5.2 No trade shall be made pursuant to a Rule 10b5-1 Trading Plan by or on behalf of any Section 16 officer or employee (restricted or unrestricted) until (a) the date the Rule 10b5-1 Trading Plan (or any amendment or modification thereof) is cleared by the Company’s Chief Financial Officer or legal department (or the Company’s Chief Executive Officer for the Chief Financial Officer or legal department’s own Rule 10b5-1 Trading Plan) if such plan (or any amendment or modification thereof) is cleared by the Company’s Chief Financial Officer, legal department or Chief Executive Officer, as applicable, on a date that is during an “open window” (as defined in </w:t>
      </w:r>
      <w:r>
        <w:rPr>
          <w:rFonts w:ascii="Times New Roman" w:cs="Times New Roman" w:eastAsia="Times New Roman" w:hAnsi="Times New Roman"/>
          <w:sz w:val="22"/>
          <w:szCs w:val="22"/>
          <w:u w:val="single" w:color="auto"/>
          <w:color w:val="auto"/>
        </w:rPr>
        <w:t>Section 4.3.1</w:t>
      </w:r>
      <w:r>
        <w:rPr>
          <w:rFonts w:ascii="Times New Roman" w:cs="Times New Roman" w:eastAsia="Times New Roman" w:hAnsi="Times New Roman"/>
          <w:sz w:val="22"/>
          <w:szCs w:val="22"/>
          <w:color w:val="auto"/>
        </w:rPr>
        <w:t>); or (b) the first day of the next open window if the Rule 10b5-1 Trading Plan (or any amendment or modification thereof) is cleared by the Company’s Chief Financial Officer, Chief Executive Officer, or legal department, as applicable, on a date that is not during an open window.</w:t>
      </w:r>
    </w:p>
    <w:p>
      <w:pPr>
        <w:spacing w:after="0" w:line="206"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5.3 If you have a previously approved Rule 10b5-1 Trading Plan in place, the Company will not sign any request to amend or modify such plan following any date you cease being a Director, Section 16 officer, or employee, subject to limited case-by-case waivers by the Company’s Chief Financial Officer after consultation with the Company’s legal department. Keep in mind, however, you may not trade in the Company’s securities while in possession of material non-public information even after you are no longer are a Director, Section 16 officer, or employee.</w:t>
      </w:r>
    </w:p>
    <w:p>
      <w:pPr>
        <w:spacing w:after="0" w:line="20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21"/>
          <w:szCs w:val="21"/>
          <w:color w:val="auto"/>
        </w:rPr>
        <w:t>5.4 You are prohibited from having more than one Rule 10b5-1 Trading Plan in effect at any time, subject to limited case-by-case waivers by the Company’s Chief Financial Officer after consultation with the Company’s legal department.</w:t>
      </w:r>
    </w:p>
    <w:p>
      <w:pPr>
        <w:spacing w:after="0" w:line="158" w:lineRule="exact"/>
        <w:rPr>
          <w:sz w:val="20"/>
          <w:szCs w:val="20"/>
          <w:color w:val="auto"/>
        </w:rPr>
      </w:pPr>
    </w:p>
    <w:p>
      <w:pPr>
        <w:ind w:left="380" w:hanging="372"/>
        <w:spacing w:after="0"/>
        <w:tabs>
          <w:tab w:leader="none" w:pos="38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PENALTIES FOR INSIDER TRADING VIOLATIONS</w:t>
      </w:r>
    </w:p>
    <w:p>
      <w:pPr>
        <w:spacing w:after="0" w:line="224"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6.1 Penalties for trading on or communicating material non-public information can be severe; both for individuals involved in such unlawful conduct and their supervisors, may include prison sentences, criminal fines, civil penalties, and civil enforcement injunctions. Given the severity of the potential penalties, compliance with this Policy is absolutely mandatory at all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1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6.2 Trading on inside information is a crime. The seriousness of insider trading is reflected in the penalties that it carries. If an individual Director’s, Section 16 officer’s, or employee’s insider trading is found to be a willful violation of the insider trading rules promulgated by the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he or she may be penalized up to $5,000,000 (up to $25,000,000 for a non-natural person) and imprisoned for up to 20 years.</w:t>
      </w:r>
    </w:p>
    <w:p>
      <w:pPr>
        <w:spacing w:after="0" w:line="20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6.3 The SEC also has the authority to seek a civil monetary penalty of up to three times the amount of the profit gained or loss avoided as a result of an individual’s insider trading. The SEC may also impose control person liability on the Company for up to the greater of $1,000,000 or three times the amount of profit gained or loss avoided by insider trading. “Profit gained” or “loss avoided” is defined as the difference between the purchase or sale price of the security and its value as measured by the trading information. The SEC is authorized to pay a bounty to persons who provided the information leading to the imposition of such penalty. In addition to civil penalties, the SEC may seek other relief such as an injunction against future violations and disgorgement of profits resulting from illegal trading. Finally, private parties may bring actions against any person purchasing or selling a security while in the possession of material non-public information.</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6.4 On occasion, it may be necessary for legitimate business reasons to disclose material non-public information to persons outside the Company. Such persons might include outside Company auditors and legal department, commercial bankers, investment bankers, and companies seeking to engage in a joint venture, a merger, a common investment, or other joint goal with the Company. In such circumstances, the information should not be conveyed until an express agreement has been reached to maintain the information in confidence, to provide that such information is not to be used for trading purposes, and to mandate that such may not be further disclosed other than for legitimate business reasons.</w:t>
      </w:r>
    </w:p>
    <w:p>
      <w:pPr>
        <w:spacing w:after="0" w:line="2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6.5 Any Director, Section 16 officer, or employee who violates the prohibitions against insider trading or knows of such violation by any other persons must report the violation immediately to the Company’s Chief Financial Officer or legal department. Upon learning of any such violations, the Company will determine whether it should publicly release any material non-public information or whether the Company should report the violation to the appropriate governmental authority.</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6.6 The SEC, the Department of Justice, and the Financial Industry Regulatory Authority (“</w:t>
      </w:r>
      <w:r>
        <w:rPr>
          <w:rFonts w:ascii="Times New Roman" w:cs="Times New Roman" w:eastAsia="Times New Roman" w:hAnsi="Times New Roman"/>
          <w:sz w:val="22"/>
          <w:szCs w:val="22"/>
          <w:b w:val="1"/>
          <w:bCs w:val="1"/>
          <w:color w:val="auto"/>
        </w:rPr>
        <w:t>FINRA</w:t>
      </w:r>
      <w:r>
        <w:rPr>
          <w:rFonts w:ascii="Times New Roman" w:cs="Times New Roman" w:eastAsia="Times New Roman" w:hAnsi="Times New Roman"/>
          <w:sz w:val="22"/>
          <w:szCs w:val="22"/>
          <w:color w:val="auto"/>
        </w:rPr>
        <w:t>”) have committed large staffs, computer investigative techniques, and other resources to the detection and prosecution of insider trading cases. Criminal prosecution and the imposition of fines and/or imprisonment is commonplace.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6.7 For all of these reasons, both you and the Company have a significant interest in ensuring that insider trading is scrupulously avoided.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6.8 Your failure to comply with this Policy at all times will be grounds for disciplinary action by the Company, up to and including dismissal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580"/>
          </w:cols>
          <w:pgMar w:left="980" w:top="11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80" w:hanging="372"/>
        <w:spacing w:after="0"/>
        <w:tabs>
          <w:tab w:leader="none" w:pos="38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3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Inside (or “non-public”) Information</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jc w:val="both"/>
        <w:ind w:left="1300"/>
        <w:spacing w:after="0" w:line="233" w:lineRule="auto"/>
        <w:rPr>
          <w:sz w:val="20"/>
          <w:szCs w:val="20"/>
          <w:color w:val="auto"/>
        </w:rPr>
      </w:pPr>
      <w:r>
        <w:rPr>
          <w:rFonts w:ascii="Times New Roman" w:cs="Times New Roman" w:eastAsia="Times New Roman" w:hAnsi="Times New Roman"/>
          <w:sz w:val="22"/>
          <w:szCs w:val="22"/>
          <w:color w:val="auto"/>
        </w:rPr>
        <w:t>7.1.1 Inside (or “</w:t>
      </w:r>
      <w:r>
        <w:rPr>
          <w:rFonts w:ascii="Times New Roman" w:cs="Times New Roman" w:eastAsia="Times New Roman" w:hAnsi="Times New Roman"/>
          <w:sz w:val="22"/>
          <w:szCs w:val="22"/>
          <w:b w:val="1"/>
          <w:bCs w:val="1"/>
          <w:color w:val="auto"/>
        </w:rPr>
        <w:t>non-public</w:t>
      </w:r>
      <w:r>
        <w:rPr>
          <w:rFonts w:ascii="Times New Roman" w:cs="Times New Roman" w:eastAsia="Times New Roman" w:hAnsi="Times New Roman"/>
          <w:sz w:val="22"/>
          <w:szCs w:val="22"/>
          <w:color w:val="auto"/>
        </w:rPr>
        <w:t xml:space="preserve">”) information is material information about the Company that has not been disclosed through wide dissemination to the public. Information generally becomes public when it has been disclosed by the Company or third parties to achieve broad, non-exclusionary distribution to the investing public through recognized channels of distribution, without favoring any person or group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public investors have had a reasonable period of time to absorb and react to the information. Generally, information which has not been available to the investing public for at least 48 business hours time during which the Nasdaq stock market is open for trading, after formal release is considered to be non-public. In other words, there is a presumption that the public needs 48 hours to receive and absorb such information in order for it be considered public. Recognized channels of distribution include press releases or other public statements, including any publicly disclosed filing with the SEC.</w:t>
      </w:r>
    </w:p>
    <w:p>
      <w:pPr>
        <w:spacing w:after="0" w:line="208" w:lineRule="exact"/>
        <w:rPr>
          <w:sz w:val="20"/>
          <w:szCs w:val="20"/>
          <w:color w:val="auto"/>
        </w:rPr>
      </w:pPr>
    </w:p>
    <w:p>
      <w:pPr>
        <w:jc w:val="both"/>
        <w:ind w:left="1300"/>
        <w:spacing w:after="0" w:line="232" w:lineRule="auto"/>
        <w:rPr>
          <w:sz w:val="20"/>
          <w:szCs w:val="20"/>
          <w:color w:val="auto"/>
        </w:rPr>
      </w:pPr>
      <w:r>
        <w:rPr>
          <w:rFonts w:ascii="Times New Roman" w:cs="Times New Roman" w:eastAsia="Times New Roman" w:hAnsi="Times New Roman"/>
          <w:sz w:val="22"/>
          <w:szCs w:val="22"/>
          <w:color w:val="auto"/>
        </w:rPr>
        <w:t>7.1.2 Inside or non-public information may include, among other things, strategic plans; significant capital investment plans; negotiations concerning acquisitions or dispositions; major new contracts (or the loss of a major contract); other favorable or unfavorable business or financial developments; projections or prospects; a change in control or a significant change in management; impending securities splits, securities dividends, or changes in dividends to be paid; a call of securities for redemption; and, most frequently, financial results. Furthermore, non-public information may be information available to a select group of analysts or brokers or institutional investors; undisclosed facts that are the subject of rumors, even if the rumors are widely circulated; and information that has been entrusted to the Company on a confidential basis until a public announcement of the information has been made and enough time has elapsed for the market to respond to a public announcement of the information (normally 48 hours).</w:t>
      </w:r>
    </w:p>
    <w:p>
      <w:pPr>
        <w:spacing w:after="0" w:line="21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Information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1300"/>
        <w:spacing w:after="0" w:line="233" w:lineRule="auto"/>
        <w:rPr>
          <w:sz w:val="20"/>
          <w:szCs w:val="20"/>
          <w:color w:val="auto"/>
        </w:rPr>
      </w:pPr>
      <w:r>
        <w:rPr>
          <w:rFonts w:ascii="Times New Roman" w:cs="Times New Roman" w:eastAsia="Times New Roman" w:hAnsi="Times New Roman"/>
          <w:sz w:val="22"/>
          <w:szCs w:val="22"/>
          <w:color w:val="auto"/>
        </w:rPr>
        <w:t>7.2.1 Information is material if there is a likelihood that a reasonable investor would consider it important in deciding whether to buy, hold, or sell the Company’s securities. Any information that could reasonably be expected to affect the price of the Company’s securities is material for these purposes. In this regard, potential market reaction or sensitivity to the information is a key consideration. Moreover, although multiple pieces of information may not be material individually, if the aggregate effect of those pieces, when they become public, would alter the “total mix” of available information and result in a reevaluation of the Company’s securities, then such pieces of information are considered material. Material information can be positive or negative. While it is not possible to identify in advance all information that will be deemed to be material, some examples of potentially material information include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1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940" w:hanging="312"/>
        <w:spacing w:after="0"/>
        <w:tabs>
          <w:tab w:leader="none" w:pos="1940"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2"/>
          <w:szCs w:val="22"/>
          <w:color w:val="auto"/>
        </w:rPr>
        <w:t>Financial results, including earnings information and quarterly results;</w:t>
      </w:r>
    </w:p>
    <w:p>
      <w:pPr>
        <w:spacing w:after="0" w:line="13" w:lineRule="exact"/>
        <w:rPr>
          <w:rFonts w:ascii="Arial" w:cs="Arial" w:eastAsia="Arial" w:hAnsi="Arial"/>
          <w:sz w:val="22"/>
          <w:szCs w:val="22"/>
          <w:color w:val="auto"/>
        </w:rPr>
      </w:pPr>
    </w:p>
    <w:p>
      <w:pPr>
        <w:ind w:left="1940" w:hanging="312"/>
        <w:spacing w:after="0" w:line="229" w:lineRule="auto"/>
        <w:tabs>
          <w:tab w:leader="none" w:pos="1940"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2"/>
          <w:szCs w:val="22"/>
          <w:color w:val="auto"/>
        </w:rPr>
        <w:t>Known but unannounced future earnings or losses;</w:t>
      </w:r>
    </w:p>
    <w:p>
      <w:pPr>
        <w:ind w:left="1940" w:hanging="312"/>
        <w:spacing w:after="0" w:line="229" w:lineRule="auto"/>
        <w:tabs>
          <w:tab w:leader="none" w:pos="1940"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2"/>
          <w:szCs w:val="22"/>
          <w:color w:val="auto"/>
        </w:rPr>
        <w:t>Guidance on earnings estimates;</w:t>
      </w:r>
    </w:p>
    <w:p>
      <w:pPr>
        <w:ind w:left="1940" w:hanging="312"/>
        <w:spacing w:after="0" w:line="229" w:lineRule="auto"/>
        <w:tabs>
          <w:tab w:leader="none" w:pos="1940"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2"/>
          <w:szCs w:val="22"/>
          <w:color w:val="auto"/>
        </w:rPr>
        <w:t>Execution or termination of a significant financing arrangement;</w:t>
      </w:r>
    </w:p>
    <w:p>
      <w:pPr>
        <w:ind w:left="1940" w:hanging="312"/>
        <w:spacing w:after="0" w:line="229" w:lineRule="auto"/>
        <w:tabs>
          <w:tab w:leader="none" w:pos="1940"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2"/>
          <w:szCs w:val="22"/>
          <w:color w:val="auto"/>
        </w:rPr>
        <w:t>Information relating to a pending or proposed merger or other acquisition, disposition, or joint venture;</w:t>
      </w:r>
    </w:p>
    <w:p>
      <w:pPr>
        <w:ind w:left="1940" w:hanging="312"/>
        <w:spacing w:after="0" w:line="216" w:lineRule="auto"/>
        <w:tabs>
          <w:tab w:leader="none" w:pos="1940"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2"/>
          <w:szCs w:val="22"/>
          <w:color w:val="auto"/>
        </w:rPr>
        <w:t>Information relating to the disposition or acquisition of significant assets;</w:t>
      </w:r>
    </w:p>
    <w:p>
      <w:pPr>
        <w:ind w:left="1940" w:hanging="312"/>
        <w:spacing w:after="0" w:line="229" w:lineRule="auto"/>
        <w:tabs>
          <w:tab w:leader="none" w:pos="1940"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2"/>
          <w:szCs w:val="22"/>
          <w:color w:val="auto"/>
        </w:rPr>
        <w:t>Changes in financial liquidity;</w:t>
      </w:r>
    </w:p>
    <w:p>
      <w:pPr>
        <w:jc w:val="both"/>
        <w:ind w:left="1960" w:hanging="332"/>
        <w:spacing w:after="0" w:line="230" w:lineRule="auto"/>
        <w:tabs>
          <w:tab w:leader="none" w:pos="1969"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2"/>
          <w:szCs w:val="22"/>
          <w:color w:val="auto"/>
        </w:rPr>
        <w:t>Events regarding the Company’s securities, including defaults on senior securities, calls of securities for redemption, repurchase plans, stock splits, changes in dividend policy, and changes to rights of securityholders;</w:t>
      </w:r>
    </w:p>
    <w:p>
      <w:pPr>
        <w:ind w:left="1940" w:hanging="312"/>
        <w:spacing w:after="0" w:line="229" w:lineRule="auto"/>
        <w:tabs>
          <w:tab w:leader="none" w:pos="1940"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2"/>
          <w:szCs w:val="22"/>
          <w:color w:val="auto"/>
        </w:rPr>
        <w:t>New equity or debt offerings (public or private);</w:t>
      </w:r>
    </w:p>
    <w:p>
      <w:pPr>
        <w:ind w:left="1940" w:hanging="312"/>
        <w:spacing w:after="0" w:line="229" w:lineRule="auto"/>
        <w:tabs>
          <w:tab w:leader="none" w:pos="1940"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increases or decreases in the amount of outstanding securities or indebtedness;</w:t>
      </w:r>
    </w:p>
    <w:p>
      <w:pPr>
        <w:ind w:left="1940" w:hanging="312"/>
        <w:spacing w:after="0" w:line="229" w:lineRule="auto"/>
        <w:tabs>
          <w:tab w:leader="none" w:pos="1940"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developments (whether positive or negative) in material pending litigation;</w:t>
      </w:r>
    </w:p>
    <w:p>
      <w:pPr>
        <w:ind w:left="1940" w:hanging="312"/>
        <w:spacing w:after="0" w:line="229" w:lineRule="auto"/>
        <w:tabs>
          <w:tab w:leader="none" w:pos="1940"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litigation exposure because of actual or threatened litigation;</w:t>
      </w:r>
    </w:p>
    <w:p>
      <w:pPr>
        <w:ind w:left="1960" w:hanging="332"/>
        <w:spacing w:after="0" w:line="230" w:lineRule="auto"/>
        <w:tabs>
          <w:tab w:leader="none" w:pos="1983"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2"/>
          <w:szCs w:val="22"/>
          <w:color w:val="auto"/>
        </w:rPr>
        <w:t>Changes in auditors or a determination that the Company’s financial statement can no longer be relied upon;</w:t>
      </w:r>
    </w:p>
    <w:p>
      <w:pPr>
        <w:ind w:left="1940" w:hanging="312"/>
        <w:spacing w:after="0" w:line="216" w:lineRule="auto"/>
        <w:tabs>
          <w:tab w:leader="none" w:pos="1940"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2"/>
          <w:szCs w:val="22"/>
          <w:color w:val="auto"/>
        </w:rPr>
        <w:t>Changes in senior management;</w:t>
      </w:r>
    </w:p>
    <w:p>
      <w:pPr>
        <w:ind w:left="1960" w:hanging="332"/>
        <w:spacing w:after="0" w:line="230" w:lineRule="auto"/>
        <w:tabs>
          <w:tab w:leader="none" w:pos="1956"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changes in compensation policy and the granting of options or payment of other compensation to Directors or Company officers;</w:t>
      </w:r>
    </w:p>
    <w:p>
      <w:pPr>
        <w:ind w:left="1940" w:hanging="312"/>
        <w:spacing w:after="0" w:line="229" w:lineRule="auto"/>
        <w:tabs>
          <w:tab w:leader="none" w:pos="1940"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non-routine transactions with Directors, Company officers, or principal security holders; and</w:t>
      </w:r>
    </w:p>
    <w:p>
      <w:pPr>
        <w:ind w:left="1940" w:hanging="312"/>
        <w:spacing w:after="0" w:line="229" w:lineRule="auto"/>
        <w:tabs>
          <w:tab w:leader="none" w:pos="1940"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2"/>
          <w:szCs w:val="22"/>
          <w:color w:val="auto"/>
        </w:rPr>
        <w:t>Bankruptcies, receiverships, or reorganizations.</w:t>
      </w:r>
    </w:p>
    <w:p>
      <w:pPr>
        <w:ind w:left="1960" w:hanging="332"/>
        <w:spacing w:after="0" w:line="237" w:lineRule="auto"/>
        <w:tabs>
          <w:tab w:leader="none" w:pos="1956"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2"/>
          <w:szCs w:val="22"/>
          <w:color w:val="auto"/>
        </w:rPr>
        <w:t>Any other occurrence such as securing a major new, or losing a major, source of business by the Company or any of its subsidiaries.</w:t>
      </w:r>
    </w:p>
    <w:p>
      <w:pPr>
        <w:spacing w:after="0" w:line="204" w:lineRule="exact"/>
        <w:rPr>
          <w:sz w:val="20"/>
          <w:szCs w:val="20"/>
          <w:color w:val="auto"/>
        </w:rPr>
      </w:pPr>
    </w:p>
    <w:p>
      <w:pPr>
        <w:jc w:val="both"/>
        <w:ind w:left="1300"/>
        <w:spacing w:after="0" w:line="233" w:lineRule="auto"/>
        <w:rPr>
          <w:sz w:val="20"/>
          <w:szCs w:val="20"/>
          <w:color w:val="auto"/>
        </w:rPr>
      </w:pPr>
      <w:r>
        <w:rPr>
          <w:rFonts w:ascii="Times New Roman" w:cs="Times New Roman" w:eastAsia="Times New Roman" w:hAnsi="Times New Roman"/>
          <w:sz w:val="22"/>
          <w:szCs w:val="22"/>
          <w:color w:val="auto"/>
        </w:rPr>
        <w:t>7.2.2 It can sometimes be difficult to know whether information would be considered “material.” The determination of whether information is material is almost always clearer after the fact, when the effect of that information on the market can be quantified. Although you may have information about the Company that you do not consider to be material, federal regulators and others may conclude (with the benefit of hindsight) that such information was material. Therefore, trading in the Company’s securities when you possess non-public information about the Company can be risky. When doubt exists, the information should be presumed to be material. If you are unsure whether information of which you are aware is material or non-public, you should consult with the Company’s Chief Financial Officer or legal department.</w:t>
      </w:r>
    </w:p>
    <w:p>
      <w:pPr>
        <w:spacing w:after="0" w:line="205" w:lineRule="exact"/>
        <w:rPr>
          <w:sz w:val="20"/>
          <w:szCs w:val="20"/>
          <w:color w:val="auto"/>
        </w:rPr>
      </w:pPr>
    </w:p>
    <w:p>
      <w:pPr>
        <w:ind w:left="380" w:hanging="372"/>
        <w:spacing w:after="0"/>
        <w:tabs>
          <w:tab w:leader="none" w:pos="38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REFERENCE</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See also:</w:t>
      </w:r>
    </w:p>
    <w:p>
      <w:pPr>
        <w:spacing w:after="0" w:line="233" w:lineRule="exact"/>
        <w:rPr>
          <w:sz w:val="20"/>
          <w:szCs w:val="20"/>
          <w:color w:val="auto"/>
        </w:rPr>
      </w:pPr>
    </w:p>
    <w:p>
      <w:pPr>
        <w:ind w:left="1300"/>
        <w:spacing w:after="0" w:line="258" w:lineRule="auto"/>
        <w:rPr>
          <w:sz w:val="20"/>
          <w:szCs w:val="20"/>
          <w:color w:val="auto"/>
        </w:rPr>
      </w:pPr>
      <w:r>
        <w:rPr>
          <w:rFonts w:ascii="Times New Roman" w:cs="Times New Roman" w:eastAsia="Times New Roman" w:hAnsi="Times New Roman"/>
          <w:sz w:val="22"/>
          <w:szCs w:val="22"/>
          <w:color w:val="auto"/>
        </w:rPr>
        <w:t>INVESTOR-001A Pre-Clearance Form for Rule 10b5-1 Trading Plans – Restricted Employees and Section 16 Officers other than Outside Directors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INVESTOR-001B Pre-Clearance Form for Rule 10b5-1 Trading Plans – Outside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1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80" w:hanging="372"/>
        <w:spacing w:after="0"/>
        <w:tabs>
          <w:tab w:leader="none" w:pos="38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CERTIFICATION</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9.1 Please sign, date, and return the attached Certification stating that you received the Company’s Policy on Inside Information and Insider Trading regarding insider trading and the preservation of the confidentiality of material non-public information and related procedures, and that you agree to comply with it. The Company will deem you to be bound by this Policy whether or not you sign the Certification.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17" w:right="339" w:bottom="1440" w:gutter="0" w:footer="0" w:header="0"/>
          <w:type w:val="continuous"/>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hereby certify as follows:</w:t>
      </w:r>
    </w:p>
    <w:p>
      <w:pPr>
        <w:spacing w:after="0" w:line="209" w:lineRule="exact"/>
        <w:rPr>
          <w:sz w:val="20"/>
          <w:szCs w:val="20"/>
          <w:color w:val="auto"/>
        </w:rPr>
      </w:pPr>
    </w:p>
    <w:p>
      <w:pPr>
        <w:jc w:val="both"/>
        <w:ind w:left="1300" w:hanging="647"/>
        <w:spacing w:after="0" w:line="241" w:lineRule="auto"/>
        <w:rPr>
          <w:sz w:val="20"/>
          <w:szCs w:val="20"/>
          <w:color w:val="auto"/>
        </w:rPr>
      </w:pPr>
      <w:r>
        <w:rPr>
          <w:rFonts w:ascii="Times New Roman" w:cs="Times New Roman" w:eastAsia="Times New Roman" w:hAnsi="Times New Roman"/>
          <w:sz w:val="22"/>
          <w:szCs w:val="22"/>
          <w:color w:val="auto"/>
        </w:rPr>
        <w:t>a. I have read and understand this Policy on Inside Information and Insider Trading and related procedures, a copy of which was distributed with this Certificate;</w:t>
      </w:r>
    </w:p>
    <w:p>
      <w:pPr>
        <w:ind w:left="660"/>
        <w:spacing w:after="0" w:line="232" w:lineRule="auto"/>
        <w:rPr>
          <w:sz w:val="20"/>
          <w:szCs w:val="20"/>
          <w:color w:val="auto"/>
        </w:rPr>
      </w:pPr>
      <w:r>
        <w:rPr>
          <w:rFonts w:ascii="Times New Roman" w:cs="Times New Roman" w:eastAsia="Times New Roman" w:hAnsi="Times New Roman"/>
          <w:sz w:val="22"/>
          <w:szCs w:val="22"/>
          <w:color w:val="auto"/>
        </w:rPr>
        <w:t>b. I have complied with the foregoing policy and procedures;</w:t>
      </w:r>
    </w:p>
    <w:p>
      <w:pPr>
        <w:ind w:left="660"/>
        <w:spacing w:after="0" w:line="218" w:lineRule="auto"/>
        <w:rPr>
          <w:sz w:val="20"/>
          <w:szCs w:val="20"/>
          <w:color w:val="auto"/>
        </w:rPr>
      </w:pPr>
      <w:r>
        <w:rPr>
          <w:rFonts w:ascii="Times New Roman" w:cs="Times New Roman" w:eastAsia="Times New Roman" w:hAnsi="Times New Roman"/>
          <w:sz w:val="22"/>
          <w:szCs w:val="22"/>
          <w:color w:val="auto"/>
        </w:rPr>
        <w:t>c. I will continue to comply with this policy and procedures set forth in this Policy;</w:t>
      </w:r>
    </w:p>
    <w:p>
      <w:pPr>
        <w:jc w:val="both"/>
        <w:ind w:left="1300" w:hanging="647"/>
        <w:spacing w:after="0" w:line="230" w:lineRule="auto"/>
        <w:rPr>
          <w:sz w:val="20"/>
          <w:szCs w:val="20"/>
          <w:color w:val="auto"/>
        </w:rPr>
      </w:pPr>
      <w:r>
        <w:rPr>
          <w:rFonts w:ascii="Times New Roman" w:cs="Times New Roman" w:eastAsia="Times New Roman" w:hAnsi="Times New Roman"/>
          <w:sz w:val="22"/>
          <w:szCs w:val="22"/>
          <w:color w:val="auto"/>
        </w:rPr>
        <w:t>d. I will either (i) effect an Immediate Trade during an open window or (ii) request prior clearance of all Rule 10b5-1 Trading Plans for all proposed sales or acquisitions of securities of the Company except for an Immediate Trade; and</w:t>
      </w:r>
    </w:p>
    <w:p>
      <w:pPr>
        <w:spacing w:after="0" w:line="2" w:lineRule="exact"/>
        <w:rPr>
          <w:sz w:val="20"/>
          <w:szCs w:val="20"/>
          <w:color w:val="auto"/>
        </w:rPr>
      </w:pPr>
    </w:p>
    <w:p>
      <w:pPr>
        <w:jc w:val="both"/>
        <w:ind w:left="1300" w:hanging="647"/>
        <w:spacing w:after="0" w:line="237" w:lineRule="auto"/>
        <w:rPr>
          <w:sz w:val="20"/>
          <w:szCs w:val="20"/>
          <w:color w:val="auto"/>
        </w:rPr>
      </w:pPr>
      <w:r>
        <w:rPr>
          <w:rFonts w:ascii="Times New Roman" w:cs="Times New Roman" w:eastAsia="Times New Roman" w:hAnsi="Times New Roman"/>
          <w:sz w:val="22"/>
          <w:szCs w:val="22"/>
          <w:color w:val="auto"/>
        </w:rPr>
        <w:t>e. I will report all transactions in securities of the Company in writing to the Company’s Chief Financial Officer or legal department.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1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(Please print)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Department or Title: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NOTE: Certifications “d” and “e” above relate only to Directors, Section 16 officers, and restricted employees. They do not relate to non-restricted employees.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17" w:right="339" w:bottom="1440" w:gutter="0" w:footer="0" w:header="0"/>
          <w:type w:val="continuous"/>
        </w:sectPr>
      </w:pPr>
    </w:p>
    <w:bookmarkStart w:id="144" w:name="page145"/>
    <w:bookmarkEnd w:id="144"/>
    <w:p>
      <w:pPr>
        <w:ind w:left="10320"/>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Frequently Asked Questions on Insider Trading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Transactions Subject to this Policy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Does this policy apply only to trades in the Company’s common stock?</w:t>
      </w:r>
    </w:p>
    <w:p>
      <w:pPr>
        <w:spacing w:after="0" w:line="23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No. This policy also applies to any “equity equivalent” for the Company’s common stock. You may not engage in derivatives trading or hedging involving the Company’s securities, which includes traded options (puts or calls) and any other security whose market value is tied to the value of the Company’s common stock. In addition, this policy applies to the securities of the Company’s customers, suppliers, and possible acquisition targets.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Does this policy apply to the exercise of employee stock options?</w:t>
      </w:r>
    </w:p>
    <w:p>
      <w:pPr>
        <w:spacing w:after="0" w:line="23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The exercise of employee stock options is exempt from the policy, because the exercise price of an option is fixed at the time of grant and does not fluctuate with the market. As a result, you may always adopt an “exercise and hold” strategy. However, the sale of the underlying stock is subject to the policy. Thus, the sale of Company stock to pay the exercise price and satisfy the minimum tax withholding requirements upon the exercise of an option through a Broker-Assisted Cashless Exercise of an option is also subject to the policy. Directors and Company executive officers may be subject to further requirements with respect to the “cashless exercise” of options.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Can I trade in options or other derivative securities involving the Company’s securities?</w:t>
      </w:r>
    </w:p>
    <w:p>
      <w:pPr>
        <w:spacing w:after="0" w:line="23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No. The policy prohibits trading in options or other derivative securities involving the Company’s securities. The options we are referring to are “put” and “call” options, whether or not market-traded, and any similar instruments, and not the employee stock options granted to you by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Does this policy apply to open-end mutual funds?</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 The policy does not apply to trading in open-end mutual funds.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Tipping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What is tipping?</w:t>
      </w:r>
    </w:p>
    <w:p>
      <w:pPr>
        <w:spacing w:after="0" w:line="23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Tipping refers to the transmission of material non-public information from an insider to another person. Sometimes this involves a deliberate conspiracy in which the tipper passes on information in exchange for a portion of the “tippee’s” illegal trading profits. Even if there is no expectation of profit, however, a tipper can have liability if he or she has reason to know that the information may be misused. Tipping inside information to another person is like putting your life in that person’s hands. The safest choice is: Don’t.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17"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Materiality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 know all sorts of things about the Company. How do I know what’s “material?”</w:t>
      </w:r>
    </w:p>
    <w:p>
      <w:pPr>
        <w:spacing w:after="0" w:line="237"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The Supreme Court says that information is material if a reasonable investor would consider it important in deciding whether to buy or sell a security. At the Company, we have determined that our quarterly earnings information is generally material. Other information — acquisitions, financing transactions, etc. — is evaluated by management on a case-by-case basis. Examples of potentially material information are listed in Section 5.2.1 of this Policy. [Note: The Company traditionally has not considered new product or customer information as material.]</w:t>
      </w:r>
    </w:p>
    <w:p>
      <w:pPr>
        <w:spacing w:after="0" w:line="3" w:lineRule="exact"/>
        <w:rPr>
          <w:sz w:val="20"/>
          <w:szCs w:val="20"/>
          <w:color w:val="auto"/>
        </w:rPr>
      </w:pPr>
    </w:p>
    <w:p>
      <w:pPr>
        <w:jc w:val="both"/>
        <w:ind w:right="20" w:firstLine="1296"/>
        <w:spacing w:after="0" w:line="237" w:lineRule="auto"/>
        <w:rPr>
          <w:sz w:val="20"/>
          <w:szCs w:val="20"/>
          <w:color w:val="auto"/>
        </w:rPr>
      </w:pPr>
      <w:r>
        <w:rPr>
          <w:rFonts w:ascii="Times New Roman" w:cs="Times New Roman" w:eastAsia="Times New Roman" w:hAnsi="Times New Roman"/>
          <w:sz w:val="22"/>
          <w:szCs w:val="22"/>
          <w:color w:val="auto"/>
        </w:rPr>
        <w:t>If you are at all unsure about whether you have material non-public information, the safe approach is to discuss it with the Company’s Chief Financial Officer or legal department.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Considerations</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The policy prohibits trading in the securities of the Company’s customers, suppliers, potential acquisition targets, and other companies while in possession of material non-public information about the Company or such other company. Will I be asked to sell shares I hold in these companies?</w:t>
      </w:r>
    </w:p>
    <w:p>
      <w:pPr>
        <w:spacing w:after="0" w:line="19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No. This is a trading restriction, not an ownership restriction. The policy only prohibits </w:t>
      </w:r>
      <w:r>
        <w:rPr>
          <w:rFonts w:ascii="Times New Roman" w:cs="Times New Roman" w:eastAsia="Times New Roman" w:hAnsi="Times New Roman"/>
          <w:sz w:val="22"/>
          <w:szCs w:val="22"/>
          <w:u w:val="single" w:color="auto"/>
          <w:color w:val="auto"/>
        </w:rPr>
        <w:t>trading</w:t>
      </w:r>
      <w:r>
        <w:rPr>
          <w:rFonts w:ascii="Times New Roman" w:cs="Times New Roman" w:eastAsia="Times New Roman" w:hAnsi="Times New Roman"/>
          <w:sz w:val="22"/>
          <w:szCs w:val="22"/>
          <w:color w:val="auto"/>
        </w:rPr>
        <w:t xml:space="preserve"> in the securities of the Company’s customers, suppliers, potential acquisition targets, and competitors while in possession of material non-public information about such other company. If you are privy to information and such information is not public knowledge, you should not trade in the securities of the other company until 48 business hours after the information has been announced.</w:t>
      </w:r>
    </w:p>
    <w:p>
      <w:pPr>
        <w:spacing w:after="0" w:line="19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You will not be required to sell securities of a corporation that you hold at any time simply because the Company establishes a relationship or otherwise commences negotiations with that company.</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My spouse is employed by a publicly traded corporation, and we own stock in my spouse’s employer. Does the policy prohibit us from trading in stock of my spouse’s employer?</w:t>
      </w:r>
    </w:p>
    <w:p>
      <w:pPr>
        <w:spacing w:after="0" w:line="181"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The policy would not prohibit you or your spouse from trading in securities of your spouse’s employer, unless the Company is at that time engaged in negotiations with your spouse’s employer to which you or your spouse are privy. However, you should carefully review the policy of your spouse’s employer to be sure that you are complying with both policies in all of your trades. Furthermore, you should </w:t>
      </w:r>
      <w:r>
        <w:rPr>
          <w:rFonts w:ascii="Times New Roman" w:cs="Times New Roman" w:eastAsia="Times New Roman" w:hAnsi="Times New Roman"/>
          <w:sz w:val="22"/>
          <w:szCs w:val="22"/>
          <w:u w:val="single" w:color="auto"/>
          <w:color w:val="auto"/>
        </w:rPr>
        <w:t>never</w:t>
      </w:r>
      <w:r>
        <w:rPr>
          <w:rFonts w:ascii="Times New Roman" w:cs="Times New Roman" w:eastAsia="Times New Roman" w:hAnsi="Times New Roman"/>
          <w:sz w:val="22"/>
          <w:szCs w:val="22"/>
          <w:color w:val="auto"/>
        </w:rPr>
        <w:t xml:space="preserve"> trade in the securities of any company while in possession of material non-public information about such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17"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Enforcement Practices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 only own a few hundred shares. The SEC doesn’t go after small fish like me, right?</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Wrong. The SEC has prosecuted numerous cases involving relatively small amounts of money.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If I pass information to others but don’t trade myself, no one will be able to figure it out, right?</w:t>
      </w:r>
    </w:p>
    <w:p>
      <w:pPr>
        <w:spacing w:after="0" w:line="23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Wrong again. The SEC has sophisticated and ingenious methods for identifying unusual trading patterns and tracing them to their source. They have the ability to subpoena telephone records, bank and brokerage statements, personal files, electronic mail files, and anything else that may help them to make a case. Whether it’s your second cousin in New Jersey or your college roommate’s stepfather, the SEC has the resources to establish the connection to you.</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Further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Who should I contact if I have questions regarding the policy?</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Company’s Chief Financial Officer or legal department.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Where do I go for the most current version of the policy?</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Company’s Chief Financial Officer or legal department.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17" w:right="339" w:bottom="1440" w:gutter="0" w:footer="0" w:header="0"/>
          <w:type w:val="continuous"/>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term “restricted employees” is defined to include the following: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For CaliberCos Inc.</w:t>
      </w:r>
    </w:p>
    <w:p>
      <w:pPr>
        <w:spacing w:after="0" w:line="233"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22"/>
          <w:szCs w:val="22"/>
          <w:color w:val="auto"/>
        </w:rPr>
      </w:pPr>
      <w:r>
        <w:rPr>
          <w:rFonts w:ascii="Times New Roman" w:cs="Times New Roman" w:eastAsia="Times New Roman" w:hAnsi="Times New Roman"/>
          <w:sz w:val="22"/>
          <w:szCs w:val="22"/>
          <w:color w:val="auto"/>
        </w:rPr>
        <w:t>officers who are not Section 16 officers,</w:t>
      </w:r>
    </w:p>
    <w:p>
      <w:pPr>
        <w:spacing w:after="0" w:line="13" w:lineRule="exact"/>
        <w:rPr>
          <w:rFonts w:ascii="Arial" w:cs="Arial" w:eastAsia="Arial" w:hAnsi="Arial"/>
          <w:sz w:val="22"/>
          <w:szCs w:val="22"/>
          <w:color w:val="auto"/>
        </w:rPr>
      </w:pPr>
    </w:p>
    <w:p>
      <w:pPr>
        <w:ind w:left="660" w:hanging="328"/>
        <w:spacing w:after="0" w:line="229" w:lineRule="auto"/>
        <w:tabs>
          <w:tab w:leader="none" w:pos="660" w:val="left"/>
        </w:tabs>
        <w:numPr>
          <w:ilvl w:val="0"/>
          <w:numId w:val="84"/>
        </w:numPr>
        <w:rPr>
          <w:rFonts w:ascii="Arial" w:cs="Arial" w:eastAsia="Arial" w:hAnsi="Arial"/>
          <w:sz w:val="22"/>
          <w:szCs w:val="22"/>
          <w:color w:val="auto"/>
        </w:rPr>
      </w:pPr>
      <w:r>
        <w:rPr>
          <w:rFonts w:ascii="Times New Roman" w:cs="Times New Roman" w:eastAsia="Times New Roman" w:hAnsi="Times New Roman"/>
          <w:sz w:val="22"/>
          <w:szCs w:val="22"/>
          <w:color w:val="auto"/>
        </w:rPr>
        <w:t>personnel who are director-level or above,</w:t>
      </w:r>
    </w:p>
    <w:p>
      <w:pPr>
        <w:ind w:left="660" w:hanging="328"/>
        <w:spacing w:after="0" w:line="216" w:lineRule="auto"/>
        <w:tabs>
          <w:tab w:leader="none" w:pos="660" w:val="left"/>
        </w:tabs>
        <w:numPr>
          <w:ilvl w:val="0"/>
          <w:numId w:val="84"/>
        </w:numPr>
        <w:rPr>
          <w:rFonts w:ascii="Arial" w:cs="Arial" w:eastAsia="Arial" w:hAnsi="Arial"/>
          <w:sz w:val="22"/>
          <w:szCs w:val="22"/>
          <w:color w:val="auto"/>
        </w:rPr>
      </w:pPr>
      <w:r>
        <w:rPr>
          <w:rFonts w:ascii="Times New Roman" w:cs="Times New Roman" w:eastAsia="Times New Roman" w:hAnsi="Times New Roman"/>
          <w:sz w:val="22"/>
          <w:szCs w:val="22"/>
          <w:color w:val="auto"/>
        </w:rPr>
        <w:t>sales managers,</w:t>
      </w:r>
    </w:p>
    <w:p>
      <w:pPr>
        <w:ind w:left="660" w:hanging="328"/>
        <w:spacing w:after="0" w:line="229" w:lineRule="auto"/>
        <w:tabs>
          <w:tab w:leader="none" w:pos="660" w:val="left"/>
        </w:tabs>
        <w:numPr>
          <w:ilvl w:val="0"/>
          <w:numId w:val="84"/>
        </w:numPr>
        <w:rPr>
          <w:rFonts w:ascii="Arial" w:cs="Arial" w:eastAsia="Arial" w:hAnsi="Arial"/>
          <w:sz w:val="22"/>
          <w:szCs w:val="22"/>
          <w:color w:val="auto"/>
        </w:rPr>
      </w:pPr>
      <w:r>
        <w:rPr>
          <w:rFonts w:ascii="Times New Roman" w:cs="Times New Roman" w:eastAsia="Times New Roman" w:hAnsi="Times New Roman"/>
          <w:sz w:val="22"/>
          <w:szCs w:val="22"/>
          <w:color w:val="auto"/>
        </w:rPr>
        <w:t>financial and accounting personnel,</w:t>
      </w:r>
    </w:p>
    <w:p>
      <w:pPr>
        <w:ind w:left="660" w:hanging="328"/>
        <w:spacing w:after="0" w:line="229" w:lineRule="auto"/>
        <w:tabs>
          <w:tab w:leader="none" w:pos="660" w:val="left"/>
        </w:tabs>
        <w:numPr>
          <w:ilvl w:val="0"/>
          <w:numId w:val="84"/>
        </w:numPr>
        <w:rPr>
          <w:rFonts w:ascii="Arial" w:cs="Arial" w:eastAsia="Arial" w:hAnsi="Arial"/>
          <w:sz w:val="22"/>
          <w:szCs w:val="22"/>
          <w:color w:val="auto"/>
        </w:rPr>
      </w:pPr>
      <w:r>
        <w:rPr>
          <w:rFonts w:ascii="Times New Roman" w:cs="Times New Roman" w:eastAsia="Times New Roman" w:hAnsi="Times New Roman"/>
          <w:sz w:val="22"/>
          <w:szCs w:val="22"/>
          <w:color w:val="auto"/>
        </w:rPr>
        <w:t>legal personnel,</w:t>
      </w:r>
    </w:p>
    <w:p>
      <w:pPr>
        <w:ind w:left="660" w:hanging="328"/>
        <w:spacing w:after="0" w:line="229" w:lineRule="auto"/>
        <w:tabs>
          <w:tab w:leader="none" w:pos="660" w:val="left"/>
        </w:tabs>
        <w:numPr>
          <w:ilvl w:val="0"/>
          <w:numId w:val="84"/>
        </w:numPr>
        <w:rPr>
          <w:rFonts w:ascii="Arial" w:cs="Arial" w:eastAsia="Arial" w:hAnsi="Arial"/>
          <w:sz w:val="22"/>
          <w:szCs w:val="22"/>
          <w:color w:val="auto"/>
        </w:rPr>
      </w:pPr>
      <w:r>
        <w:rPr>
          <w:rFonts w:ascii="Times New Roman" w:cs="Times New Roman" w:eastAsia="Times New Roman" w:hAnsi="Times New Roman"/>
          <w:sz w:val="22"/>
          <w:szCs w:val="22"/>
          <w:color w:val="auto"/>
        </w:rPr>
        <w:t>executive assistants to any of the foregoing, and</w:t>
      </w:r>
    </w:p>
    <w:p>
      <w:pPr>
        <w:ind w:left="660" w:hanging="328"/>
        <w:spacing w:after="0" w:line="237" w:lineRule="auto"/>
        <w:tabs>
          <w:tab w:leader="none" w:pos="655" w:val="left"/>
        </w:tabs>
        <w:numPr>
          <w:ilvl w:val="0"/>
          <w:numId w:val="84"/>
        </w:numPr>
        <w:rPr>
          <w:rFonts w:ascii="Arial" w:cs="Arial" w:eastAsia="Arial" w:hAnsi="Arial"/>
          <w:sz w:val="22"/>
          <w:szCs w:val="22"/>
          <w:color w:val="auto"/>
        </w:rPr>
      </w:pPr>
      <w:r>
        <w:rPr>
          <w:rFonts w:ascii="Times New Roman" w:cs="Times New Roman" w:eastAsia="Times New Roman" w:hAnsi="Times New Roman"/>
          <w:sz w:val="22"/>
          <w:szCs w:val="22"/>
          <w:color w:val="auto"/>
        </w:rPr>
        <w:t>any other personnel who have access to a material amount of the Company’s consolidated financial information, or other material information about the Company, as determined by the Company’s CFO or legal department.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For subsidiaries</w:t>
      </w:r>
    </w:p>
    <w:p>
      <w:pPr>
        <w:spacing w:after="0" w:line="233"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22"/>
          <w:szCs w:val="22"/>
          <w:color w:val="auto"/>
        </w:rPr>
      </w:pPr>
      <w:r>
        <w:rPr>
          <w:rFonts w:ascii="Times New Roman" w:cs="Times New Roman" w:eastAsia="Times New Roman" w:hAnsi="Times New Roman"/>
          <w:sz w:val="22"/>
          <w:szCs w:val="22"/>
          <w:color w:val="auto"/>
        </w:rPr>
        <w:t>subsidiary officers,</w:t>
      </w:r>
    </w:p>
    <w:p>
      <w:pPr>
        <w:spacing w:after="0" w:line="13" w:lineRule="exact"/>
        <w:rPr>
          <w:rFonts w:ascii="Arial" w:cs="Arial" w:eastAsia="Arial" w:hAnsi="Arial"/>
          <w:sz w:val="22"/>
          <w:szCs w:val="22"/>
          <w:color w:val="auto"/>
        </w:rPr>
      </w:pPr>
    </w:p>
    <w:p>
      <w:pPr>
        <w:ind w:left="660" w:hanging="328"/>
        <w:spacing w:after="0" w:line="230" w:lineRule="auto"/>
        <w:tabs>
          <w:tab w:leader="none" w:pos="655" w:val="left"/>
        </w:tabs>
        <w:numPr>
          <w:ilvl w:val="0"/>
          <w:numId w:val="85"/>
        </w:numPr>
        <w:rPr>
          <w:rFonts w:ascii="Arial" w:cs="Arial" w:eastAsia="Arial" w:hAnsi="Arial"/>
          <w:sz w:val="22"/>
          <w:szCs w:val="22"/>
          <w:color w:val="auto"/>
        </w:rPr>
      </w:pPr>
      <w:r>
        <w:rPr>
          <w:rFonts w:ascii="Times New Roman" w:cs="Times New Roman" w:eastAsia="Times New Roman" w:hAnsi="Times New Roman"/>
          <w:sz w:val="22"/>
          <w:szCs w:val="22"/>
          <w:color w:val="auto"/>
        </w:rPr>
        <w:t>any member of the subsidiary’s “executive team” as determined by the President of the Division that includes the subsidiary, and communicated to the Company’s CFO or legal department,</w:t>
      </w:r>
    </w:p>
    <w:p>
      <w:pPr>
        <w:ind w:left="660" w:hanging="328"/>
        <w:spacing w:after="0" w:line="229" w:lineRule="auto"/>
        <w:tabs>
          <w:tab w:leader="none" w:pos="660" w:val="left"/>
        </w:tabs>
        <w:numPr>
          <w:ilvl w:val="0"/>
          <w:numId w:val="85"/>
        </w:numPr>
        <w:rPr>
          <w:rFonts w:ascii="Arial" w:cs="Arial" w:eastAsia="Arial" w:hAnsi="Arial"/>
          <w:sz w:val="22"/>
          <w:szCs w:val="22"/>
          <w:color w:val="auto"/>
        </w:rPr>
      </w:pPr>
      <w:r>
        <w:rPr>
          <w:rFonts w:ascii="Times New Roman" w:cs="Times New Roman" w:eastAsia="Times New Roman" w:hAnsi="Times New Roman"/>
          <w:sz w:val="22"/>
          <w:szCs w:val="22"/>
          <w:color w:val="auto"/>
        </w:rPr>
        <w:t>executive assistants to any of the foregoing, and</w:t>
      </w:r>
    </w:p>
    <w:p>
      <w:pPr>
        <w:jc w:val="both"/>
        <w:ind w:left="660" w:hanging="328"/>
        <w:spacing w:after="0" w:line="230" w:lineRule="auto"/>
        <w:tabs>
          <w:tab w:leader="none" w:pos="655" w:val="left"/>
        </w:tabs>
        <w:numPr>
          <w:ilvl w:val="0"/>
          <w:numId w:val="85"/>
        </w:numPr>
        <w:rPr>
          <w:rFonts w:ascii="Arial" w:cs="Arial" w:eastAsia="Arial" w:hAnsi="Arial"/>
          <w:sz w:val="22"/>
          <w:szCs w:val="22"/>
          <w:color w:val="auto"/>
        </w:rPr>
      </w:pPr>
      <w:r>
        <w:rPr>
          <w:rFonts w:ascii="Times New Roman" w:cs="Times New Roman" w:eastAsia="Times New Roman" w:hAnsi="Times New Roman"/>
          <w:sz w:val="22"/>
          <w:szCs w:val="22"/>
          <w:color w:val="auto"/>
        </w:rPr>
        <w:t>any other subsidiary personnel who have access to (i) a material amount of the Company’s consolidated financial information, or (ii) other material information about the Company, each as determined by the Company’s CFO or legal department.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17" w:right="339" w:bottom="1440" w:gutter="0" w:footer="0" w:header="0"/>
          <w:type w:val="continuous"/>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MEMORANDUM</w:t>
      </w:r>
    </w:p>
    <w:p>
      <w:pPr>
        <w:spacing w:after="0" w:line="205" w:lineRule="exact"/>
        <w:rPr>
          <w:sz w:val="20"/>
          <w:szCs w:val="20"/>
          <w:color w:val="auto"/>
        </w:rPr>
      </w:pPr>
    </w:p>
    <w:p>
      <w:pPr>
        <w:jc w:val="both"/>
        <w:ind w:left="580" w:hanging="566"/>
        <w:spacing w:after="0" w:line="262" w:lineRule="auto"/>
        <w:rPr>
          <w:sz w:val="20"/>
          <w:szCs w:val="20"/>
          <w:color w:val="auto"/>
        </w:rPr>
      </w:pPr>
      <w:r>
        <w:rPr>
          <w:rFonts w:ascii="Times New Roman" w:cs="Times New Roman" w:eastAsia="Times New Roman" w:hAnsi="Times New Roman"/>
          <w:sz w:val="22"/>
          <w:szCs w:val="22"/>
          <w:b w:val="1"/>
          <w:bCs w:val="1"/>
          <w:color w:val="auto"/>
        </w:rPr>
        <w:t>TO: Directors, Section 16 Officers, and “Restricted Employees” Subject to the Policy on Inside Information and Insider Trading (the “Insider Trading Policy”) of CaliberCos Inc. and its Subsidiaries (collectively,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SEC Rule 10b5-1 Trading Arrangements</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SEC Rule 10b5-1 protects Directors, Section 16 officers, and employees from insider trading liability under Rule 10b-5 for transactions under a previously established contract, plan, or instruction. The rule presents an opportunity for insiders to establish arrangements to sell (or purchase) Company stock without the sometimes arbitrary restrictions imposed by windows and blackout periods—even when there is undisclosed material information. Such 10b5-1 arrangements may include blind trusts, other trusts, pre-scheduled stock option exercises and sales, pre-arranged trading instructions, and other brokerage and third-party arrangements. A well-conceived program might also help reduce negative publicity that can result when key executives or Directors sell. But there can be pitfalls.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Potential Pitfalls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First, the arrangement must satisfy the requirements of Rule 10b5-1. The plan must be documented, bona fide, and previously established (at a time when the insider did not possess inside information) and must specify the price, amount, and date of trades or provide a formula or mechanism to be followed.</w:t>
      </w:r>
    </w:p>
    <w:p>
      <w:pPr>
        <w:spacing w:after="0" w:line="200"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2"/>
          <w:szCs w:val="22"/>
          <w:color w:val="auto"/>
        </w:rPr>
        <w:t>Secondly, Rule 10b5-1 only provides an “affirmative defense” (which must be proven) in the event there is an insider trading lawsuit. It does not prevent someone from bringing a lawsuit. And, it does not prevent the media from writing about the sales.</w:t>
      </w:r>
    </w:p>
    <w:p>
      <w:pPr>
        <w:spacing w:after="0" w:line="1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Insider Trading Policy permits transactions that comply with Rule 10b5-1. The Company does not want to impede your ability to engage in purchases or sales of Company stock (e.g., for financial and estate planning purposes). However, in order to reduce the risk of litigation and bad press, and to preserve the hard-earned good name of our Company and our people, we have adopted procedural requirements that are essentially an extension of the Company’s current pre-clearance procedure for transactions in Company stock:</w:t>
      </w:r>
    </w:p>
    <w:p>
      <w:pPr>
        <w:spacing w:after="0" w:line="20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Except in the case of an Immediate Trade for which pre-clearance is never required but for which notice must be given to the Chief Financial Officer on the day of the transaction the Company must pre-approve any plan, arrangement, or trading instructions involving potential sales (or purchases) or stock or option exercises and sales (including, but not limited to, blind trusts, discretionary accounts with banks or brokers, and limit orders under a Rule 10b5-1 Trading Plan). You must still adhere to this prior approval procedure even when, for example, you are assured that a major law firm has blessed the trading arrangement that a brokerage firm or bank may be suggesting. (Note that the actual transactions effected pursuant to a pre-approved plan will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be subject to the Company’s blackout periods—except for Directors and Section 16 officers during the two-week period prior to an earnings announcement by the Company and continuing until 48 business hours thereafter week—or pre-clearance procedures for transactions in Company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17"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will want to:</w:t>
      </w:r>
    </w:p>
    <w:p>
      <w:pPr>
        <w:spacing w:after="0" w:line="229" w:lineRule="exact"/>
        <w:rPr>
          <w:sz w:val="20"/>
          <w:szCs w:val="20"/>
          <w:color w:val="auto"/>
        </w:rPr>
      </w:pPr>
    </w:p>
    <w:p>
      <w:pPr>
        <w:ind w:left="740" w:right="20" w:hanging="732"/>
        <w:spacing w:after="0" w:line="262" w:lineRule="auto"/>
        <w:tabs>
          <w:tab w:leader="none" w:pos="22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Review the Proposed Arrangement</w:t>
      </w:r>
      <w:r>
        <w:rPr>
          <w:rFonts w:ascii="Times New Roman" w:cs="Times New Roman" w:eastAsia="Times New Roman" w:hAnsi="Times New Roman"/>
          <w:sz w:val="22"/>
          <w:szCs w:val="22"/>
          <w:color w:val="auto"/>
        </w:rPr>
        <w:t>. We must satisfy ourselves that the arrangement will not place the Company’s good name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yours in jeopardy.</w:t>
      </w:r>
    </w:p>
    <w:p>
      <w:pPr>
        <w:spacing w:after="0" w:line="176" w:lineRule="exact"/>
        <w:rPr>
          <w:rFonts w:ascii="Times New Roman" w:cs="Times New Roman" w:eastAsia="Times New Roman" w:hAnsi="Times New Roman"/>
          <w:sz w:val="22"/>
          <w:szCs w:val="22"/>
          <w:color w:val="auto"/>
        </w:rPr>
      </w:pPr>
    </w:p>
    <w:p>
      <w:pPr>
        <w:ind w:left="740" w:hanging="732"/>
        <w:spacing w:after="0" w:line="231" w:lineRule="auto"/>
        <w:tabs>
          <w:tab w:leader="none" w:pos="22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Add Additional Safeguards</w:t>
      </w:r>
      <w:r>
        <w:rPr>
          <w:rFonts w:ascii="Times New Roman" w:cs="Times New Roman" w:eastAsia="Times New Roman" w:hAnsi="Times New Roman"/>
          <w:sz w:val="22"/>
          <w:szCs w:val="22"/>
          <w:color w:val="auto"/>
        </w:rPr>
        <w:t>. To reduce exposure, we will need to make sure, for example, that at the time you enter into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arrangement (or at any time that you wish to amend or modify a prior instruction or plan), there is no material information about the Company that has not been publicly disclosed. If there is undisclosed material information (even if you aren’t aware of it), you would need to wait until that information has been disclosed. In addition, no trade can be made pursuant to a Rule 10b5-1 trading plan by or on behalf of </w:t>
      </w:r>
      <w:r>
        <w:rPr>
          <w:rFonts w:ascii="Times New Roman" w:cs="Times New Roman" w:eastAsia="Times New Roman" w:hAnsi="Times New Roman"/>
          <w:sz w:val="22"/>
          <w:szCs w:val="22"/>
          <w:u w:val="single" w:color="auto"/>
          <w:color w:val="auto"/>
        </w:rPr>
        <w:t>any</w:t>
      </w:r>
      <w:r>
        <w:rPr>
          <w:rFonts w:ascii="Times New Roman" w:cs="Times New Roman" w:eastAsia="Times New Roman" w:hAnsi="Times New Roman"/>
          <w:sz w:val="22"/>
          <w:szCs w:val="22"/>
          <w:color w:val="auto"/>
        </w:rPr>
        <w:t xml:space="preserve"> Section 16 officer or employee from (a) the date the Rule 10b5-1 trading plan (or any amendment or modification thereof) is cleared by the Company’s Chief Financial Officer or legal department (or the Company’s Chief Executive Officer for the Chief Financial Officer or legal department’s own Rule 10b5-1 trading plan) if such trading plan (or any amendment or modification thereof) is cleared by the Company’s Chief Financial Officer, Chief Executive Officer, or legal department, as applicable, on a date that is during an open window; or (b) the first day of the next open window if the Rule 10b5-1 trading plan (or any amendment or modification thereof) is signed by the Company’s Chief Financial Officer, Chief Executive Officer, or legal department, as applicable, on a date that is not during an open window. A Director or a Section 16 officer may not trade, even in accordance with a previously approved Rule 10b5-1 trading plan, commencing on the first day of the two-week period prior to an earnings announcement by the Company and continuing until 48 business hours thereafter. In general, the plans should also be established only during the Company’s released trading window periods (the period beginning 48 business hours after the public release of the Company’s earnings and ending on the last business day of the month before the end of each quarter).</w:t>
      </w:r>
    </w:p>
    <w:p>
      <w:pPr>
        <w:spacing w:after="0" w:line="207" w:lineRule="exact"/>
        <w:rPr>
          <w:rFonts w:ascii="Times New Roman" w:cs="Times New Roman" w:eastAsia="Times New Roman" w:hAnsi="Times New Roman"/>
          <w:sz w:val="22"/>
          <w:szCs w:val="22"/>
          <w:color w:val="auto"/>
        </w:rPr>
      </w:pPr>
    </w:p>
    <w:p>
      <w:pPr>
        <w:ind w:left="740" w:hanging="732"/>
        <w:spacing w:after="0" w:line="246" w:lineRule="auto"/>
        <w:tabs>
          <w:tab w:leader="none" w:pos="22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Consider a Public Announcement</w:t>
      </w:r>
      <w:r>
        <w:rPr>
          <w:rFonts w:ascii="Times New Roman" w:cs="Times New Roman" w:eastAsia="Times New Roman" w:hAnsi="Times New Roman"/>
          <w:sz w:val="22"/>
          <w:szCs w:val="22"/>
          <w:color w:val="auto"/>
        </w:rPr>
        <w:t>. We will consider in each case whether public announcement of a trading plan should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(via press release, the Company’s website, or otherwise). In addition, when applicable, a statement should be included in your Forms 4 and 144 indicating that sales are pursuant to a pre-existing plan.</w:t>
      </w:r>
    </w:p>
    <w:p>
      <w:pPr>
        <w:spacing w:after="0" w:line="194" w:lineRule="exact"/>
        <w:rPr>
          <w:rFonts w:ascii="Times New Roman" w:cs="Times New Roman" w:eastAsia="Times New Roman" w:hAnsi="Times New Roman"/>
          <w:sz w:val="22"/>
          <w:szCs w:val="22"/>
          <w:color w:val="auto"/>
        </w:rPr>
      </w:pPr>
    </w:p>
    <w:p>
      <w:pPr>
        <w:ind w:left="740" w:right="20" w:hanging="732"/>
        <w:spacing w:after="0" w:line="262" w:lineRule="auto"/>
        <w:tabs>
          <w:tab w:leader="none" w:pos="22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Establish Section 16, Rule 144, etc., Procedures with Parties</w:t>
      </w:r>
      <w:r>
        <w:rPr>
          <w:rFonts w:ascii="Times New Roman" w:cs="Times New Roman" w:eastAsia="Times New Roman" w:hAnsi="Times New Roman"/>
          <w:sz w:val="22"/>
          <w:szCs w:val="22"/>
          <w:color w:val="auto"/>
        </w:rPr>
        <w:t>. Also, we will need to establish a procedure with whoever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handling your transactions to ensure the following:</w:t>
      </w:r>
    </w:p>
    <w:p>
      <w:pPr>
        <w:spacing w:after="0" w:line="180"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856"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 filings of SEC Form 4 after transactions take place. Failure to file on time results in unwanted proxy statement disclosure of filing violations by the selling director or executive;</w:t>
      </w:r>
    </w:p>
    <w:p>
      <w:pPr>
        <w:spacing w:after="0" w:line="171" w:lineRule="exact"/>
        <w:rPr>
          <w:rFonts w:ascii="Times New Roman" w:cs="Times New Roman" w:eastAsia="Times New Roman" w:hAnsi="Times New Roman"/>
          <w:sz w:val="22"/>
          <w:szCs w:val="22"/>
          <w:color w:val="auto"/>
        </w:rPr>
      </w:pPr>
    </w:p>
    <w:p>
      <w:pPr>
        <w:ind w:left="880" w:hanging="224"/>
        <w:spacing w:after="0"/>
        <w:tabs>
          <w:tab w:leader="none" w:pos="88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with SEC Rule 144 at the time of any sale; and</w:t>
      </w:r>
    </w:p>
    <w:p>
      <w:pPr>
        <w:spacing w:after="0" w:line="233" w:lineRule="exact"/>
        <w:rPr>
          <w:rFonts w:ascii="Times New Roman" w:cs="Times New Roman" w:eastAsia="Times New Roman" w:hAnsi="Times New Roman"/>
          <w:sz w:val="22"/>
          <w:szCs w:val="22"/>
          <w:color w:val="auto"/>
        </w:rPr>
      </w:pPr>
    </w:p>
    <w:p>
      <w:pPr>
        <w:ind w:left="1300" w:hanging="644"/>
        <w:spacing w:after="0" w:line="258" w:lineRule="auto"/>
        <w:tabs>
          <w:tab w:leader="none" w:pos="856"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Cessation of any sales during the pendency of material transactions or any other period when a lock-up is imposed on insiders.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17"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Some of the Opportunities</w:t>
      </w:r>
    </w:p>
    <w:p>
      <w:pPr>
        <w:spacing w:after="0" w:line="2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 pre-arranged trading program (in which your instructions are irrevocable), properly structured, can be a safer way to insulate Directors, Section 16 officers, and employees from potential insider trading liability.</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i w:val="1"/>
          <w:iCs w:val="1"/>
          <w:color w:val="auto"/>
        </w:rPr>
        <w:t>An Ongoing Periodic Sale Program</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With a trading plan, for example, it becomes clearer to the investing public (and potential plaintiffs) that your sales are simply part of a pre-established plan and are not being prompted by your knowledge of current developments within the Company, or your feelings about the Company’s prospects. Indeed, for some executives who may have been reluctant to sell any stock for fear of the message it might send to the market, Rule 10b5-1 may well present an opportunity to establish an acceptable diversification program. Pre-arranged sales over a period of time would also reduce any argument by a plaintiff’s attorney that there was incentive at a particular time for the Company to manipulate earnings or disclosures in connection with a Director, Section 16 officer, or employee’s sale.</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i w:val="1"/>
          <w:iCs w:val="1"/>
          <w:color w:val="auto"/>
        </w:rPr>
        <w:t>Stock Option Exercises and Sales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 program could include instructions for periodic exercise/same-day sales of your stock options, which could be conditioned on a minimum stock price established in your instructions. For example, you could specify that sales be limited to the number of shares necessary to cover the option exercise price and taxes due.</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i w:val="1"/>
          <w:iCs w:val="1"/>
          <w:color w:val="auto"/>
        </w:rPr>
        <w:t>Discretionary Accounts and Other Arrangements with Brokers</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true discretionary account (like a blind trust where the trustee has complete discretion) should satisfy Rule 10b5-1. Good-until-canceled orders, as well as limit orders, should also work (as long as the instruction is not changed at a time when there is undisclosed material, inside information). While discretionary accounts might work in theory, the Company would not be inclined to approve such an arrangement where the broker has a close relationship with the executive/client that could undermine the affirmative defense in the event of litigation.</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i w:val="1"/>
          <w:iCs w:val="1"/>
          <w:color w:val="auto"/>
        </w:rPr>
        <w:t>Derivatives Trading, Hedging, Pledging, and Margining Transactions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prohibits Directors, Section 16 officers, employees, and any family members who reside in your household from engaging in derivatives trading or hedging involving the Company’s securities or pledging or margining the Company’s common stock. Those types of transactions can send a poor message to the marketplace about your belief in, and commitment to, the Company’s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 Final Word</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There will be ongoing interpretations of what can and cannot be done. Needless to say, some brokers, investment bankers, and advisors may approach you suggesting a variety of arrangements. Please do not forget: </w:t>
      </w:r>
      <w:r>
        <w:rPr>
          <w:rFonts w:ascii="Times New Roman" w:cs="Times New Roman" w:eastAsia="Times New Roman" w:hAnsi="Times New Roman"/>
          <w:sz w:val="22"/>
          <w:szCs w:val="22"/>
          <w:b w:val="1"/>
          <w:bCs w:val="1"/>
          <w:color w:val="auto"/>
        </w:rPr>
        <w:t>the Company’s prior approval 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essential. </w:t>
      </w:r>
      <w:r>
        <w:rPr>
          <w:rFonts w:ascii="Times New Roman" w:cs="Times New Roman" w:eastAsia="Times New Roman" w:hAnsi="Times New Roman"/>
          <w:sz w:val="22"/>
          <w:szCs w:val="22"/>
          <w:color w:val="auto"/>
        </w:rPr>
        <w:t>If you have any questions, please contact the Company’s Chief Financial Officer or legal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17"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SUBSIDIARIES OF CALIBERCOS INC.</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gridSpan w:val="2"/>
          </w:tcPr>
          <w:p>
            <w:pPr>
              <w:ind w:left="26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404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State</w:t>
            </w:r>
          </w:p>
        </w:tc>
      </w:tr>
      <w:tr>
        <w:trPr>
          <w:trHeight w:val="218"/>
        </w:trPr>
        <w:tc>
          <w:tcPr>
            <w:tcW w:w="6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44th &amp; McDowell Hotel Group, LLC</w:t>
            </w:r>
          </w:p>
        </w:tc>
        <w:tc>
          <w:tcPr>
            <w:tcW w:w="340" w:type="dxa"/>
            <w:vAlign w:val="bottom"/>
          </w:tcPr>
          <w:p>
            <w:pPr>
              <w:spacing w:after="0"/>
              <w:rPr>
                <w:sz w:val="18"/>
                <w:szCs w:val="18"/>
                <w:color w:val="auto"/>
              </w:rPr>
            </w:pPr>
          </w:p>
        </w:tc>
        <w:tc>
          <w:tcPr>
            <w:tcW w:w="4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44th and McDowell Holding,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47th Street Phoenix Airport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47th Street Phoenix Airport,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47th Street Phoenix Fund,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47th Street Phoenix Mezzanine,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Blue Spruce Ridge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Airport Investment Company,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Airport Mezzanine,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ARC1ManageCo,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Auction Homes,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Companies,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Core+ Growth Income Fund GP,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Development,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Fixed Income Fund III, LP</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Hospitality Management 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Hospitality,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Lending,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O-Zone Fund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Phoenix Airport Portfolio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Realty Group,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Securities,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Services,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CBH 1 Phoenix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CFIF III GP,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 Ocotillo Inv Fund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 Ocotillo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 Ocotillo,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CHPH Holdings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CHPH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CHPH,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Circle Lofts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Commons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DFW Behavioral Health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Diversified II GP,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DT Mesa HOLDCO II,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DT Mesa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Elliot &amp; 51st Street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4"/>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Elliot &amp; 51st Street,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bl>
    <w:p>
      <w:pPr>
        <w:sectPr>
          <w:pgSz w:w="11900" w:h="16838" w:orient="portrait"/>
          <w:cols w:equalWidth="0" w:num="1">
            <w:col w:w="11180"/>
          </w:cols>
          <w:pgMar w:left="380" w:top="117"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SUBSIDIARIES OF CALIBERCOS INC.</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gridSpan w:val="2"/>
          </w:tcPr>
          <w:p>
            <w:pPr>
              <w:ind w:left="26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404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State</w:t>
            </w:r>
          </w:p>
        </w:tc>
      </w:tr>
      <w:tr>
        <w:trPr>
          <w:trHeight w:val="218"/>
        </w:trPr>
        <w:tc>
          <w:tcPr>
            <w:tcW w:w="6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Elliot 10 Fund, LLC</w:t>
            </w:r>
          </w:p>
        </w:tc>
        <w:tc>
          <w:tcPr>
            <w:tcW w:w="340" w:type="dxa"/>
            <w:vAlign w:val="bottom"/>
          </w:tcPr>
          <w:p>
            <w:pPr>
              <w:spacing w:after="0"/>
              <w:rPr>
                <w:sz w:val="18"/>
                <w:szCs w:val="18"/>
                <w:color w:val="auto"/>
              </w:rPr>
            </w:pPr>
          </w:p>
        </w:tc>
        <w:tc>
          <w:tcPr>
            <w:tcW w:w="4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Encore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 Hotel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IBHG, Inc.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Indian Bend Hotel Group,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Ironwood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J-25 Development Group,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Lorca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Northsight Crossing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Olathe Behavioral Health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Pima Center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Ridge II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Riverwalk Development 1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Riverwalk Development 2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Riverwalk Development 3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Riverwalk Development 4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Riverwalk Development 5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Riverwalk Land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Roosevelt III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Roosevelt Tempe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Saddleback Ranch,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SF Alaska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Southpointe FundCo,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Southpointe HoldCo,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Southpointe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Southpointe MezzCo,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Southridge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TCC Hotel I,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TCC Hotels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TCC Inv Fund I,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Tucson East Holding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Tucson East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Tucson East,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Frontier FundCo,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Frontier HoldCo,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Frontier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4"/>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Frontier MezzCo,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bl>
    <w:p>
      <w:pPr>
        <w:sectPr>
          <w:pgSz w:w="11900" w:h="16838" w:orient="portrait"/>
          <w:cols w:equalWidth="0" w:num="1">
            <w:col w:w="11180"/>
          </w:cols>
          <w:pgMar w:left="380" w:top="117"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2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2"/>
          <w:szCs w:val="22"/>
          <w:color w:val="auto"/>
        </w:rPr>
        <w:t>We consent to the incorporation by reference in Registration Statement No. 333-280243 on Form S-3 and Registration Statement Nos. 333-280638 and 333-272078 on Form S-8 of our report dated March 31, 2025, relating to the financial statements of CaliberCos Inc., appearing in this Annual Report on Form 10-K for the year ended December 31,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Deloitte &amp; Touche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Tempe, Arizona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C. Loeffler, II, certify that:</w:t>
      </w:r>
    </w:p>
    <w:p>
      <w:pPr>
        <w:spacing w:after="0" w:line="239"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CaliberCos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50" w:lineRule="auto"/>
        <w:tabs>
          <w:tab w:leader="none" w:pos="129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820" w:val="left"/>
          <w:tab w:leader="none" w:pos="6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31, 2025</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John C. Loeffler,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18415</wp:posOffset>
            </wp:positionV>
            <wp:extent cx="254571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18"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John C. Loeffler, II</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Jade Leung, certify that:</w:t>
      </w:r>
    </w:p>
    <w:p>
      <w:pPr>
        <w:spacing w:after="0" w:line="239"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CaliberCos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50" w:lineRule="auto"/>
        <w:tabs>
          <w:tab w:leader="none" w:pos="129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840" w:val="left"/>
          <w:tab w:leader="none" w:pos="6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31, 2025</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Jade Leung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18415</wp:posOffset>
            </wp:positionV>
            <wp:extent cx="261429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Jade Leung</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00"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CaliberCos Inc. (the “Company”) on Form 10-Q, for the fiscal quarter ended December 31, 2024, as filed with the Securities and Exchange Commission on the date hereof (the “Report”), I, John C. Loeffler, II, Chief Executive Officer of CaliberCos Inc., certify, pursuant to 18 U.S.C. ss.1350, as adopted pursuant to Section 906 of the Sarbanes-Oxley Act of 2002, that, to the best of my knowledge:</w:t>
      </w:r>
    </w:p>
    <w:p>
      <w:pPr>
        <w:spacing w:after="0" w:line="190" w:lineRule="exact"/>
        <w:rPr>
          <w:sz w:val="20"/>
          <w:szCs w:val="20"/>
          <w:color w:val="auto"/>
        </w:rPr>
      </w:pPr>
    </w:p>
    <w:p>
      <w:pPr>
        <w:ind w:left="260" w:hanging="252"/>
        <w:spacing w:after="0"/>
        <w:tabs>
          <w:tab w:leader="none" w:pos="2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41" w:lineRule="exact"/>
        <w:rPr>
          <w:sz w:val="20"/>
          <w:szCs w:val="20"/>
          <w:color w:val="auto"/>
        </w:rPr>
      </w:pPr>
    </w:p>
    <w:p>
      <w:pPr>
        <w:ind w:left="20"/>
        <w:spacing w:after="0"/>
        <w:tabs>
          <w:tab w:leader="none" w:pos="840" w:val="left"/>
          <w:tab w:leader="none" w:pos="6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31, 2025</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John C. Loeffler,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18415</wp:posOffset>
            </wp:positionV>
            <wp:extent cx="26142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John C. Loeffler, II</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CaliberCos Inc. (the “Company”) on Form 10-Q, for the fiscal quarter ended December 31, 2024, as filed with the Securities and Exchange Commission on the date hereof (the “Report”), I, Jade Leung, Chief Financial Officer of CaliberCos Inc., certify, pursuant to 18 U.S.C. ss.1350, as adopted pursuant to Section 906 of the Sarbanes-Oxley Act of 2002, that, to the best of my knowledge:</w:t>
      </w:r>
    </w:p>
    <w:p>
      <w:pPr>
        <w:spacing w:after="0" w:line="190" w:lineRule="exact"/>
        <w:rPr>
          <w:sz w:val="20"/>
          <w:szCs w:val="20"/>
          <w:color w:val="auto"/>
        </w:rPr>
      </w:pPr>
    </w:p>
    <w:p>
      <w:pPr>
        <w:ind w:left="260" w:hanging="252"/>
        <w:spacing w:after="0"/>
        <w:tabs>
          <w:tab w:leader="none" w:pos="2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41" w:lineRule="exact"/>
        <w:rPr>
          <w:sz w:val="20"/>
          <w:szCs w:val="20"/>
          <w:color w:val="auto"/>
        </w:rPr>
      </w:pPr>
    </w:p>
    <w:p>
      <w:pPr>
        <w:ind w:left="20"/>
        <w:spacing w:after="0"/>
        <w:tabs>
          <w:tab w:leader="none" w:pos="840" w:val="left"/>
          <w:tab w:leader="none" w:pos="6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31, 2025</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Jade Leung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18415</wp:posOffset>
            </wp:positionV>
            <wp:extent cx="26142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Jade Leung</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00"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CaliberCos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Officer Clawback Policy</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Approved by the Board of Directors November 2023 (the “Adoption Date”)</w:t>
      </w:r>
    </w:p>
    <w:p>
      <w:pPr>
        <w:spacing w:after="0" w:line="200" w:lineRule="exact"/>
        <w:rPr>
          <w:sz w:val="20"/>
          <w:szCs w:val="20"/>
          <w:color w:val="auto"/>
        </w:rPr>
      </w:pPr>
    </w:p>
    <w:p>
      <w:pPr>
        <w:spacing w:after="0" w:line="263" w:lineRule="exact"/>
        <w:rPr>
          <w:sz w:val="20"/>
          <w:szCs w:val="20"/>
          <w:color w:val="auto"/>
        </w:rPr>
      </w:pPr>
    </w:p>
    <w:p>
      <w:pPr>
        <w:ind w:left="300" w:hanging="292"/>
        <w:spacing w:after="0"/>
        <w:tabs>
          <w:tab w:leader="none" w:pos="30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p>
    <w:p>
      <w:pPr>
        <w:spacing w:after="0" w:line="24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Executive Officer Clawback Policy describes the circumstances under which Covered Persons of CaliberCos Inc. and any of its direct or indirect subsidiaries (the “Company”) will be required to repay or return Erroneously-Awarded Compensation to the Company.</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Policy and any terms used in this Policy shall be construed in accordance with any SEC regulations promulgated to comply with Section 954 of the Dodd-Frank Wall Street Reform and Consumer Protection Act of 2010 and the rules adopted by Nasdaq.</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Each Covered Person of the Company shall sign an Acknowledgement and Agreement to the Executive Officer Clawback Policy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a condition to his or her participation in any of the Company’s incentive-based compensation programs.</w:t>
      </w:r>
    </w:p>
    <w:p>
      <w:pPr>
        <w:spacing w:after="0" w:line="185" w:lineRule="exact"/>
        <w:rPr>
          <w:sz w:val="20"/>
          <w:szCs w:val="20"/>
          <w:color w:val="auto"/>
        </w:rPr>
      </w:pPr>
    </w:p>
    <w:p>
      <w:pPr>
        <w:ind w:left="380" w:hanging="372"/>
        <w:spacing w:after="0"/>
        <w:tabs>
          <w:tab w:leader="none" w:pos="38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 the following capitalized terms shall have the meaning set forth below:</w:t>
      </w:r>
    </w:p>
    <w:p>
      <w:pPr>
        <w:spacing w:after="0" w:line="235" w:lineRule="exact"/>
        <w:rPr>
          <w:sz w:val="20"/>
          <w:szCs w:val="20"/>
          <w:color w:val="auto"/>
        </w:rPr>
      </w:pPr>
    </w:p>
    <w:p>
      <w:pPr>
        <w:ind w:left="660" w:hanging="652"/>
        <w:spacing w:after="0" w:line="239" w:lineRule="auto"/>
        <w:tabs>
          <w:tab w:leader="none" w:pos="39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Accounting Restatement</w:t>
      </w:r>
      <w:r>
        <w:rPr>
          <w:rFonts w:ascii="Times New Roman" w:cs="Times New Roman" w:eastAsia="Times New Roman" w:hAnsi="Times New Roman"/>
          <w:sz w:val="18"/>
          <w:szCs w:val="18"/>
          <w:color w:val="auto"/>
        </w:rPr>
        <w:t>” shall mean an accounting restatement (i)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(a “Big R” restatement), or (ii) that corrects an error that is not material to previously issued financial statements, but would result in a material misstatement if the error were corrected in the current period or left uncorrected in the current period (a “little r” restatement).</w:t>
      </w:r>
    </w:p>
    <w:p>
      <w:pPr>
        <w:spacing w:after="0" w:line="21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Adoption Date</w:t>
      </w:r>
      <w:r>
        <w:rPr>
          <w:rFonts w:ascii="Times New Roman" w:cs="Times New Roman" w:eastAsia="Times New Roman" w:hAnsi="Times New Roman"/>
          <w:sz w:val="18"/>
          <w:szCs w:val="18"/>
          <w:color w:val="auto"/>
        </w:rPr>
        <w:t>” shall have the meaning set forth under the title of this Policy.</w:t>
      </w:r>
    </w:p>
    <w:p>
      <w:pPr>
        <w:spacing w:after="0" w:line="23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38" w:lineRule="exact"/>
        <w:rPr>
          <w:rFonts w:ascii="Times New Roman" w:cs="Times New Roman" w:eastAsia="Times New Roman" w:hAnsi="Times New Roman"/>
          <w:sz w:val="18"/>
          <w:szCs w:val="18"/>
          <w:color w:val="auto"/>
        </w:rPr>
      </w:pPr>
    </w:p>
    <w:p>
      <w:pPr>
        <w:ind w:left="660" w:hanging="652"/>
        <w:spacing w:after="0" w:line="246" w:lineRule="auto"/>
        <w:tabs>
          <w:tab w:leader="none" w:pos="49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Clawback-Eligible Incentive Compensation</w:t>
      </w:r>
      <w:r>
        <w:rPr>
          <w:rFonts w:ascii="Times New Roman" w:cs="Times New Roman" w:eastAsia="Times New Roman" w:hAnsi="Times New Roman"/>
          <w:sz w:val="18"/>
          <w:szCs w:val="18"/>
          <w:color w:val="auto"/>
        </w:rPr>
        <w:t>” shall mean, in connection with an Accounting Restatement, any Incentive-Based Compensation Received by a Covered Person (regardless of whether such Covered Person was serving at the time that Erroneously-Awarded Compensation is required to be repaid) (i) on or after the Nasdaq Effective Date, (ii) after beginning service as a Covered Person, (iii) while the Company has a class of securities listed on a national securities exchange or national securities association, and (iv) during the Clawback Period.</w:t>
      </w:r>
    </w:p>
    <w:p>
      <w:pPr>
        <w:spacing w:after="0" w:line="204" w:lineRule="exact"/>
        <w:rPr>
          <w:rFonts w:ascii="Times New Roman" w:cs="Times New Roman" w:eastAsia="Times New Roman" w:hAnsi="Times New Roman"/>
          <w:sz w:val="18"/>
          <w:szCs w:val="18"/>
          <w:color w:val="auto"/>
        </w:rPr>
      </w:pPr>
    </w:p>
    <w:p>
      <w:pPr>
        <w:ind w:left="660" w:hanging="652"/>
        <w:spacing w:after="0" w:line="252" w:lineRule="auto"/>
        <w:tabs>
          <w:tab w:leader="none" w:pos="39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Clawback Period</w:t>
      </w:r>
      <w:r>
        <w:rPr>
          <w:rFonts w:ascii="Times New Roman" w:cs="Times New Roman" w:eastAsia="Times New Roman" w:hAnsi="Times New Roman"/>
          <w:sz w:val="18"/>
          <w:szCs w:val="18"/>
          <w:color w:val="auto"/>
        </w:rPr>
        <w:t>” shall mean, with respect to any Accounting Restatement, the three completed fiscal years immediately preceding the Restatement Date and any transition period (that results from a change in the Company’s fiscal year) of less than nine months within or immediately following those three completed fiscal years.</w:t>
      </w:r>
    </w:p>
    <w:p>
      <w:pPr>
        <w:spacing w:after="0" w:line="184"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Committee</w:t>
      </w:r>
      <w:r>
        <w:rPr>
          <w:rFonts w:ascii="Times New Roman" w:cs="Times New Roman" w:eastAsia="Times New Roman" w:hAnsi="Times New Roman"/>
          <w:sz w:val="18"/>
          <w:szCs w:val="18"/>
          <w:color w:val="auto"/>
        </w:rPr>
        <w:t>” Compensation Committee of the Board.</w:t>
      </w:r>
    </w:p>
    <w:p>
      <w:pPr>
        <w:spacing w:after="0" w:line="23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shall have the meaning set forth in Section I above.</w:t>
      </w:r>
    </w:p>
    <w:p>
      <w:pPr>
        <w:spacing w:after="0" w:line="238" w:lineRule="exact"/>
        <w:rPr>
          <w:rFonts w:ascii="Times New Roman" w:cs="Times New Roman" w:eastAsia="Times New Roman" w:hAnsi="Times New Roman"/>
          <w:sz w:val="18"/>
          <w:szCs w:val="18"/>
          <w:color w:val="auto"/>
        </w:rPr>
      </w:pPr>
    </w:p>
    <w:p>
      <w:pPr>
        <w:ind w:left="660" w:hanging="652"/>
        <w:spacing w:after="0" w:line="252" w:lineRule="auto"/>
        <w:tabs>
          <w:tab w:leader="none" w:pos="45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Covered Person</w:t>
      </w:r>
      <w:r>
        <w:rPr>
          <w:rFonts w:ascii="Times New Roman" w:cs="Times New Roman" w:eastAsia="Times New Roman" w:hAnsi="Times New Roman"/>
          <w:sz w:val="18"/>
          <w:szCs w:val="18"/>
          <w:color w:val="auto"/>
        </w:rPr>
        <w:t>” shall mean any person who is, or was at any time, during the Clawback Period, an Executive Officer of the Company. For the avoidance of doubt, Covered Person may include a former Executive Officer that left the Company, retired, or transitioned to an employee role (including after serving as an Executive Officer in an interim capacity) during the Clawback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652"/>
        <w:spacing w:after="0" w:line="252" w:lineRule="auto"/>
        <w:tabs>
          <w:tab w:leader="none" w:pos="36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Erroneously-Awarded Compensation</w:t>
      </w:r>
      <w:r>
        <w:rPr>
          <w:rFonts w:ascii="Times New Roman" w:cs="Times New Roman" w:eastAsia="Times New Roman" w:hAnsi="Times New Roman"/>
          <w:sz w:val="18"/>
          <w:szCs w:val="18"/>
          <w:color w:val="auto"/>
        </w:rPr>
        <w:t>” shall mean the amount of Clawback-Eligible Incentive Compensation that exceeds the amount of Incentive-Based Compensation that otherwise would have been Received had it been determined based on the restated amounts. This amount must be computed without regard to any taxes paid.</w:t>
      </w:r>
    </w:p>
    <w:p>
      <w:pPr>
        <w:spacing w:after="0" w:line="198" w:lineRule="exact"/>
        <w:rPr>
          <w:rFonts w:ascii="Times New Roman" w:cs="Times New Roman" w:eastAsia="Times New Roman" w:hAnsi="Times New Roman"/>
          <w:sz w:val="18"/>
          <w:szCs w:val="18"/>
          <w:color w:val="auto"/>
        </w:rPr>
      </w:pPr>
    </w:p>
    <w:p>
      <w:pPr>
        <w:ind w:left="660" w:hanging="652"/>
        <w:spacing w:after="0" w:line="239" w:lineRule="auto"/>
        <w:tabs>
          <w:tab w:leader="none" w:pos="40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Executive Officer</w:t>
      </w:r>
      <w:r>
        <w:rPr>
          <w:rFonts w:ascii="Times New Roman" w:cs="Times New Roman" w:eastAsia="Times New Roman" w:hAnsi="Times New Roman"/>
          <w:sz w:val="18"/>
          <w:szCs w:val="18"/>
          <w:color w:val="auto"/>
        </w:rPr>
        <w:t>” shall mean the Company’s president, principal financial officer, principal accounting officer (or if there is no such accounting officer, the controller), any vice-president in charge of a principal business unit, division, or function (such as sales, administration, or finance), any other officer who performs a policy-making function, or any other person (including an officer of the Company’s parent(s) or subsidiaries) who performs similar policy-making functions for the Company. For the sake of clarity, at a minimum, all persons who would be executive officers pursuant to Rule 401(b) under Regulation S-K shall be deemed “Executive Officers.”</w:t>
      </w:r>
    </w:p>
    <w:p>
      <w:pPr>
        <w:spacing w:after="0" w:line="211" w:lineRule="exact"/>
        <w:rPr>
          <w:rFonts w:ascii="Times New Roman" w:cs="Times New Roman" w:eastAsia="Times New Roman" w:hAnsi="Times New Roman"/>
          <w:sz w:val="18"/>
          <w:szCs w:val="18"/>
          <w:color w:val="auto"/>
        </w:rPr>
      </w:pPr>
    </w:p>
    <w:p>
      <w:pPr>
        <w:ind w:left="660" w:hanging="652"/>
        <w:spacing w:after="0" w:line="246" w:lineRule="auto"/>
        <w:tabs>
          <w:tab w:leader="none" w:pos="49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Financial Reporting Measures</w:t>
      </w:r>
      <w:r>
        <w:rPr>
          <w:rFonts w:ascii="Times New Roman" w:cs="Times New Roman" w:eastAsia="Times New Roman" w:hAnsi="Times New Roman"/>
          <w:sz w:val="18"/>
          <w:szCs w:val="18"/>
          <w:color w:val="auto"/>
        </w:rPr>
        <w:t>” shall mean measures that are determined and presented in accordance with the accounting principles used in preparing the Company’s financial statements, and all other measures that are derived wholly or in part from such measures. For purposes of this Policy, Financial Reporting Measures shall include stock price and total shareholder return (and any measures that are derived wholly or in part from stock price or total shareholder return).</w:t>
      </w:r>
    </w:p>
    <w:p>
      <w:pPr>
        <w:spacing w:after="0" w:line="204"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Incentive-Based Compensation</w:t>
      </w:r>
      <w:r>
        <w:rPr>
          <w:rFonts w:ascii="Times New Roman" w:cs="Times New Roman" w:eastAsia="Times New Roman" w:hAnsi="Times New Roman"/>
          <w:sz w:val="18"/>
          <w:szCs w:val="18"/>
          <w:color w:val="auto"/>
        </w:rPr>
        <w:t>” shall have the meaning set forth in Section III below.</w:t>
      </w:r>
    </w:p>
    <w:p>
      <w:pPr>
        <w:spacing w:after="0" w:line="238"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Nasdaq</w:t>
      </w:r>
      <w:r>
        <w:rPr>
          <w:rFonts w:ascii="Times New Roman" w:cs="Times New Roman" w:eastAsia="Times New Roman" w:hAnsi="Times New Roman"/>
          <w:sz w:val="18"/>
          <w:szCs w:val="18"/>
          <w:color w:val="auto"/>
        </w:rPr>
        <w:t>” shall mean The Nasdaq Stock Market LLC.</w:t>
      </w:r>
    </w:p>
    <w:p>
      <w:pPr>
        <w:spacing w:after="0" w:line="23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Nasdaq Effective Date</w:t>
      </w:r>
      <w:r>
        <w:rPr>
          <w:rFonts w:ascii="Times New Roman" w:cs="Times New Roman" w:eastAsia="Times New Roman" w:hAnsi="Times New Roman"/>
          <w:sz w:val="18"/>
          <w:szCs w:val="18"/>
          <w:color w:val="auto"/>
        </w:rPr>
        <w:t>” shall mean October 2, 2023.</w:t>
      </w:r>
    </w:p>
    <w:p>
      <w:pPr>
        <w:spacing w:after="0" w:line="23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Policy</w:t>
      </w:r>
      <w:r>
        <w:rPr>
          <w:rFonts w:ascii="Times New Roman" w:cs="Times New Roman" w:eastAsia="Times New Roman" w:hAnsi="Times New Roman"/>
          <w:sz w:val="18"/>
          <w:szCs w:val="18"/>
          <w:color w:val="auto"/>
        </w:rPr>
        <w:t>” shall mean this Executive Officer Clawback Policy, as the same may be amended and/or restated from time to time.</w:t>
      </w:r>
    </w:p>
    <w:p>
      <w:pPr>
        <w:spacing w:after="0" w:line="238" w:lineRule="exact"/>
        <w:rPr>
          <w:rFonts w:ascii="Times New Roman" w:cs="Times New Roman" w:eastAsia="Times New Roman" w:hAnsi="Times New Roman"/>
          <w:sz w:val="18"/>
          <w:szCs w:val="18"/>
          <w:color w:val="auto"/>
        </w:rPr>
      </w:pPr>
    </w:p>
    <w:p>
      <w:pPr>
        <w:ind w:left="660" w:hanging="652"/>
        <w:spacing w:after="0" w:line="271" w:lineRule="auto"/>
        <w:tabs>
          <w:tab w:leader="none" w:pos="40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Received</w:t>
      </w:r>
      <w:r>
        <w:rPr>
          <w:rFonts w:ascii="Times New Roman" w:cs="Times New Roman" w:eastAsia="Times New Roman" w:hAnsi="Times New Roman"/>
          <w:sz w:val="18"/>
          <w:szCs w:val="18"/>
          <w:color w:val="auto"/>
        </w:rPr>
        <w:t>” shall mean Incentive-Based Compensation received, or deemed to be received, in the Company’s fiscal period during which the Financial Reporting Measure specified in the Incentive-Based Compensation is attained, even if the payment or grant occurs after the fiscal period.</w:t>
      </w:r>
    </w:p>
    <w:p>
      <w:pPr>
        <w:spacing w:after="0" w:line="18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Repayment Agreement</w:t>
      </w:r>
      <w:r>
        <w:rPr>
          <w:rFonts w:ascii="Times New Roman" w:cs="Times New Roman" w:eastAsia="Times New Roman" w:hAnsi="Times New Roman"/>
          <w:sz w:val="18"/>
          <w:szCs w:val="18"/>
          <w:color w:val="auto"/>
        </w:rPr>
        <w:t>” shall have the meaning set forth in Section V(d) below.</w:t>
      </w:r>
    </w:p>
    <w:p>
      <w:pPr>
        <w:spacing w:after="0" w:line="238" w:lineRule="exact"/>
        <w:rPr>
          <w:rFonts w:ascii="Times New Roman" w:cs="Times New Roman" w:eastAsia="Times New Roman" w:hAnsi="Times New Roman"/>
          <w:sz w:val="18"/>
          <w:szCs w:val="18"/>
          <w:color w:val="auto"/>
        </w:rPr>
      </w:pPr>
    </w:p>
    <w:p>
      <w:pPr>
        <w:ind w:left="660" w:right="20" w:hanging="652"/>
        <w:spacing w:after="0" w:line="245" w:lineRule="auto"/>
        <w:tabs>
          <w:tab w:leader="none" w:pos="37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Restatement Date</w:t>
      </w:r>
      <w:r>
        <w:rPr>
          <w:rFonts w:ascii="Times New Roman" w:cs="Times New Roman" w:eastAsia="Times New Roman" w:hAnsi="Times New Roman"/>
          <w:sz w:val="18"/>
          <w:szCs w:val="18"/>
          <w:color w:val="auto"/>
        </w:rPr>
        <w:t>” shall mean the earlier of (i) the date the Board, a committee of the Board, or the officers of the Company authorized to take such action if Board action is not required, concludes, or reasonably should have concluded, that the Company is required to prepare an Accounting Restatement, or (ii) the date that a court, regulator, or other legally authorized body directs the Company to prepare an Accounting Restatement.</w:t>
      </w:r>
    </w:p>
    <w:p>
      <w:pPr>
        <w:spacing w:after="0" w:line="20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SARs</w:t>
      </w:r>
      <w:r>
        <w:rPr>
          <w:rFonts w:ascii="Times New Roman" w:cs="Times New Roman" w:eastAsia="Times New Roman" w:hAnsi="Times New Roman"/>
          <w:sz w:val="18"/>
          <w:szCs w:val="18"/>
          <w:color w:val="auto"/>
        </w:rPr>
        <w:t>” shall mean stock appreciation rights.</w:t>
      </w:r>
    </w:p>
    <w:p>
      <w:pPr>
        <w:spacing w:after="0" w:line="238"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w:t>
      </w:r>
      <w:r>
        <w:rPr>
          <w:rFonts w:ascii="Times New Roman" w:cs="Times New Roman" w:eastAsia="Times New Roman" w:hAnsi="Times New Roman"/>
          <w:sz w:val="18"/>
          <w:szCs w:val="18"/>
          <w:color w:val="auto"/>
        </w:rPr>
        <w:t>” shall mean the U.S. Securities and Exchange Commission.</w:t>
      </w:r>
    </w:p>
    <w:p>
      <w:pPr>
        <w:spacing w:after="0" w:line="239" w:lineRule="exact"/>
        <w:rPr>
          <w:sz w:val="20"/>
          <w:szCs w:val="20"/>
          <w:color w:val="auto"/>
        </w:rPr>
      </w:pPr>
    </w:p>
    <w:p>
      <w:pPr>
        <w:ind w:left="440" w:hanging="432"/>
        <w:spacing w:after="0"/>
        <w:tabs>
          <w:tab w:leader="none" w:pos="4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Incentive-Based Compensation</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“Incentive-Based Compensation” shall mean any compensation that is granted, earned, or vested wholly or in part upon the attainment of a Financial Reporting Measure.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 specific examples of Incentive-Based Compensation include, but are not limited to:</w:t>
      </w:r>
    </w:p>
    <w:p>
      <w:pPr>
        <w:spacing w:after="0" w:line="239" w:lineRule="exact"/>
        <w:rPr>
          <w:sz w:val="20"/>
          <w:szCs w:val="20"/>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Non-equity incentive plan awards that are earned, wholly or in part, based on satisfaction of a Financial Reporting Measure performance goal;</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paid from a “bonus pool,” the size of which is determined, wholly or in part, based on satisfaction of a Financial Reporting Measure performance goal;</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cash awards based on satisfaction of a Financial Reporting Measure performance goal;</w:t>
      </w:r>
    </w:p>
    <w:p>
      <w:pPr>
        <w:ind w:left="660" w:right="20" w:hanging="328"/>
        <w:spacing w:after="0" w:line="233" w:lineRule="auto"/>
        <w:tabs>
          <w:tab w:leader="none" w:pos="6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restricted stock units, performance share units, stock options, and SARs that are granted or become vested, wholly or in part, on satisfaction of a Financial Reporting Measure performance goal;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17"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328"/>
        <w:spacing w:after="0" w:line="266" w:lineRule="auto"/>
        <w:tabs>
          <w:tab w:leader="none" w:pos="6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received upon the sale of shares acquired through an incentive plan that were granted or vested based, wholly or in part, on satisfaction of a Financial Reporting Measure performance goal.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 Incentive-Based Compensation excludes:</w:t>
      </w:r>
    </w:p>
    <w:p>
      <w:pPr>
        <w:spacing w:after="0" w:line="239" w:lineRule="exact"/>
        <w:rPr>
          <w:sz w:val="20"/>
          <w:szCs w:val="20"/>
          <w:color w:val="auto"/>
        </w:rPr>
      </w:pPr>
    </w:p>
    <w:p>
      <w:pPr>
        <w:ind w:left="660" w:right="20" w:hanging="328"/>
        <w:spacing w:after="0" w:line="246"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base salaries (except with respect to any salary increases earned, wholly or in part, based on satisfaction of a Financial Reporting Measure performance goal);</w:t>
      </w:r>
    </w:p>
    <w:p>
      <w:pPr>
        <w:ind w:left="660" w:hanging="328"/>
        <w:spacing w:after="0" w:line="226"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paid solely at the discretion of the Committee or Board that are not paid from a “bonus pool” that is determined by satisfying a Financial Reporting Measure performance goal;</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paid solely upon satisfying one or more subjective standards and/or completion of a specified employment period;</w:t>
      </w:r>
    </w:p>
    <w:p>
      <w:pPr>
        <w:ind w:left="660" w:hanging="328"/>
        <w:spacing w:after="0" w:line="234"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Non-equity incentive plan awards earned solely upon satisfying one or more strategic measures or operational measures; and</w:t>
      </w: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that vest solely based on the passage of time and/or satisfaction of one or more non-Financial Reporting Measures.</w:t>
      </w:r>
    </w:p>
    <w:p>
      <w:pPr>
        <w:spacing w:after="0" w:line="21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7"/>
          <w:szCs w:val="17"/>
          <w:b w:val="1"/>
          <w:bCs w:val="1"/>
          <w:u w:val="single" w:color="auto"/>
          <w:color w:val="auto"/>
        </w:rPr>
        <w:t>Determination and Calculation of Erroneously-Awarded Compensation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the event of an Accounting Restatement, the Committee shall promptly (and in all events within ninety (90) days after the Restatement Date) determine the amount of any Erroneously-Awarded Compensation for each Executive Officer in connection with such Accounting Restatement and shall promptly thereafter provide each Executive Officer with a written notice containing the amount of Erroneously-Awarded Compensation and a demand for repayment or return, as applicable.</w:t>
      </w:r>
    </w:p>
    <w:p>
      <w:pPr>
        <w:spacing w:after="0" w:line="204" w:lineRule="exact"/>
        <w:rPr>
          <w:sz w:val="20"/>
          <w:szCs w:val="20"/>
          <w:color w:val="auto"/>
        </w:rPr>
      </w:pPr>
    </w:p>
    <w:p>
      <w:pPr>
        <w:ind w:left="660" w:hanging="652"/>
        <w:spacing w:after="0" w:line="252" w:lineRule="auto"/>
        <w:tabs>
          <w:tab w:leader="none" w:pos="39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Awards</w:t>
      </w:r>
      <w:r>
        <w:rPr>
          <w:rFonts w:ascii="Times New Roman" w:cs="Times New Roman" w:eastAsia="Times New Roman" w:hAnsi="Times New Roman"/>
          <w:sz w:val="18"/>
          <w:szCs w:val="18"/>
          <w:color w:val="auto"/>
        </w:rPr>
        <w:t>. With respect to cash awards, the Erroneously-Awarded Compensation is the difference between the amount of the cash award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as a lump sum or over time) that was Received and the amount that should have been received applying the restated Financial Reporting Measure.</w:t>
      </w:r>
    </w:p>
    <w:p>
      <w:pPr>
        <w:spacing w:after="0" w:line="198" w:lineRule="exact"/>
        <w:rPr>
          <w:rFonts w:ascii="Times New Roman" w:cs="Times New Roman" w:eastAsia="Times New Roman" w:hAnsi="Times New Roman"/>
          <w:sz w:val="18"/>
          <w:szCs w:val="18"/>
          <w:color w:val="auto"/>
        </w:rPr>
      </w:pPr>
    </w:p>
    <w:p>
      <w:pPr>
        <w:ind w:left="660" w:hanging="652"/>
        <w:spacing w:after="0" w:line="271" w:lineRule="auto"/>
        <w:tabs>
          <w:tab w:leader="none" w:pos="4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Awards Paid From Bonus Pools</w:t>
      </w:r>
      <w:r>
        <w:rPr>
          <w:rFonts w:ascii="Times New Roman" w:cs="Times New Roman" w:eastAsia="Times New Roman" w:hAnsi="Times New Roman"/>
          <w:sz w:val="18"/>
          <w:szCs w:val="18"/>
          <w:color w:val="auto"/>
        </w:rPr>
        <w:t>. With respect to cash awards paid from bonus pools, the Erroneously-Awarded Compensation is the pro rata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any deficiency that results from the aggregate bonus pool that is reduced based on applying the restated Financial Reporting Measure.</w:t>
      </w:r>
    </w:p>
    <w:p>
      <w:pPr>
        <w:spacing w:after="0" w:line="167" w:lineRule="exact"/>
        <w:rPr>
          <w:rFonts w:ascii="Times New Roman" w:cs="Times New Roman" w:eastAsia="Times New Roman" w:hAnsi="Times New Roman"/>
          <w:sz w:val="18"/>
          <w:szCs w:val="18"/>
          <w:color w:val="auto"/>
        </w:rPr>
      </w:pPr>
    </w:p>
    <w:p>
      <w:pPr>
        <w:ind w:left="660" w:hanging="652"/>
        <w:spacing w:after="0" w:line="242" w:lineRule="auto"/>
        <w:tabs>
          <w:tab w:leader="none" w:pos="48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Equity Awards</w:t>
      </w:r>
      <w:r>
        <w:rPr>
          <w:rFonts w:ascii="Times New Roman" w:cs="Times New Roman" w:eastAsia="Times New Roman" w:hAnsi="Times New Roman"/>
          <w:sz w:val="18"/>
          <w:szCs w:val="18"/>
          <w:color w:val="auto"/>
        </w:rPr>
        <w:t>. With respect to equity awards, if the shares, options, or SARs are still held at the time of recovery, the Erroneously-Awarded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is the number of such securities Received in excess of the number that should have been received applying the restated Financial Reporting Measure (or the value in excess of that number). If the options or SARs have been exercised, but the underlying shares have not been sold, the Erroneously-Awarded Compensation is the number of shares underlying the excess options or SARs (or the value thereof). If the underlying shares have already been sold, then the Committee shall determine the amount which most reasonably estimates the Erroneously-Awarded Compensation.</w:t>
      </w:r>
    </w:p>
    <w:p>
      <w:pPr>
        <w:spacing w:after="0" w:line="205" w:lineRule="exact"/>
        <w:rPr>
          <w:rFonts w:ascii="Times New Roman" w:cs="Times New Roman" w:eastAsia="Times New Roman" w:hAnsi="Times New Roman"/>
          <w:sz w:val="18"/>
          <w:szCs w:val="18"/>
          <w:color w:val="auto"/>
        </w:rPr>
      </w:pPr>
    </w:p>
    <w:p>
      <w:pPr>
        <w:ind w:left="660" w:hanging="652"/>
        <w:spacing w:after="0" w:line="242" w:lineRule="auto"/>
        <w:tabs>
          <w:tab w:leader="none" w:pos="42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Compensation Based on Stock Price or Total Shareholder Return</w:t>
      </w:r>
      <w:r>
        <w:rPr>
          <w:rFonts w:ascii="Times New Roman" w:cs="Times New Roman" w:eastAsia="Times New Roman" w:hAnsi="Times New Roman"/>
          <w:sz w:val="18"/>
          <w:szCs w:val="18"/>
          <w:color w:val="auto"/>
        </w:rPr>
        <w:t>. For Incentive-Based Compensation based on (or derived from) stock price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 shareholder return, where the amount of Erroneously-Awarded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Committee shall maintain documentation of such determination of that reasonable estimate and provide such documentation to Nasdaq in accordance with applicable listing standards).</w:t>
      </w:r>
    </w:p>
    <w:p>
      <w:pPr>
        <w:spacing w:after="0" w:line="206" w:lineRule="exact"/>
        <w:rPr>
          <w:sz w:val="20"/>
          <w:szCs w:val="20"/>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Recovery of Erroneously-Awarded Compensation</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Once the Committee has determined the amount of Erroneously-Awarded Compensation recoverable from the applicable Covered Person, the Committee shall take all necessary actions to recover the Erroneously-Awarded Compensation. Unless otherwise determined by the Committee, the Committee shall pursue the recovery of Erroneously-Awarded Compensation in accordance with the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17" w:right="339" w:bottom="1440" w:gutter="0" w:footer="0" w:header="0"/>
        </w:sectPr>
      </w:pPr>
    </w:p>
    <w:bookmarkStart w:id="161" w:name="page162"/>
    <w:bookmarkEnd w:id="161"/>
    <w:p>
      <w:pPr>
        <w:ind w:left="10320"/>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500" w:hanging="492"/>
        <w:spacing w:after="0" w:line="243" w:lineRule="auto"/>
        <w:tabs>
          <w:tab w:leader="none" w:pos="5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Awards</w:t>
      </w:r>
      <w:r>
        <w:rPr>
          <w:rFonts w:ascii="Times New Roman" w:cs="Times New Roman" w:eastAsia="Times New Roman" w:hAnsi="Times New Roman"/>
          <w:sz w:val="18"/>
          <w:szCs w:val="18"/>
          <w:color w:val="auto"/>
        </w:rPr>
        <w:t>. With respect to cash awards, the Committee shall either (i) require the Covered Person to repay the Erroneously-Awarded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in a lump sum in cash (or such property as the Committee agrees to accept with a value equal to such Erroneously-Awarded Compensation) reasonably promptly following the Restatement Date or (ii) if approved by the Committee, offer to enter into a Repayment Agreement. If the Covered Person accepts such offer and signs the Repayment Agreement within a reasonable time as determined by the Committee, the Company shall countersign such Repayment Agreement.</w:t>
      </w:r>
    </w:p>
    <w:p>
      <w:pPr>
        <w:spacing w:after="0" w:line="207" w:lineRule="exact"/>
        <w:rPr>
          <w:rFonts w:ascii="Times New Roman" w:cs="Times New Roman" w:eastAsia="Times New Roman" w:hAnsi="Times New Roman"/>
          <w:sz w:val="18"/>
          <w:szCs w:val="18"/>
          <w:color w:val="auto"/>
        </w:rPr>
      </w:pPr>
    </w:p>
    <w:p>
      <w:pPr>
        <w:ind w:left="500" w:hanging="492"/>
        <w:spacing w:after="0" w:line="271" w:lineRule="auto"/>
        <w:tabs>
          <w:tab w:leader="none" w:pos="43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Unvested Equity Awards</w:t>
      </w:r>
      <w:r>
        <w:rPr>
          <w:rFonts w:ascii="Times New Roman" w:cs="Times New Roman" w:eastAsia="Times New Roman" w:hAnsi="Times New Roman"/>
          <w:sz w:val="18"/>
          <w:szCs w:val="18"/>
          <w:color w:val="auto"/>
        </w:rPr>
        <w:t>. With respect to those equity awards that have not yet vested, the Committee shall take all necessary action to cancel,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cause to be forfeited, the awards in the amount of the Erroneously-Awarded Compensation.</w:t>
      </w:r>
    </w:p>
    <w:p>
      <w:pPr>
        <w:spacing w:after="0" w:line="167" w:lineRule="exact"/>
        <w:rPr>
          <w:rFonts w:ascii="Times New Roman" w:cs="Times New Roman" w:eastAsia="Times New Roman" w:hAnsi="Times New Roman"/>
          <w:sz w:val="18"/>
          <w:szCs w:val="18"/>
          <w:color w:val="auto"/>
        </w:rPr>
      </w:pPr>
    </w:p>
    <w:p>
      <w:pPr>
        <w:ind w:left="500" w:hanging="492"/>
        <w:spacing w:after="0" w:line="252" w:lineRule="auto"/>
        <w:tabs>
          <w:tab w:leader="none" w:pos="40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Vested Equity Awards</w:t>
      </w:r>
      <w:r>
        <w:rPr>
          <w:rFonts w:ascii="Times New Roman" w:cs="Times New Roman" w:eastAsia="Times New Roman" w:hAnsi="Times New Roman"/>
          <w:sz w:val="18"/>
          <w:szCs w:val="18"/>
          <w:color w:val="auto"/>
        </w:rPr>
        <w:t>. With respect to those equity awards that have vested and the underlying shares have not been sold, the Committee shall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necessary action to cause the Covered Person to deliver and surrender the underlying shares in the amount of the Erroneously-Awarded Compensation.</w:t>
      </w:r>
    </w:p>
    <w:p>
      <w:pPr>
        <w:spacing w:after="0" w:line="203" w:lineRule="exact"/>
        <w:rPr>
          <w:sz w:val="20"/>
          <w:szCs w:val="20"/>
          <w:color w:val="auto"/>
        </w:rPr>
      </w:pPr>
    </w:p>
    <w:p>
      <w:pPr>
        <w:jc w:val="both"/>
        <w:ind w:left="500"/>
        <w:spacing w:after="0" w:line="242" w:lineRule="auto"/>
        <w:rPr>
          <w:sz w:val="20"/>
          <w:szCs w:val="20"/>
          <w:color w:val="auto"/>
        </w:rPr>
      </w:pPr>
      <w:r>
        <w:rPr>
          <w:rFonts w:ascii="Times New Roman" w:cs="Times New Roman" w:eastAsia="Times New Roman" w:hAnsi="Times New Roman"/>
          <w:sz w:val="18"/>
          <w:szCs w:val="18"/>
          <w:color w:val="auto"/>
        </w:rPr>
        <w:t>In the event that the Covered Person has sold the underlying shares, the Committee shall either (i) require the Covered Person to repay the Erroneously-Awarded Compensation in a lump sum in cash (or such property as the Committee agrees to accept with a value equal to such Erroneously-Awarded Compensation) reasonably promptly following the Restatement Date or (ii) if approved by the Committee, offer to enter into a Repayment Agreement. If the Covered Person accepts such offer and signs the Repayment Agreement within a reasonable time as determined by the Committee, the Company shall countersign such Repayment Agreement.</w:t>
      </w:r>
    </w:p>
    <w:p>
      <w:pPr>
        <w:spacing w:after="0" w:line="208" w:lineRule="exact"/>
        <w:rPr>
          <w:sz w:val="20"/>
          <w:szCs w:val="20"/>
          <w:color w:val="auto"/>
        </w:rPr>
      </w:pPr>
    </w:p>
    <w:p>
      <w:pPr>
        <w:jc w:val="both"/>
        <w:ind w:left="500" w:hanging="492"/>
        <w:spacing w:after="0" w:line="252" w:lineRule="auto"/>
        <w:tabs>
          <w:tab w:leader="none" w:pos="45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Repayment Agreement</w:t>
      </w:r>
      <w:r>
        <w:rPr>
          <w:rFonts w:ascii="Times New Roman" w:cs="Times New Roman" w:eastAsia="Times New Roman" w:hAnsi="Times New Roman"/>
          <w:sz w:val="18"/>
          <w:szCs w:val="18"/>
          <w:color w:val="auto"/>
        </w:rPr>
        <w:t>. “Repayment Agreement” shall mean an agreement (in a form reasonably acceptable to the Committee) with the Covered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for the repayment of the Erroneously-Awarded Compensation as promptly as possible without unreasonable economic hardship to the Covered Person.</w:t>
      </w:r>
    </w:p>
    <w:p>
      <w:pPr>
        <w:spacing w:after="0" w:line="198" w:lineRule="exact"/>
        <w:rPr>
          <w:rFonts w:ascii="Times New Roman" w:cs="Times New Roman" w:eastAsia="Times New Roman" w:hAnsi="Times New Roman"/>
          <w:sz w:val="18"/>
          <w:szCs w:val="18"/>
          <w:color w:val="auto"/>
        </w:rPr>
      </w:pPr>
    </w:p>
    <w:p>
      <w:pPr>
        <w:ind w:left="500" w:hanging="492"/>
        <w:spacing w:after="0" w:line="239" w:lineRule="auto"/>
        <w:tabs>
          <w:tab w:leader="none" w:pos="40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Non-Repayment</w:t>
      </w:r>
      <w:r>
        <w:rPr>
          <w:rFonts w:ascii="Times New Roman" w:cs="Times New Roman" w:eastAsia="Times New Roman" w:hAnsi="Times New Roman"/>
          <w:sz w:val="18"/>
          <w:szCs w:val="18"/>
          <w:color w:val="auto"/>
        </w:rPr>
        <w:t>. To the extent that a Covered Person fails to repay all Erroneously-Awarded Compensation to the Company when due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in accordance with this Policy), the Company shall, or shall cause one or more other members of the Company to, take all actions reasonable and appropriate to recover such Erroneously-Awarded Compensation from the applicable Covered Person. The applicable Covered Person shall be required to reimburse the Company for any and all expenses reasonably incurred (including legal fees) by the Company in recovering such Erroneously-Awarded Compensation in accordance with the immediately preceding sentence.</w:t>
      </w:r>
    </w:p>
    <w:p>
      <w:pPr>
        <w:spacing w:after="0" w:line="215" w:lineRule="exact"/>
        <w:rPr>
          <w:sz w:val="20"/>
          <w:szCs w:val="20"/>
          <w:color w:val="auto"/>
        </w:rPr>
      </w:pPr>
    </w:p>
    <w:p>
      <w:pPr>
        <w:jc w:val="both"/>
        <w:ind w:left="500"/>
        <w:spacing w:after="0" w:line="245" w:lineRule="auto"/>
        <w:rPr>
          <w:sz w:val="20"/>
          <w:szCs w:val="20"/>
          <w:color w:val="auto"/>
        </w:rPr>
      </w:pPr>
      <w:r>
        <w:rPr>
          <w:rFonts w:ascii="Times New Roman" w:cs="Times New Roman" w:eastAsia="Times New Roman" w:hAnsi="Times New Roman"/>
          <w:sz w:val="18"/>
          <w:szCs w:val="18"/>
          <w:color w:val="auto"/>
        </w:rPr>
        <w:t>The Committee shall have broad discretion to determine the appropriate means of recovery of Erroneously-Awarded Compensation based on all applicable facts and circumstances and taking into account the time value of money and the cost to shareholders of delaying recovery. However, in no event may the Company accept an amount that is less than the amount of Erroneously-Awarded Compensation in satisfaction of a Covered Person’s obligations hereunder.</w:t>
      </w:r>
    </w:p>
    <w:p>
      <w:pPr>
        <w:spacing w:after="0" w:line="20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7"/>
          <w:szCs w:val="17"/>
          <w:b w:val="1"/>
          <w:bCs w:val="1"/>
          <w:u w:val="single" w:color="auto"/>
          <w:color w:val="auto"/>
        </w:rPr>
        <w:t>Discretionary Recovery</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the Company shall not be required to take action to recover Erroneously-Awarded Compensation if any one of the following conditions are met and the Committee determines that recovery would be impracticable:</w:t>
      </w:r>
    </w:p>
    <w:p>
      <w:pPr>
        <w:spacing w:after="0" w:line="189" w:lineRule="exact"/>
        <w:rPr>
          <w:sz w:val="20"/>
          <w:szCs w:val="20"/>
          <w:color w:val="auto"/>
        </w:rPr>
      </w:pPr>
    </w:p>
    <w:p>
      <w:pPr>
        <w:ind w:left="660" w:hanging="652"/>
        <w:spacing w:after="0" w:line="250" w:lineRule="auto"/>
        <w:tabs>
          <w:tab w:leader="none" w:pos="36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expenses paid to a third party to assist in enforcing this Policy against a Covered Person would exceed the amount to be recovered, after the Company has made a reasonable attempt to recover the applicable Erroneously-Awarded Compensation, documented such attempts, and provided such documentation to Nasdaq;</w:t>
      </w:r>
    </w:p>
    <w:p>
      <w:pPr>
        <w:spacing w:after="0" w:line="190" w:lineRule="exact"/>
        <w:rPr>
          <w:rFonts w:ascii="Times New Roman" w:cs="Times New Roman" w:eastAsia="Times New Roman" w:hAnsi="Times New Roman"/>
          <w:sz w:val="18"/>
          <w:szCs w:val="18"/>
          <w:color w:val="auto"/>
        </w:rPr>
      </w:pPr>
    </w:p>
    <w:p>
      <w:pPr>
        <w:ind w:left="660" w:hanging="652"/>
        <w:spacing w:after="0" w:line="245" w:lineRule="auto"/>
        <w:tabs>
          <w:tab w:leader="none" w:pos="44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that law was adopted prior to November 28, 2022, provided that, before determining that it would be impracticable to recover any amount of Erroneously-Awarded Compensation based on violation of home country law, the Company has obtained an opinion of home country counsel, acceptable to Nasdaq, that recovery would result in such a violation and a copy of the opinion is provided to Nasdaq;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17"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652"/>
        <w:spacing w:after="0" w:line="266" w:lineRule="auto"/>
        <w:tabs>
          <w:tab w:leader="none" w:pos="47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8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7"/>
          <w:szCs w:val="17"/>
          <w:b w:val="1"/>
          <w:bCs w:val="1"/>
          <w:u w:val="single" w:color="auto"/>
          <w:color w:val="auto"/>
        </w:rPr>
        <w:t>Reporting and Disclosure Requirements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shall file all disclosures with respect to this Policy in accordance with the requirements of the federal securities laws, including the disclosure required by the applicable filings required to be made with the SEC.</w:t>
      </w:r>
    </w:p>
    <w:p>
      <w:pPr>
        <w:spacing w:after="0" w:line="18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VIII.</w:t>
      </w:r>
      <w:r>
        <w:rPr>
          <w:sz w:val="20"/>
          <w:szCs w:val="20"/>
          <w:color w:val="auto"/>
        </w:rPr>
        <w:tab/>
      </w:r>
      <w:r>
        <w:rPr>
          <w:rFonts w:ascii="Times New Roman" w:cs="Times New Roman" w:eastAsia="Times New Roman" w:hAnsi="Times New Roman"/>
          <w:sz w:val="17"/>
          <w:szCs w:val="17"/>
          <w:b w:val="1"/>
          <w:bCs w:val="1"/>
          <w:u w:val="single" w:color="auto"/>
          <w:color w:val="auto"/>
        </w:rPr>
        <w:t>Effective Date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shall apply to any Incentive-Based Compensation Received on or after the Nasdaq Effective Date.</w:t>
      </w:r>
    </w:p>
    <w:p>
      <w:pPr>
        <w:spacing w:after="0" w:line="22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7"/>
          <w:szCs w:val="17"/>
          <w:b w:val="1"/>
          <w:bCs w:val="1"/>
          <w:u w:val="single" w:color="auto"/>
          <w:color w:val="auto"/>
        </w:rPr>
        <w:t>No Indemnification</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shall not indemnify any Covered Person against the loss of Erroneously-Awarded Compensation and shall not pay, or reimburse any Covered Persons for premiums, for any insurance policy to fund such Covered Person’s potential recovery obligations.</w:t>
      </w:r>
    </w:p>
    <w:p>
      <w:pPr>
        <w:spacing w:after="0" w:line="185" w:lineRule="exact"/>
        <w:rPr>
          <w:sz w:val="20"/>
          <w:szCs w:val="20"/>
          <w:color w:val="auto"/>
        </w:rPr>
      </w:pPr>
    </w:p>
    <w:p>
      <w:pPr>
        <w:ind w:left="360" w:hanging="352"/>
        <w:spacing w:after="0"/>
        <w:tabs>
          <w:tab w:leader="none" w:pos="3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p>
    <w:p>
      <w:pPr>
        <w:spacing w:after="0" w:line="24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The Committee has the sole discretion to administer this Policy and ensure compliance with Nasdaq Rules and any other applicable law, regulation, rule, or interpretation of the SEC or Nasdaq promulgated or issued in connection therewith. Actions of the Committee pursuant to this Policy shall be taken by the vote of a majority of its members. The Committee shall, subject to the provisions of this Policy, make such determinations and interpretations and take such actions as it deems necessary, appropriate, or advisable. All determinations and interpretations made by the Committee shall be final, binding, and conclusive.</w:t>
      </w:r>
    </w:p>
    <w:p>
      <w:pPr>
        <w:spacing w:after="0" w:line="20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XI.</w:t>
      </w:r>
      <w:r>
        <w:rPr>
          <w:sz w:val="20"/>
          <w:szCs w:val="20"/>
          <w:color w:val="auto"/>
        </w:rPr>
        <w:tab/>
      </w:r>
      <w:r>
        <w:rPr>
          <w:rFonts w:ascii="Times New Roman" w:cs="Times New Roman" w:eastAsia="Times New Roman" w:hAnsi="Times New Roman"/>
          <w:sz w:val="17"/>
          <w:szCs w:val="17"/>
          <w:b w:val="1"/>
          <w:bCs w:val="1"/>
          <w:u w:val="single" w:color="auto"/>
          <w:color w:val="auto"/>
        </w:rPr>
        <w:t>Amendment; Termination</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Board may amend this Policy from time to time in its discretion and shall amend this Policy as it deems necessary, including as and when it determines that it is legally required by any federal securities laws, SEC rule, or the rules of any national securities exchange or national securities association on which the Company’s securities are then listed. The Board may terminate this Policy at any time. Notwithstanding anything in this Section XI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then listed.</w:t>
      </w:r>
    </w:p>
    <w:p>
      <w:pPr>
        <w:spacing w:after="0" w:line="20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XII.</w:t>
      </w:r>
      <w:r>
        <w:rPr>
          <w:sz w:val="20"/>
          <w:szCs w:val="20"/>
          <w:color w:val="auto"/>
        </w:rPr>
        <w:tab/>
      </w:r>
      <w:r>
        <w:rPr>
          <w:rFonts w:ascii="Times New Roman" w:cs="Times New Roman" w:eastAsia="Times New Roman" w:hAnsi="Times New Roman"/>
          <w:sz w:val="17"/>
          <w:szCs w:val="17"/>
          <w:b w:val="1"/>
          <w:bCs w:val="1"/>
          <w:u w:val="single" w:color="auto"/>
          <w:color w:val="auto"/>
        </w:rPr>
        <w:t>Other Recoupment Rights; No Additional Payments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Committee intends that this Policy will be applied to the fullest extent of the law. The Committee may require that any employment agreement, equity award agreement, or any other agreement entered into on or after the Adoption Date shall, as a condition to the grant of any benefit thereunder, require a Covered Person to agree to abide by the terms of this Policy. Any right of recoupment under this Policy is in addition to, and not in lieu of, any other rights under applicable law, regulation, or rule or pursuant to the terms of any similar policy in any employment agreement, equity plan, equity award agreement, or similar arrangement and any other legal remedies available to the Company. However, this Policy shall not provide for recovery of Incentive-Based Compensation that the Company has already recovered pursuant to Section 304 of the Sarbanes-Oxley Act or other recovery obligations. From the date hereof, this Policy shall replace and supersede any prior standalone clawback policy of the Company.</w:t>
      </w:r>
    </w:p>
    <w:p>
      <w:pPr>
        <w:spacing w:after="0" w:line="20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XIII.</w:t>
      </w:r>
      <w:r>
        <w:rPr>
          <w:sz w:val="20"/>
          <w:szCs w:val="20"/>
          <w:color w:val="auto"/>
        </w:rPr>
        <w:tab/>
      </w:r>
      <w:r>
        <w:rPr>
          <w:rFonts w:ascii="Times New Roman" w:cs="Times New Roman" w:eastAsia="Times New Roman" w:hAnsi="Times New Roman"/>
          <w:sz w:val="18"/>
          <w:szCs w:val="18"/>
          <w:b w:val="1"/>
          <w:bCs w:val="1"/>
          <w:u w:val="single" w:color="auto"/>
          <w:color w:val="auto"/>
        </w:rPr>
        <w:t>Successors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Persons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17"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ACKNOWLEDGEMENT AND AGREEMENT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EXECUTIVE OFFICER CLAWBACK POLICY</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w:t>
      </w:r>
    </w:p>
    <w:p>
      <w:pPr>
        <w:spacing w:after="0" w:line="2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By signing below, the undersigned acknowledges and confirms that the undersigned has received and reviewed a copy of the CaliberCos Inc. Executive Officer Clawback Policy (the “Policy”). Capitalized terms used but not otherwise defined in this Acknowledgement and Agreement (this “Acknowledgement Form”) shall have the meanings ascribed to such terms in the Policy.</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Erroneously-Awarded Compensation (as defined in the Policy) to the Company to the extent required by, and in a manner permitted by,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495300</wp:posOffset>
            </wp:positionV>
            <wp:extent cx="30257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205740</wp:posOffset>
            </wp:positionV>
            <wp:extent cx="30257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31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205740</wp:posOffset>
            </wp:positionV>
            <wp:extent cx="30257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31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x"/>
      <w:numFmt w:val="bullet"/>
      <w:start w:val="1"/>
    </w:lvl>
  </w:abstractNum>
  <w:abstractNum w:abstractNumId="1">
    <w:nsid w:val="520EEDD1"/>
    <w:multiLevelType w:val="hybridMultilevel"/>
    <w:lvl w:ilvl="0">
      <w:lvlJc w:val="left"/>
      <w:lvlText w:val="o"/>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lvl w:ilvl="1">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1)"/>
      <w:numFmt w:val="decimal"/>
      <w:start w:val="1"/>
    </w:lvl>
  </w:abstractNum>
  <w:abstractNum w:abstractNumId="25">
    <w:nsid w:val="25A70BF7"/>
    <w:multiLevelType w:val="hybridMultilevel"/>
    <w:lvl w:ilvl="0">
      <w:lvlJc w:val="left"/>
      <w:lvlText w:val="(%1)"/>
      <w:numFmt w:val="decimal"/>
      <w:start w:val="1"/>
    </w:lvl>
  </w:abstractNum>
  <w:abstractNum w:abstractNumId="26">
    <w:nsid w:val="1DBABF00"/>
    <w:multiLevelType w:val="hybridMultilevel"/>
    <w:lvl w:ilvl="0">
      <w:lvlJc w:val="left"/>
      <w:lvlText w:val="%1."/>
      <w:numFmt w:val="lowerRoman"/>
      <w:start w:val="1"/>
    </w:lvl>
  </w:abstractNum>
  <w:abstractNum w:abstractNumId="27">
    <w:nsid w:val="4AD084E9"/>
    <w:multiLevelType w:val="hybridMultilevel"/>
    <w:lvl w:ilvl="0">
      <w:lvlJc w:val="left"/>
      <w:lvlText w:val="(%1)"/>
      <w:numFmt w:val="decimal"/>
      <w:start w:val="1"/>
    </w:lvl>
  </w:abstractNum>
  <w:abstractNum w:abstractNumId="28">
    <w:nsid w:val="1F48EAA1"/>
    <w:multiLevelType w:val="hybridMultilevel"/>
    <w:lvl w:ilvl="0">
      <w:lvlJc w:val="left"/>
      <w:lvlText w:val="(%1)"/>
      <w:numFmt w:val="decimal"/>
      <w:start w:val="1"/>
    </w:lvl>
  </w:abstractNum>
  <w:abstractNum w:abstractNumId="29">
    <w:nsid w:val="1381823A"/>
    <w:multiLevelType w:val="hybridMultilevel"/>
    <w:lvl w:ilvl="0">
      <w:lvlJc w:val="left"/>
      <w:lvlText w:val="(%1)"/>
      <w:numFmt w:val="decimal"/>
      <w:start w:val="1"/>
    </w:lvl>
  </w:abstractNum>
  <w:abstractNum w:abstractNumId="30">
    <w:nsid w:val="5DB70AE5"/>
    <w:multiLevelType w:val="hybridMultilevel"/>
    <w:lvl w:ilvl="0">
      <w:lvlJc w:val="left"/>
      <w:lvlText w:val="%1)"/>
      <w:numFmt w:val="lowerRoman"/>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1)"/>
      <w:numFmt w:val="decimal"/>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1)"/>
      <w:numFmt w:val="decimal"/>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1)"/>
      <w:numFmt w:val="decimal"/>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1)"/>
      <w:numFmt w:val="decimal"/>
      <w:start w:val="1"/>
    </w:lvl>
  </w:abstractNum>
  <w:abstractNum w:abstractNumId="44">
    <w:nsid w:val="7BD3EE7B"/>
    <w:multiLevelType w:val="hybridMultilevel"/>
    <w:lvl w:ilvl="0">
      <w:lvlJc w:val="left"/>
      <w:lvlText w:val="(%1)"/>
      <w:numFmt w:val="decimal"/>
      <w:start w:val="1"/>
    </w:lvl>
  </w:abstractNum>
  <w:abstractNum w:abstractNumId="45">
    <w:nsid w:val="51D9C564"/>
    <w:multiLevelType w:val="hybridMultilevel"/>
    <w:lvl w:ilvl="0">
      <w:lvlJc w:val="left"/>
      <w:lvlText w:val="(%1)"/>
      <w:numFmt w:val="decimal"/>
      <w:start w:val="2"/>
    </w:lvl>
  </w:abstractNum>
  <w:abstractNum w:abstractNumId="46">
    <w:nsid w:val="613EFDC5"/>
    <w:multiLevelType w:val="hybridMultilevel"/>
    <w:lvl w:ilvl="0">
      <w:lvlJc w:val="left"/>
      <w:lvlText w:val="(%1)"/>
      <w:numFmt w:val="decimal"/>
      <w:start w:val="1"/>
    </w:lvl>
  </w:abstractNum>
  <w:abstractNum w:abstractNumId="47">
    <w:nsid w:val="BF72B14"/>
    <w:multiLevelType w:val="hybridMultilevel"/>
    <w:lvl w:ilvl="0">
      <w:lvlJc w:val="left"/>
      <w:lvlText w:val="*"/>
      <w:numFmt w:val="bullet"/>
      <w:start w:val="1"/>
    </w:lvl>
    <w:lvl w:ilvl="1">
      <w:lvlJc w:val="left"/>
      <w:lvlText w:val="%2"/>
      <w:numFmt w:val="decimal"/>
      <w:start w:val="104"/>
    </w:lvl>
  </w:abstractNum>
  <w:abstractNum w:abstractNumId="48">
    <w:nsid w:val="11447B73"/>
    <w:multiLevelType w:val="hybridMultilevel"/>
    <w:lvl w:ilvl="0">
      <w:lvlJc w:val="left"/>
      <w:lvlText w:val="**"/>
      <w:numFmt w:val="bullet"/>
      <w:start w:val="1"/>
    </w:lvl>
    <w:lvl w:ilvl="1">
      <w:lvlJc w:val="left"/>
      <w:lvlText w:val="%2"/>
      <w:numFmt w:val="decimal"/>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1)"/>
      <w:numFmt w:val="lowerRoman"/>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1"/>
      <w:numFmt w:val="upperLetter"/>
      <w:start w:val="61"/>
    </w:lvl>
  </w:abstractNum>
  <w:abstractNum w:abstractNumId="54">
    <w:nsid w:val="68EB2F63"/>
    <w:multiLevelType w:val="hybridMultilevel"/>
    <w:lvl w:ilvl="0">
      <w:lvlJc w:val="left"/>
      <w:lvlText w:val="(%1)"/>
      <w:numFmt w:val="decimal"/>
      <w:start w:val="1"/>
    </w:lvl>
  </w:abstractNum>
  <w:abstractNum w:abstractNumId="55">
    <w:nsid w:val="4962813B"/>
    <w:multiLevelType w:val="hybridMultilevel"/>
    <w:lvl w:ilvl="0">
      <w:lvlJc w:val="left"/>
      <w:lvlText w:val="(%1)"/>
      <w:numFmt w:val="decimal"/>
      <w:start w:val="1"/>
    </w:lvl>
  </w:abstractNum>
  <w:abstractNum w:abstractNumId="56">
    <w:nsid w:val="60B6DF70"/>
    <w:multiLevelType w:val="hybridMultilevel"/>
    <w:lvl w:ilvl="0">
      <w:lvlJc w:val="left"/>
      <w:lvlText w:val="(%1)"/>
      <w:numFmt w:val="decimal"/>
      <w:start w:val="1"/>
    </w:lvl>
  </w:abstractNum>
  <w:abstractNum w:abstractNumId="57">
    <w:nsid w:val="6A5EE64"/>
    <w:multiLevelType w:val="hybridMultilevel"/>
    <w:lvl w:ilvl="0">
      <w:lvlJc w:val="left"/>
      <w:lvlText w:val="(%1)"/>
      <w:numFmt w:val="decimal"/>
      <w:start w:val="1"/>
    </w:lvl>
  </w:abstractNum>
  <w:abstractNum w:abstractNumId="58">
    <w:nsid w:val="14330624"/>
    <w:multiLevelType w:val="hybridMultilevel"/>
    <w:lvl w:ilvl="0">
      <w:lvlJc w:val="left"/>
      <w:lvlText w:val="(%1)"/>
      <w:numFmt w:val="decimal"/>
      <w:start w:val="2"/>
    </w:lvl>
  </w:abstractNum>
  <w:abstractNum w:abstractNumId="59">
    <w:nsid w:val="7FFFCA11"/>
    <w:multiLevelType w:val="hybridMultilevel"/>
    <w:lvl w:ilvl="0">
      <w:lvlJc w:val="left"/>
      <w:lvlText w:val="(%1)"/>
      <w:numFmt w:val="lowerRoman"/>
      <w:start w:val="2"/>
    </w:lvl>
  </w:abstractNum>
  <w:abstractNum w:abstractNumId="60">
    <w:nsid w:val="1A27709E"/>
    <w:multiLevelType w:val="hybridMultilevel"/>
    <w:lvl w:ilvl="0">
      <w:lvlJc w:val="left"/>
      <w:lvlText w:val="(%1)"/>
      <w:numFmt w:val="decimal"/>
      <w:start w:val="1"/>
    </w:lvl>
  </w:abstractNum>
  <w:abstractNum w:abstractNumId="61">
    <w:nsid w:val="71EA1109"/>
    <w:multiLevelType w:val="hybridMultilevel"/>
    <w:lvl w:ilvl="0">
      <w:lvlJc w:val="left"/>
      <w:lvlText w:val="(%1)"/>
      <w:numFmt w:val="decimal"/>
      <w:start w:val="1"/>
    </w:lvl>
  </w:abstractNum>
  <w:abstractNum w:abstractNumId="62">
    <w:nsid w:val="100F59DC"/>
    <w:multiLevelType w:val="hybridMultilevel"/>
    <w:lvl w:ilvl="0">
      <w:lvlJc w:val="left"/>
      <w:lvlText w:val="(%1)"/>
      <w:numFmt w:val="decimal"/>
      <w:start w:val="1"/>
    </w:lvl>
  </w:abstractNum>
  <w:abstractNum w:abstractNumId="63">
    <w:nsid w:val="7FB7E0AA"/>
    <w:multiLevelType w:val="hybridMultilevel"/>
    <w:lvl w:ilvl="0">
      <w:lvlJc w:val="left"/>
      <w:lvlText w:val="(%1)"/>
      <w:numFmt w:val="decimal"/>
      <w:start w:val="1"/>
    </w:lvl>
  </w:abstractNum>
  <w:abstractNum w:abstractNumId="64">
    <w:nsid w:val="6EB5BD4"/>
    <w:multiLevelType w:val="hybridMultilevel"/>
    <w:lvl w:ilvl="0">
      <w:lvlJc w:val="left"/>
      <w:lvlText w:val="(%1)"/>
      <w:numFmt w:val="decimal"/>
      <w:start w:val="1"/>
    </w:lvl>
  </w:abstractNum>
  <w:abstractNum w:abstractNumId="65">
    <w:nsid w:val="6F6DD9AC"/>
    <w:multiLevelType w:val="hybridMultilevel"/>
    <w:lvl w:ilvl="0">
      <w:lvlJc w:val="left"/>
      <w:lvlText w:val="(%1)"/>
      <w:numFmt w:val="decimal"/>
      <w:start w:val="1"/>
    </w:lvl>
  </w:abstractNum>
  <w:abstractNum w:abstractNumId="66">
    <w:nsid w:val="94211F2"/>
    <w:multiLevelType w:val="hybridMultilevel"/>
    <w:lvl w:ilvl="0">
      <w:lvlJc w:val="left"/>
      <w:lvlText w:val="(%1)"/>
      <w:numFmt w:val="lowerRoman"/>
      <w:start w:val="2"/>
    </w:lvl>
  </w:abstractNum>
  <w:abstractNum w:abstractNumId="67">
    <w:nsid w:val="885E1B"/>
    <w:multiLevelType w:val="hybridMultilevel"/>
    <w:lvl w:ilvl="0">
      <w:lvlJc w:val="left"/>
      <w:lvlText w:val="•"/>
      <w:numFmt w:val="bullet"/>
      <w:start w:val="1"/>
    </w:lvl>
  </w:abstractNum>
  <w:abstractNum w:abstractNumId="68">
    <w:nsid w:val="76272110"/>
    <w:multiLevelType w:val="hybridMultilevel"/>
    <w:lvl w:ilvl="0">
      <w:lvlJc w:val="left"/>
      <w:lvlText w:val="•"/>
      <w:numFmt w:val="bullet"/>
      <w:start w:val="1"/>
    </w:lvl>
  </w:abstractNum>
  <w:abstractNum w:abstractNumId="69">
    <w:nsid w:val="4C04A8AF"/>
    <w:multiLevelType w:val="hybridMultilevel"/>
    <w:lvl w:ilvl="0">
      <w:lvlJc w:val="left"/>
      <w:lvlText w:val="•"/>
      <w:numFmt w:val="bullet"/>
      <w:start w:val="1"/>
    </w:lvl>
  </w:abstractNum>
  <w:abstractNum w:abstractNumId="70">
    <w:nsid w:val="1716703B"/>
    <w:multiLevelType w:val="hybridMultilevel"/>
    <w:lvl w:ilvl="0">
      <w:lvlJc w:val="left"/>
      <w:lvlText w:val="%1."/>
      <w:numFmt w:val="decimal"/>
      <w:start w:val="1"/>
    </w:lvl>
  </w:abstractNum>
  <w:abstractNum w:abstractNumId="71">
    <w:nsid w:val="14E17E33"/>
    <w:multiLevelType w:val="hybridMultilevel"/>
    <w:lvl w:ilvl="0">
      <w:lvlJc w:val="left"/>
      <w:lvlText w:val="%1."/>
      <w:numFmt w:val="decimal"/>
      <w:start w:val="5"/>
    </w:lvl>
  </w:abstractNum>
  <w:abstractNum w:abstractNumId="72">
    <w:nsid w:val="3222E7CD"/>
    <w:multiLevelType w:val="hybridMultilevel"/>
    <w:lvl w:ilvl="0">
      <w:lvlJc w:val="left"/>
      <w:lvlText w:val="%1."/>
      <w:numFmt w:val="decimal"/>
      <w:start w:val="1"/>
    </w:lvl>
  </w:abstractNum>
  <w:abstractNum w:abstractNumId="73">
    <w:nsid w:val="74DE0EE3"/>
    <w:multiLevelType w:val="hybridMultilevel"/>
    <w:lvl w:ilvl="0">
      <w:lvlJc w:val="left"/>
      <w:lvlText w:val="%1."/>
      <w:numFmt w:val="decimal"/>
      <w:start w:val="2"/>
    </w:lvl>
  </w:abstractNum>
  <w:abstractNum w:abstractNumId="74">
    <w:nsid w:val="68EBC550"/>
    <w:multiLevelType w:val="hybridMultilevel"/>
    <w:lvl w:ilvl="0">
      <w:lvlJc w:val="left"/>
      <w:lvlText w:val="•"/>
      <w:numFmt w:val="bullet"/>
      <w:start w:val="1"/>
    </w:lvl>
  </w:abstractNum>
  <w:abstractNum w:abstractNumId="75">
    <w:nsid w:val="2DF6D648"/>
    <w:multiLevelType w:val="hybridMultilevel"/>
    <w:lvl w:ilvl="0">
      <w:lvlJc w:val="left"/>
      <w:lvlText w:val="%1."/>
      <w:numFmt w:val="decimal"/>
      <w:start w:val="3"/>
    </w:lvl>
  </w:abstractNum>
  <w:abstractNum w:abstractNumId="76">
    <w:nsid w:val="46B7D447"/>
    <w:multiLevelType w:val="hybridMultilevel"/>
    <w:lvl w:ilvl="0">
      <w:lvlJc w:val="left"/>
      <w:lvlText w:val="%1."/>
      <w:numFmt w:val="decimal"/>
      <w:start w:val="4"/>
    </w:lvl>
  </w:abstractNum>
  <w:abstractNum w:abstractNumId="77">
    <w:nsid w:val="4A2AC315"/>
    <w:multiLevelType w:val="hybridMultilevel"/>
    <w:lvl w:ilvl="0">
      <w:lvlJc w:val="left"/>
      <w:lvlText w:val="%1."/>
      <w:numFmt w:val="decimal"/>
      <w:start w:val="5"/>
    </w:lvl>
  </w:abstractNum>
  <w:abstractNum w:abstractNumId="78">
    <w:nsid w:val="39EE015C"/>
    <w:multiLevelType w:val="hybridMultilevel"/>
    <w:lvl w:ilvl="0">
      <w:lvlJc w:val="left"/>
      <w:lvlText w:val="%1."/>
      <w:numFmt w:val="decimal"/>
      <w:start w:val="6"/>
    </w:lvl>
  </w:abstractNum>
  <w:abstractNum w:abstractNumId="79">
    <w:nsid w:val="57FC4FBB"/>
    <w:multiLevelType w:val="hybridMultilevel"/>
    <w:lvl w:ilvl="0">
      <w:lvlJc w:val="left"/>
      <w:lvlText w:val="%1."/>
      <w:numFmt w:val="decimal"/>
      <w:start w:val="7"/>
    </w:lvl>
  </w:abstractNum>
  <w:abstractNum w:abstractNumId="80">
    <w:nsid w:val="CC1016F"/>
    <w:multiLevelType w:val="hybridMultilevel"/>
    <w:lvl w:ilvl="0">
      <w:lvlJc w:val="left"/>
      <w:lvlText w:val="▪"/>
      <w:numFmt w:val="bullet"/>
      <w:start w:val="1"/>
    </w:lvl>
  </w:abstractNum>
  <w:abstractNum w:abstractNumId="81">
    <w:nsid w:val="43F18422"/>
    <w:multiLevelType w:val="hybridMultilevel"/>
    <w:lvl w:ilvl="0">
      <w:lvlJc w:val="left"/>
      <w:lvlText w:val="%1."/>
      <w:numFmt w:val="decimal"/>
      <w:start w:val="8"/>
    </w:lvl>
  </w:abstractNum>
  <w:abstractNum w:abstractNumId="82">
    <w:nsid w:val="60EF0119"/>
    <w:multiLevelType w:val="hybridMultilevel"/>
    <w:lvl w:ilvl="0">
      <w:lvlJc w:val="left"/>
      <w:lvlText w:val="%1."/>
      <w:numFmt w:val="decimal"/>
      <w:start w:val="9"/>
    </w:lvl>
  </w:abstractNum>
  <w:abstractNum w:abstractNumId="83">
    <w:nsid w:val="26F324BA"/>
    <w:multiLevelType w:val="hybridMultilevel"/>
    <w:lvl w:ilvl="0">
      <w:lvlJc w:val="left"/>
      <w:lvlText w:val="•"/>
      <w:numFmt w:val="bullet"/>
      <w:start w:val="1"/>
    </w:lvl>
  </w:abstractNum>
  <w:abstractNum w:abstractNumId="84">
    <w:nsid w:val="7F01579B"/>
    <w:multiLevelType w:val="hybridMultilevel"/>
    <w:lvl w:ilvl="0">
      <w:lvlJc w:val="left"/>
      <w:lvlText w:val="•"/>
      <w:numFmt w:val="bullet"/>
      <w:start w:val="1"/>
    </w:lvl>
  </w:abstractNum>
  <w:abstractNum w:abstractNumId="85">
    <w:nsid w:val="49DA307D"/>
    <w:multiLevelType w:val="hybridMultilevel"/>
    <w:lvl w:ilvl="0">
      <w:lvlJc w:val="left"/>
      <w:lvlText w:val="%1."/>
      <w:numFmt w:val="decimal"/>
      <w:start w:val="1"/>
    </w:lvl>
    <w:lvl w:ilvl="1">
      <w:lvlJc w:val="left"/>
      <w:lvlText w:val="%2."/>
      <w:numFmt w:val="lowerLetter"/>
      <w:start w:val="1"/>
    </w:lvl>
  </w:abstractNum>
  <w:abstractNum w:abstractNumId="86">
    <w:nsid w:val="7055A5F5"/>
    <w:multiLevelType w:val="hybridMultilevel"/>
    <w:lvl w:ilvl="0">
      <w:lvlJc w:val="left"/>
      <w:lvlText w:val="%1."/>
      <w:numFmt w:val="decimal"/>
      <w:start w:val="1"/>
    </w:lvl>
    <w:lvl w:ilvl="1">
      <w:lvlJc w:val="left"/>
      <w:lvlText w:val="%2."/>
      <w:numFmt w:val="lowerLetter"/>
      <w:start w:val="1"/>
    </w:lvl>
  </w:abstractNum>
  <w:abstractNum w:abstractNumId="87">
    <w:nsid w:val="5FB8370B"/>
    <w:multiLevelType w:val="hybridMultilevel"/>
    <w:lvl w:ilvl="0">
      <w:lvlJc w:val="left"/>
      <w:lvlText w:val="%1."/>
      <w:numFmt w:val="decimal"/>
      <w:start w:val="1"/>
    </w:lvl>
    <w:lvl w:ilvl="1">
      <w:lvlJc w:val="left"/>
      <w:lvlText w:val="%2."/>
      <w:numFmt w:val="lowerLetter"/>
      <w:start w:val="1"/>
    </w:lvl>
  </w:abstractNum>
  <w:abstractNum w:abstractNumId="88">
    <w:nsid w:val="50801EE1"/>
    <w:multiLevelType w:val="hybridMultilevel"/>
    <w:lvl w:ilvl="0">
      <w:lvlJc w:val="left"/>
      <w:lvlText w:val="(%1)"/>
      <w:numFmt w:val="decimal"/>
      <w:start w:val="1"/>
    </w:lvl>
  </w:abstractNum>
  <w:abstractNum w:abstractNumId="89">
    <w:nsid w:val="488AC1A"/>
    <w:multiLevelType w:val="hybridMultilevel"/>
    <w:lvl w:ilvl="0">
      <w:lvlJc w:val="left"/>
      <w:lvlText w:val="(%1)"/>
      <w:numFmt w:val="decimal"/>
      <w:start w:val="1"/>
    </w:lvl>
  </w:abstractNum>
  <w:abstractNum w:abstractNumId="90">
    <w:nsid w:val="5FB8011C"/>
    <w:multiLevelType w:val="hybridMultilevel"/>
    <w:lvl w:ilvl="0">
      <w:lvlJc w:val="left"/>
      <w:lvlText w:val="%1."/>
      <w:numFmt w:val="upperLetter"/>
      <w:start w:val="9"/>
    </w:lvl>
  </w:abstractNum>
  <w:abstractNum w:abstractNumId="91">
    <w:nsid w:val="6AA78F7F"/>
    <w:multiLevelType w:val="hybridMultilevel"/>
    <w:lvl w:ilvl="0">
      <w:lvlJc w:val="left"/>
      <w:lvlText w:val="%1."/>
      <w:numFmt w:val="upperLetter"/>
      <w:start w:val="35"/>
    </w:lvl>
  </w:abstractNum>
  <w:abstractNum w:abstractNumId="92">
    <w:nsid w:val="7672BD23"/>
    <w:multiLevelType w:val="hybridMultilevel"/>
    <w:lvl w:ilvl="0">
      <w:lvlJc w:val="left"/>
      <w:lvlText w:val="(%1)"/>
      <w:numFmt w:val="lowerLetter"/>
      <w:start w:val="1"/>
    </w:lvl>
  </w:abstractNum>
  <w:abstractNum w:abstractNumId="93">
    <w:nsid w:val="6FC75AF8"/>
    <w:multiLevelType w:val="hybridMultilevel"/>
    <w:lvl w:ilvl="0">
      <w:lvlJc w:val="left"/>
      <w:lvlText w:val="(%1)"/>
      <w:numFmt w:val="lowerLetter"/>
      <w:start w:val="9"/>
    </w:lvl>
  </w:abstractNum>
  <w:abstractNum w:abstractNumId="94">
    <w:nsid w:val="6A5F7029"/>
    <w:multiLevelType w:val="hybridMultilevel"/>
    <w:lvl w:ilvl="0">
      <w:lvlJc w:val="left"/>
      <w:lvlText w:val="%1."/>
      <w:numFmt w:val="upperLetter"/>
      <w:start w:val="61"/>
    </w:lvl>
  </w:abstractNum>
  <w:abstractNum w:abstractNumId="95">
    <w:nsid w:val="7D5E18F8"/>
    <w:multiLevelType w:val="hybridMultilevel"/>
    <w:lvl w:ilvl="0">
      <w:lvlJc w:val="left"/>
      <w:lvlText w:val="•"/>
      <w:numFmt w:val="bullet"/>
      <w:start w:val="1"/>
    </w:lvl>
  </w:abstractNum>
  <w:abstractNum w:abstractNumId="96">
    <w:nsid w:val="5F3534A4"/>
    <w:multiLevelType w:val="hybridMultilevel"/>
    <w:lvl w:ilvl="0">
      <w:lvlJc w:val="left"/>
      <w:lvlText w:val="•"/>
      <w:numFmt w:val="bullet"/>
      <w:start w:val="1"/>
    </w:lvl>
  </w:abstractNum>
  <w:abstractNum w:abstractNumId="97">
    <w:nsid w:val="73A1821B"/>
    <w:multiLevelType w:val="hybridMultilevel"/>
    <w:lvl w:ilvl="0">
      <w:lvlJc w:val="left"/>
      <w:lvlText w:val="•"/>
      <w:numFmt w:val="bullet"/>
      <w:start w:val="1"/>
    </w:lvl>
  </w:abstractNum>
  <w:abstractNum w:abstractNumId="98">
    <w:nsid w:val="7DE67713"/>
    <w:multiLevelType w:val="hybridMultilevel"/>
    <w:lvl w:ilvl="0">
      <w:lvlJc w:val="left"/>
      <w:lvlText w:val="(%1)"/>
      <w:numFmt w:val="lowerLetter"/>
      <w:start w:val="1"/>
    </w:lvl>
  </w:abstractNum>
  <w:abstractNum w:abstractNumId="99">
    <w:nsid w:val="555C55B5"/>
    <w:multiLevelType w:val="hybridMultilevel"/>
    <w:lvl w:ilvl="0">
      <w:lvlJc w:val="left"/>
      <w:lvlText w:val="%1."/>
      <w:numFmt w:val="upperLetter"/>
      <w:start w:val="22"/>
    </w:lvl>
  </w:abstractNum>
  <w:abstractNum w:abstractNumId="100">
    <w:nsid w:val="3FA62ACA"/>
    <w:multiLevelType w:val="hybridMultilevel"/>
    <w:lvl w:ilvl="0">
      <w:lvlJc w:val="left"/>
      <w:lvlText w:val="(%1)"/>
      <w:numFmt w:val="lowerLetter"/>
      <w:start w:val="1"/>
    </w:lvl>
  </w:abstractNum>
  <w:abstractNum w:abstractNumId="101">
    <w:nsid w:val="14FCE74E"/>
    <w:multiLevelType w:val="hybridMultilevel"/>
    <w:lvl w:ilvl="0">
      <w:lvlJc w:val="left"/>
      <w:lvlText w:val="(%1)"/>
      <w:numFmt w:val="lowerLetter"/>
      <w:start w:val="4"/>
    </w:lvl>
  </w:abstractNum>
  <w:abstractNum w:abstractNumId="102">
    <w:nsid w:val="6A3DD3E8"/>
    <w:multiLevelType w:val="hybridMultilevel"/>
    <w:lvl w:ilvl="0">
      <w:lvlJc w:val="left"/>
      <w:lvlText w:val="(%1)"/>
      <w:numFmt w:val="lowerRoman"/>
      <w:start w:val="1"/>
    </w:lvl>
  </w:abstractNum>
  <w:abstractNum w:abstractNumId="103">
    <w:nsid w:val="71C91298"/>
    <w:multiLevelType w:val="hybridMultilevel"/>
    <w:lvl w:ilvl="0">
      <w:lvlJc w:val="left"/>
      <w:lvlText w:val="(%1)"/>
      <w:numFmt w:val="lowerRoman"/>
      <w:start w:val="3"/>
    </w:lvl>
  </w:abstractNum>
  <w:abstractNum w:abstractNumId="104">
    <w:nsid w:val="9DAF632"/>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30" Type="http://schemas.openxmlformats.org/officeDocument/2006/relationships/image" Target="media/image110.png"/><Relationship Id="rId132"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86" Type="http://schemas.openxmlformats.org/officeDocument/2006/relationships/image" Target="media/image149.png"/><Relationship Id="rId187" Type="http://schemas.openxmlformats.org/officeDocument/2006/relationships/image" Target="media/image150.png"/><Relationship Id="rId188" Type="http://schemas.openxmlformats.org/officeDocument/2006/relationships/image" Target="media/image151.png"/><Relationship Id="rId189" Type="http://schemas.openxmlformats.org/officeDocument/2006/relationships/image" Target="media/image152.png"/><Relationship Id="rId190" Type="http://schemas.openxmlformats.org/officeDocument/2006/relationships/image" Target="media/image153.png"/><Relationship Id="rId191" Type="http://schemas.openxmlformats.org/officeDocument/2006/relationships/image" Target="media/image154.png"/><Relationship Id="rId192" Type="http://schemas.openxmlformats.org/officeDocument/2006/relationships/image" Target="media/image155.png"/><Relationship Id="rId193" Type="http://schemas.openxmlformats.org/officeDocument/2006/relationships/image" Target="media/image156.png"/><Relationship Id="rId194" Type="http://schemas.openxmlformats.org/officeDocument/2006/relationships/image" Target="media/image157.png"/><Relationship Id="rId195" Type="http://schemas.openxmlformats.org/officeDocument/2006/relationships/image" Target="media/image158.png"/><Relationship Id="rId196" Type="http://schemas.openxmlformats.org/officeDocument/2006/relationships/image" Target="media/image159.png"/><Relationship Id="rId197" Type="http://schemas.openxmlformats.org/officeDocument/2006/relationships/image" Target="media/image160.png"/><Relationship Id="rId198" Type="http://schemas.openxmlformats.org/officeDocument/2006/relationships/image" Target="media/image161.png"/><Relationship Id="rId199" Type="http://schemas.openxmlformats.org/officeDocument/2006/relationships/image" Target="media/image162.png"/><Relationship Id="rId200" Type="http://schemas.openxmlformats.org/officeDocument/2006/relationships/image" Target="media/image163.png"/><Relationship Id="rId201" Type="http://schemas.openxmlformats.org/officeDocument/2006/relationships/image" Target="media/image164.png"/><Relationship Id="rId202" Type="http://schemas.openxmlformats.org/officeDocument/2006/relationships/image" Target="media/image165.png"/><Relationship Id="rId203" Type="http://schemas.openxmlformats.org/officeDocument/2006/relationships/image" Target="media/image166.png"/><Relationship Id="rId204" Type="http://schemas.openxmlformats.org/officeDocument/2006/relationships/image" Target="media/image167.png"/><Relationship Id="rId205" Type="http://schemas.openxmlformats.org/officeDocument/2006/relationships/image" Target="media/image168.png"/><Relationship Id="rId206" Type="http://schemas.openxmlformats.org/officeDocument/2006/relationships/image" Target="media/image169.png"/><Relationship Id="rId207" Type="http://schemas.openxmlformats.org/officeDocument/2006/relationships/image" Target="media/image170.png"/><Relationship Id="rId208" Type="http://schemas.openxmlformats.org/officeDocument/2006/relationships/image" Target="media/image171.png"/><Relationship Id="rId209" Type="http://schemas.openxmlformats.org/officeDocument/2006/relationships/image" Target="media/image172.png"/><Relationship Id="rId210" Type="http://schemas.openxmlformats.org/officeDocument/2006/relationships/image" Target="media/image173.png"/><Relationship Id="rId211" Type="http://schemas.openxmlformats.org/officeDocument/2006/relationships/image" Target="media/image174.png"/><Relationship Id="rId212" Type="http://schemas.openxmlformats.org/officeDocument/2006/relationships/image" Target="media/image175.png"/><Relationship Id="rId213" Type="http://schemas.openxmlformats.org/officeDocument/2006/relationships/image" Target="media/image176.png"/><Relationship Id="rId214" Type="http://schemas.openxmlformats.org/officeDocument/2006/relationships/image" Target="media/image177.png"/><Relationship Id="rId215" Type="http://schemas.openxmlformats.org/officeDocument/2006/relationships/image" Target="media/image178.png"/><Relationship Id="rId216" Type="http://schemas.openxmlformats.org/officeDocument/2006/relationships/image" Target="media/image179.png"/><Relationship Id="rId217"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png"/><Relationship Id="rId225" Type="http://schemas.openxmlformats.org/officeDocument/2006/relationships/image" Target="media/image188.png"/><Relationship Id="rId226" Type="http://schemas.openxmlformats.org/officeDocument/2006/relationships/image" Target="media/image189.png"/><Relationship Id="rId110" Type="http://schemas.openxmlformats.org/officeDocument/2006/relationships/hyperlink" Target="https://www.sec.gov/Archives/edgar/data/1627282/000110465923062737/tm2316200d1_ex3-1.htm" TargetMode="External"/><Relationship Id="rId111" Type="http://schemas.openxmlformats.org/officeDocument/2006/relationships/hyperlink" Target="https://www.sec.gov/Archives/edgar/data/1627282/000110465923062737/tm2316200d1_ex3-2.htm" TargetMode="External"/><Relationship Id="rId112" Type="http://schemas.openxmlformats.org/officeDocument/2006/relationships/hyperlink" Target="https://www.sec.gov/ix?doc=/Archives/edgar/data/0001627282/000162728224000136/cwd-20241126.htm" TargetMode="External"/><Relationship Id="rId113" Type="http://schemas.openxmlformats.org/officeDocument/2006/relationships/hyperlink" Target="https://www.sec.gov/ix?doc=/Archives/edgar/data/0001627282/000162728225000007/cwd-20250305.htm" TargetMode="External"/><Relationship Id="rId114" Type="http://schemas.openxmlformats.org/officeDocument/2006/relationships/hyperlink" Target="https://www.sec.gov/Archives/edgar/data/1627282/000110465922112555/tm2228946d1_ex4-1.htm" TargetMode="External"/><Relationship Id="rId115" Type="http://schemas.openxmlformats.org/officeDocument/2006/relationships/hyperlink" Target="https://www.sec.gov/Archives/edgar/data/1627282/000110465923035668/tm2230806d13_ex4-2.htm" TargetMode="External"/><Relationship Id="rId116" Type="http://schemas.openxmlformats.org/officeDocument/2006/relationships/hyperlink" Target="https://www.sec.gov/Archives/edgar/data/1627282/000114420419030743/tv515450_ex3-2.htm" TargetMode="External"/><Relationship Id="rId117" Type="http://schemas.openxmlformats.org/officeDocument/2006/relationships/hyperlink" Target="https://www.sec.gov/Archives/edgar/data/1627282/000162728225000020/exhibit41promissorynotei.htm" TargetMode="External"/><Relationship Id="rId118" Type="http://schemas.openxmlformats.org/officeDocument/2006/relationships/hyperlink" Target="https://www.sec.gov/Archives/edgar/data/1627282/000162728225000020/exhibit42commonstockpurc.htm" TargetMode="External"/><Relationship Id="rId119" Type="http://schemas.openxmlformats.org/officeDocument/2006/relationships/hyperlink" Target="https://www.sec.gov/Archives/edgar/data/1627282/000162728225000020/exhibit43commonstockpurc.htm" TargetMode="External"/><Relationship Id="rId120" Type="http://schemas.openxmlformats.org/officeDocument/2006/relationships/hyperlink" Target="https://www.sec.gov/Archives/edgar/data/1627282/000110465923062652/tm2232225d2_ex99-1.htm" TargetMode="External"/><Relationship Id="rId121" Type="http://schemas.openxmlformats.org/officeDocument/2006/relationships/hyperlink" Target="https://www.sec.gov/Archives/edgar/data/1627282/000162728224000069/caliberproxy2024votewithpr.htm" TargetMode="External"/><Relationship Id="rId129" Type="http://schemas.openxmlformats.org/officeDocument/2006/relationships/hyperlink" Target="https://www.sec.gov/Archives/edgar/data/1627282/000162728223000012/ex102_loanagreementxairp.htm" TargetMode="External"/><Relationship Id="rId131" Type="http://schemas.openxmlformats.org/officeDocument/2006/relationships/hyperlink" Target="https://www.sec.gov/Archives/edgar/data/1627282/000162728223000012/ex-103guarantyofrecourse.htm" TargetMode="External"/><Relationship Id="rId133" Type="http://schemas.openxmlformats.org/officeDocument/2006/relationships/hyperlink" Target="https://www.sec.gov/Archives/edgar/data/1627282/000162728223000012/ex-104gatewayloan.htm" TargetMode="External"/><Relationship Id="rId134" Type="http://schemas.openxmlformats.org/officeDocument/2006/relationships/hyperlink" Target="https://www.sec.gov/Archives/edgar/data/1627282/000162728223000012/ex-105assumptionagreemen.htm" TargetMode="External"/><Relationship Id="rId135" Type="http://schemas.openxmlformats.org/officeDocument/2006/relationships/hyperlink" Target="https://www.sec.gov/Archives/edgar/data/1627282/000114420419040575/tv527915_ex6-5.htm" TargetMode="External"/><Relationship Id="rId136" Type="http://schemas.openxmlformats.org/officeDocument/2006/relationships/hyperlink" Target="https://www.sec.gov/Archives/edgar/data/1627282/000114420419040575/tv527915_ex6-6.htm" TargetMode="External"/><Relationship Id="rId137" Type="http://schemas.openxmlformats.org/officeDocument/2006/relationships/hyperlink" Target="https://www.sec.gov/Archives/edgar/data/1627282/000114420419040575/tv527915_ex6-7.htm" TargetMode="External"/><Relationship Id="rId138" Type="http://schemas.openxmlformats.org/officeDocument/2006/relationships/hyperlink" Target="https://www.sec.gov/Archives/edgar/data/1627282/000114420419040575/tv527915_ex6-8.htm" TargetMode="External"/><Relationship Id="rId139" Type="http://schemas.openxmlformats.org/officeDocument/2006/relationships/hyperlink" Target="https://www.sec.gov/Archives/edgar/data/1627282/000110465922121830/tm2230806d1_ex10-11.htm" TargetMode="External"/><Relationship Id="rId140" Type="http://schemas.openxmlformats.org/officeDocument/2006/relationships/hyperlink" Target="https://www.sec.gov/Archives/edgar/data/1627282/000110465923044483/tm2230806d15_ex10-13.htm" TargetMode="External"/><Relationship Id="rId141" Type="http://schemas.openxmlformats.org/officeDocument/2006/relationships/hyperlink" Target="https://www.sec.gov/Archives/edgar/data/1627282/000110465923044483/tm2230806d15_ex10-14.htm" TargetMode="External"/><Relationship Id="rId142" Type="http://schemas.openxmlformats.org/officeDocument/2006/relationships/hyperlink" Target="https://www.sec.gov/Archives/edgar/data/1627282/000110465923044483/tm2230806d15_ex10-15.htm" TargetMode="External"/><Relationship Id="rId143" Type="http://schemas.openxmlformats.org/officeDocument/2006/relationships/hyperlink" Target="https://www.sec.gov/Archives/edgar/data/1627282/000162728223000018/caliber-reitltdxcontribu.htm" TargetMode="External"/><Relationship Id="rId144" Type="http://schemas.openxmlformats.org/officeDocument/2006/relationships/hyperlink" Target="https://www.sec.gov/Archives/edgar/data/1627282/000162728225000020/exhibit101securitiespurc.htm" TargetMode="External"/><Relationship Id="rId145" Type="http://schemas.openxmlformats.org/officeDocument/2006/relationships/hyperlink" Target="https://www.sec.gov/Archives/edgar/data/1627282/000162728225000020/exhibit102registrationri.htm" TargetMode="External"/><Relationship Id="rId146" Type="http://schemas.openxmlformats.org/officeDocument/2006/relationships/hyperlink" Target="https://www.sec.gov/Archives/edgar/data/1627282/000162728225000020/exhibit103subsidiaryguar.htm" TargetMode="External"/><Relationship Id="rId147" Type="http://schemas.openxmlformats.org/officeDocument/2006/relationships/hyperlink" Target="https://www.sec.gov/Archives/edgar/data/1627282/000162728225000020/exhibit104equitypurchase.htm" TargetMode="External"/><Relationship Id="rId148" Type="http://schemas.openxmlformats.org/officeDocument/2006/relationships/hyperlink" Target="https://www.sec.gov/Archives/edgar/data/1627282/000162728225000020/exhibit105registrationr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2025-03-31T18:40:48Z</dcterms:created>
  <dcterms:modified xsi:type="dcterms:W3CDTF">2025-03-31T18:40:48Z</dcterms:modified>
</cp:coreProperties>
</file>