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603250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629285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720" w:hanging="3794"/>
        <w:spacing w:after="0" w:line="367" w:lineRule="auto"/>
        <w:tabs>
          <w:tab w:leader="none" w:pos="39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001-41703</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CALIBERCOS INC.</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
        </w:trPr>
        <w:tc>
          <w:tcPr>
            <w:tcW w:w="5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5"/>
        </w:trPr>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200" w:type="dxa"/>
            <w:vAlign w:val="bottom"/>
          </w:tcPr>
          <w:p>
            <w:pPr>
              <w:spacing w:after="0"/>
              <w:rPr>
                <w:sz w:val="24"/>
                <w:szCs w:val="24"/>
                <w:color w:val="auto"/>
              </w:rPr>
            </w:pPr>
          </w:p>
        </w:tc>
        <w:tc>
          <w:tcPr>
            <w:tcW w:w="538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37"/>
        </w:trPr>
        <w:tc>
          <w:tcPr>
            <w:tcW w:w="5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19685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8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540"/>
              <w:spacing w:after="0"/>
              <w:rPr>
                <w:sz w:val="20"/>
                <w:szCs w:val="20"/>
                <w:color w:val="auto"/>
              </w:rPr>
            </w:pPr>
            <w:r>
              <w:rPr>
                <w:rFonts w:ascii="Wingdings" w:cs="Wingdings" w:eastAsia="Wingdings" w:hAnsi="Wingdings"/>
                <w:sz w:val="18"/>
                <w:szCs w:val="18"/>
                <w:b w:val="1"/>
                <w:bCs w:val="1"/>
                <w:color w:val="auto"/>
              </w:rPr>
              <w:t>o</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540"/>
              <w:spacing w:after="0"/>
              <w:rPr>
                <w:sz w:val="20"/>
                <w:szCs w:val="20"/>
                <w:color w:val="auto"/>
              </w:rPr>
            </w:pPr>
            <w:r>
              <w:rPr>
                <w:rFonts w:ascii="Wingdings" w:cs="Wingdings" w:eastAsia="Wingdings" w:hAnsi="Wingdings"/>
                <w:sz w:val="18"/>
                <w:szCs w:val="18"/>
                <w:b w:val="1"/>
                <w:bCs w:val="1"/>
                <w:color w:val="auto"/>
              </w:rPr>
              <w:t>x</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7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7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8,840,224 shares of common stock, comprised of 8,469,402 shares of Class A Common Stock and 370,822 shares of Class B Common Stock of CaliberCos Inc. as of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1" w:name="page2"/>
    <w:bookmarkEnd w:id="1"/>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4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540" w:type="dxa"/>
            <w:vAlign w:val="bottom"/>
            <w:tcBorders>
              <w:bottom w:val="single" w:sz="8" w:color="CFF0FC"/>
            </w:tcBorders>
          </w:tcPr>
          <w:p>
            <w:pPr>
              <w:spacing w:after="0"/>
              <w:rPr>
                <w:sz w:val="2"/>
                <w:szCs w:val="2"/>
                <w:color w:val="auto"/>
              </w:rPr>
            </w:pPr>
          </w:p>
        </w:tc>
        <w:tc>
          <w:tcPr>
            <w:tcW w:w="520" w:type="dxa"/>
            <w:vAlign w:val="bottom"/>
            <w:tcBorders>
              <w:bottom w:val="single" w:sz="8" w:color="CFF0FC"/>
            </w:tcBorders>
          </w:tcPr>
          <w:p>
            <w:pPr>
              <w:spacing w:after="0"/>
              <w:rPr>
                <w:sz w:val="2"/>
                <w:szCs w:val="2"/>
                <w:color w:val="auto"/>
              </w:rPr>
            </w:pPr>
          </w:p>
        </w:tc>
        <w:tc>
          <w:tcPr>
            <w:tcW w:w="7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4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76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5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FF0FC"/>
          </w:tcPr>
          <w:p>
            <w:pPr>
              <w:spacing w:after="0"/>
              <w:rPr>
                <w:sz w:val="15"/>
                <w:szCs w:val="15"/>
                <w:color w:val="auto"/>
              </w:rPr>
            </w:pPr>
          </w:p>
        </w:tc>
        <w:tc>
          <w:tcPr>
            <w:tcW w:w="2320" w:type="dxa"/>
            <w:vAlign w:val="bottom"/>
            <w:gridSpan w:val="9"/>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340" w:type="dxa"/>
            <w:vAlign w:val="bottom"/>
            <w:gridSpan w:val="12"/>
            <w:shd w:val="clear" w:color="auto" w:fill="CFF0FC"/>
          </w:tcPr>
          <w:p>
            <w:pPr>
              <w:spacing w:after="0"/>
              <w:rPr>
                <w:sz w:val="15"/>
                <w:szCs w:val="15"/>
                <w:color w:val="auto"/>
              </w:rPr>
            </w:pPr>
          </w:p>
        </w:tc>
        <w:tc>
          <w:tcPr>
            <w:tcW w:w="560" w:type="dxa"/>
            <w:vAlign w:val="bottom"/>
            <w:gridSpan w:val="4"/>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80" w:type="dxa"/>
            <w:vAlign w:val="bottom"/>
            <w:gridSpan w:val="1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3940" w:type="dxa"/>
            <w:vAlign w:val="bottom"/>
            <w:gridSpan w:val="5"/>
            <w:shd w:val="clear" w:color="auto" w:fill="CFF0FC"/>
          </w:tcPr>
          <w:p>
            <w:pPr>
              <w:spacing w:after="0"/>
              <w:rPr>
                <w:sz w:val="16"/>
                <w:szCs w:val="16"/>
                <w:color w:val="auto"/>
              </w:rPr>
            </w:pPr>
          </w:p>
        </w:tc>
        <w:tc>
          <w:tcPr>
            <w:tcW w:w="560" w:type="dxa"/>
            <w:vAlign w:val="bottom"/>
            <w:gridSpan w:val="4"/>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2026 and 2025</w:t>
            </w:r>
          </w:p>
        </w:tc>
        <w:tc>
          <w:tcPr>
            <w:tcW w:w="560" w:type="dxa"/>
            <w:vAlign w:val="bottom"/>
            <w:gridSpan w:val="4"/>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52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000" w:type="dxa"/>
            <w:vAlign w:val="bottom"/>
          </w:tcPr>
          <w:p>
            <w:pPr>
              <w:spacing w:after="0"/>
              <w:rPr>
                <w:sz w:val="16"/>
                <w:szCs w:val="16"/>
                <w:color w:val="auto"/>
              </w:rPr>
            </w:pP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0" w:type="dxa"/>
            <w:vAlign w:val="bottom"/>
            <w:tcBorders>
              <w:bottom w:val="single" w:sz="8" w:color="0000FF"/>
            </w:tcBorders>
            <w:gridSpan w:val="1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6220" w:type="dxa"/>
            <w:vAlign w:val="bottom"/>
            <w:tcBorders>
              <w:bottom w:val="single" w:sz="8" w:color="CFF0FC"/>
            </w:tcBorders>
            <w:gridSpan w:val="7"/>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340" w:type="dxa"/>
            <w:vAlign w:val="bottom"/>
            <w:gridSpan w:val="20"/>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shd w:val="clear" w:color="auto" w:fill="CFF0FC"/>
          </w:tcPr>
          <w:p>
            <w:pPr>
              <w:spacing w:after="0"/>
              <w:rPr>
                <w:sz w:val="18"/>
                <w:szCs w:val="18"/>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4920" w:type="dxa"/>
            <w:vAlign w:val="bottom"/>
            <w:tcBorders>
              <w:top w:val="single" w:sz="8" w:color="0000FF"/>
            </w:tcBorders>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420" w:type="dxa"/>
            <w:vAlign w:val="bottom"/>
            <w:tcBorders>
              <w:top w:val="single" w:sz="8" w:color="CFF0FC"/>
            </w:tcBorders>
            <w:gridSpan w:val="6"/>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Borders>
              <w:top w:val="single" w:sz="8" w:color="CFF0FC"/>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60" w:type="dxa"/>
            <w:vAlign w:val="bottom"/>
            <w:gridSpan w:val="21"/>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0000FF"/>
            </w:tcBorders>
            <w:gridSpan w:val="4"/>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740" w:type="dxa"/>
            <w:vAlign w:val="bottom"/>
            <w:tcBorders>
              <w:bottom w:val="single" w:sz="8" w:color="CFF0FC"/>
            </w:tcBorders>
            <w:gridSpan w:val="16"/>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340" w:type="dxa"/>
            <w:vAlign w:val="bottom"/>
            <w:gridSpan w:val="20"/>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shd w:val="clear" w:color="auto" w:fill="CFF0FC"/>
          </w:tcPr>
          <w:p>
            <w:pPr>
              <w:spacing w:after="0"/>
              <w:rPr>
                <w:sz w:val="18"/>
                <w:szCs w:val="18"/>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880" w:type="dxa"/>
            <w:vAlign w:val="bottom"/>
            <w:tcBorders>
              <w:top w:val="single" w:sz="8" w:color="0000FF"/>
            </w:tcBorders>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460" w:type="dxa"/>
            <w:vAlign w:val="bottom"/>
            <w:tcBorders>
              <w:top w:val="single" w:sz="8" w:color="CFF0FC"/>
            </w:tcBorders>
            <w:gridSpan w:val="9"/>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Borders>
              <w:top w:val="single" w:sz="8" w:color="CFF0FC"/>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0000FF"/>
            </w:tcBorders>
            <w:gridSpan w:val="6"/>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5. Other Information</w:t>
            </w:r>
          </w:p>
        </w:tc>
        <w:tc>
          <w:tcPr>
            <w:tcW w:w="8460" w:type="dxa"/>
            <w:vAlign w:val="bottom"/>
            <w:tcBorders>
              <w:bottom w:val="single" w:sz="8" w:color="CFF0FC"/>
            </w:tcBorders>
            <w:gridSpan w:val="14"/>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6. Exhibit Index</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10660" w:type="dxa"/>
            <w:vAlign w:val="bottom"/>
            <w:gridSpan w:val="2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shd w:val="clear" w:color="auto" w:fill="CFF0FC"/>
          </w:tcPr>
          <w:p>
            <w:pPr>
              <w:spacing w:after="0"/>
              <w:rPr>
                <w:sz w:val="18"/>
                <w:szCs w:val="18"/>
                <w:color w:val="auto"/>
              </w:rPr>
            </w:pPr>
          </w:p>
        </w:tc>
      </w:tr>
      <w:tr>
        <w:trPr>
          <w:trHeight w:val="858"/>
        </w:trPr>
        <w:tc>
          <w:tcPr>
            <w:tcW w:w="2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54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CFF0FC"/>
              <w:bottom w:val="single" w:sz="8" w:color="9A9A9A"/>
            </w:tcBorders>
          </w:tcPr>
          <w:p>
            <w:pPr>
              <w:spacing w:after="0"/>
              <w:rPr>
                <w:sz w:val="24"/>
                <w:szCs w:val="24"/>
                <w:color w:val="auto"/>
              </w:rPr>
            </w:pPr>
          </w:p>
        </w:tc>
        <w:tc>
          <w:tcPr>
            <w:tcW w:w="720" w:type="dxa"/>
            <w:vAlign w:val="bottom"/>
            <w:tcBorders>
              <w:top w:val="single" w:sz="8" w:color="CFF0FC"/>
              <w:bottom w:val="single" w:sz="8" w:color="9A9A9A"/>
            </w:tcBorders>
          </w:tcPr>
          <w:p>
            <w:pPr>
              <w:spacing w:after="0"/>
              <w:rPr>
                <w:sz w:val="24"/>
                <w:szCs w:val="24"/>
                <w:color w:val="auto"/>
              </w:rPr>
            </w:pPr>
          </w:p>
        </w:tc>
        <w:tc>
          <w:tcPr>
            <w:tcW w:w="800" w:type="dxa"/>
            <w:vAlign w:val="bottom"/>
            <w:tcBorders>
              <w:top w:val="single" w:sz="8" w:color="CFF0FC"/>
              <w:bottom w:val="single" w:sz="8" w:color="9A9A9A"/>
            </w:tcBorders>
          </w:tcPr>
          <w:p>
            <w:pPr>
              <w:spacing w:after="0"/>
              <w:rPr>
                <w:sz w:val="24"/>
                <w:szCs w:val="24"/>
                <w:color w:val="auto"/>
              </w:rPr>
            </w:pPr>
          </w:p>
        </w:tc>
        <w:tc>
          <w:tcPr>
            <w:tcW w:w="148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CFF0FC"/>
              <w:bottom w:val="single" w:sz="8" w:color="9A9A9A"/>
            </w:tcBorders>
          </w:tcPr>
          <w:p>
            <w:pPr>
              <w:spacing w:after="0"/>
              <w:rPr>
                <w:sz w:val="24"/>
                <w:szCs w:val="24"/>
                <w:color w:val="auto"/>
              </w:rPr>
            </w:pPr>
          </w:p>
        </w:tc>
        <w:tc>
          <w:tcPr>
            <w:tcW w:w="76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CFF0FC"/>
              <w:bottom w:val="single" w:sz="8" w:color="9A9A9A"/>
            </w:tcBorders>
          </w:tcPr>
          <w:p>
            <w:pPr>
              <w:spacing w:after="0"/>
              <w:rPr>
                <w:sz w:val="24"/>
                <w:szCs w:val="24"/>
                <w:color w:val="auto"/>
              </w:rPr>
            </w:pPr>
          </w:p>
        </w:tc>
        <w:tc>
          <w:tcPr>
            <w:tcW w:w="100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1D1C1D"/>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 Unaudited Financial Statements</w:t>
      </w:r>
    </w:p>
    <w:p>
      <w:pPr>
        <w:spacing w:after="0" w:line="36" w:lineRule="exact"/>
        <w:rPr>
          <w:sz w:val="20"/>
          <w:szCs w:val="20"/>
          <w:color w:val="auto"/>
        </w:rPr>
      </w:pPr>
    </w:p>
    <w:p>
      <w:pPr>
        <w:jc w:val="center"/>
        <w:spacing w:after="0" w:line="315" w:lineRule="auto"/>
        <w:rPr>
          <w:sz w:val="20"/>
          <w:szCs w:val="20"/>
          <w:color w:val="auto"/>
        </w:rPr>
      </w:pPr>
      <w:r>
        <w:rPr>
          <w:rFonts w:ascii="Times New Roman" w:cs="Times New Roman" w:eastAsia="Times New Roman" w:hAnsi="Times New Roman"/>
          <w:sz w:val="18"/>
          <w:szCs w:val="18"/>
          <w:b w:val="1"/>
          <w:bCs w:val="1"/>
          <w:color w:val="auto"/>
        </w:rPr>
        <w:t>CALIBERCOS INC. AND SUBSIDIARIES CONDENSED CONSOLIDATED BALANCE SHEETS (UNAUDITED) (AMOUNTS IN THOUSANDS, EXCEPT FOR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820" w:type="dxa"/>
            <w:vAlign w:val="bottom"/>
            <w:tcBorders>
              <w:top w:val="single" w:sz="8" w:color="CCEEFF"/>
            </w:tcBorders>
            <w:shd w:val="clear" w:color="auto" w:fill="CCEEFF"/>
          </w:tcPr>
          <w:p>
            <w:pPr>
              <w:ind w:left="30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 allowance of $830 and $909, respectively</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 net of allowance of $3,400 and $4,071, respectively</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29"/>
        </w:trPr>
        <w:tc>
          <w:tcPr>
            <w:tcW w:w="6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6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179,594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135,396</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6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682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46,347</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r>
      <w:tr>
        <w:trPr>
          <w:trHeight w:val="176"/>
        </w:trPr>
        <w:tc>
          <w:tcPr>
            <w:tcW w:w="6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AA cumulative redeemable preferred stock, net of issuance costs, $25.00 per share</w:t>
            </w:r>
          </w:p>
        </w:tc>
        <w:tc>
          <w:tcPr>
            <w:tcW w:w="2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184"/>
        </w:trPr>
        <w:tc>
          <w:tcPr>
            <w:tcW w:w="6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stated  value,  800,000  shares  authorized,  301,337  and  221,434  shares  issued  and</w:t>
            </w:r>
          </w:p>
        </w:tc>
        <w:tc>
          <w:tcPr>
            <w:tcW w:w="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34"/>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2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0"/>
        </w:trPr>
        <w:tc>
          <w:tcPr>
            <w:tcW w:w="6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6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109,165</w:t>
            </w:r>
          </w:p>
        </w:tc>
      </w:tr>
      <w:tr>
        <w:trPr>
          <w:trHeight w:val="236"/>
        </w:trPr>
        <w:tc>
          <w:tcPr>
            <w:tcW w:w="6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78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CALIBERCOS INC. AND SUBSIDIARIES</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82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78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FOR SHARE AND PER SHARE DATA)</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64"/>
        </w:trPr>
        <w:tc>
          <w:tcPr>
            <w:tcW w:w="6820" w:type="dxa"/>
            <w:vAlign w:val="bottom"/>
            <w:tcBorders>
              <w:top w:val="single" w:sz="8" w:color="CCEEFF"/>
            </w:tcBorders>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Series A non-cumulative convertible preferred stock, $0.001 par value; 22,500,000 shares</w:t>
            </w:r>
          </w:p>
        </w:tc>
        <w:tc>
          <w:tcPr>
            <w:tcW w:w="28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2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authorized,  and  5,875  shares  issued  and  outstanding  as  of  March  31,  2026  and</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vMerge w:val="continue"/>
            <w:shd w:val="clear" w:color="auto" w:fill="CCEEFF"/>
          </w:tcPr>
          <w:p>
            <w:pPr>
              <w:spacing w:after="0"/>
              <w:rPr>
                <w:sz w:val="19"/>
                <w:szCs w:val="19"/>
                <w:color w:val="auto"/>
              </w:rPr>
            </w:pPr>
          </w:p>
        </w:tc>
        <w:tc>
          <w:tcPr>
            <w:tcW w:w="200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Series B convertible preferred stock, $0.001 par value; 50,000 shares authorized, and zero</w:t>
            </w: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and 15,868 shares issued and outstanding as of March 31, 2026 and December 31, 2025,</w:t>
            </w:r>
          </w:p>
        </w:tc>
        <w:tc>
          <w:tcPr>
            <w:tcW w:w="280" w:type="dxa"/>
            <w:vAlign w:val="bottom"/>
          </w:tcPr>
          <w:p>
            <w:pPr>
              <w:spacing w:after="0"/>
              <w:rPr>
                <w:sz w:val="15"/>
                <w:szCs w:val="15"/>
                <w:color w:val="auto"/>
              </w:rPr>
            </w:pPr>
          </w:p>
        </w:tc>
        <w:tc>
          <w:tcPr>
            <w:tcW w:w="2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2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Series AAA convertible preferred stock, $0.001 par value; 40,000 shares authorized, and</w:t>
            </w:r>
          </w:p>
        </w:tc>
        <w:tc>
          <w:tcPr>
            <w:tcW w:w="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2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1,529 and zero shares issued and outstanding as of March 31, 2026 and December 31,</w:t>
            </w:r>
          </w:p>
        </w:tc>
        <w:tc>
          <w:tcPr>
            <w:tcW w:w="280" w:type="dxa"/>
            <w:vAlign w:val="bottom"/>
            <w:shd w:val="clear" w:color="auto" w:fill="CCEEFF"/>
          </w:tcPr>
          <w:p>
            <w:pPr>
              <w:spacing w:after="0"/>
              <w:rPr>
                <w:sz w:val="15"/>
                <w:szCs w:val="15"/>
                <w:color w:val="auto"/>
              </w:rPr>
            </w:pPr>
          </w:p>
        </w:tc>
        <w:tc>
          <w:tcPr>
            <w:tcW w:w="2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respectively</w:t>
            </w:r>
          </w:p>
        </w:tc>
        <w:tc>
          <w:tcPr>
            <w:tcW w:w="280" w:type="dxa"/>
            <w:vAlign w:val="bottom"/>
            <w:shd w:val="clear" w:color="auto" w:fill="CCEEFF"/>
          </w:tcPr>
          <w:p>
            <w:pPr>
              <w:spacing w:after="0"/>
              <w:rPr>
                <w:sz w:val="19"/>
                <w:szCs w:val="19"/>
                <w:color w:val="auto"/>
              </w:rPr>
            </w:pPr>
          </w:p>
        </w:tc>
        <w:tc>
          <w:tcPr>
            <w:tcW w:w="2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Class A, $0.001 par value; 100,000,000 shares authorized, 8,390,140 and</w:t>
            </w: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6,534,319 shares issued and outstanding as of March 31, 2026 and December 31, 2025,</w:t>
            </w:r>
          </w:p>
        </w:tc>
        <w:tc>
          <w:tcPr>
            <w:tcW w:w="28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Class B, $0.001 par value; 15,000,000 shares authorized, 370,822 shares</w:t>
            </w:r>
          </w:p>
        </w:tc>
        <w:tc>
          <w:tcPr>
            <w:tcW w:w="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March 31, 2026 and December 31, 2025</w:t>
            </w:r>
          </w:p>
        </w:tc>
        <w:tc>
          <w:tcPr>
            <w:tcW w:w="2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79,731</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(78,405)</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 attributable to CaliberCos Inc.</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26,231</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9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 net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vMerge w:val="continue"/>
          </w:tcPr>
          <w:p>
            <w:pPr>
              <w:spacing w:after="0"/>
              <w:rPr>
                <w:sz w:val="15"/>
                <w:szCs w:val="15"/>
                <w:color w:val="auto"/>
              </w:rPr>
            </w:pPr>
          </w:p>
        </w:tc>
        <w:tc>
          <w:tcPr>
            <w:tcW w:w="980" w:type="dxa"/>
            <w:vAlign w:val="bottom"/>
            <w:tcBorders>
              <w:bottom w:val="single" w:sz="8" w:color="auto"/>
            </w:tcBorders>
          </w:tcPr>
          <w:p>
            <w:pPr>
              <w:jc w:val="right"/>
              <w:ind w:right="7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120" w:type="dxa"/>
            <w:vAlign w:val="bottom"/>
          </w:tcPr>
          <w:p>
            <w:pPr>
              <w:spacing w:after="0"/>
              <w:rPr>
                <w:sz w:val="5"/>
                <w:szCs w:val="5"/>
                <w:color w:val="auto"/>
              </w:rPr>
            </w:pPr>
          </w:p>
        </w:tc>
        <w:tc>
          <w:tcPr>
            <w:tcW w:w="16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2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vMerge w:val="restart"/>
          </w:tcPr>
          <w:p>
            <w:pPr>
              <w:spacing w:after="0"/>
              <w:rPr>
                <w:sz w:val="5"/>
                <w:szCs w:val="5"/>
                <w:color w:val="auto"/>
              </w:rPr>
            </w:pPr>
          </w:p>
        </w:tc>
        <w:tc>
          <w:tcPr>
            <w:tcW w:w="16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2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20" w:type="dxa"/>
            <w:vAlign w:val="bottom"/>
            <w:gridSpan w:val="3"/>
          </w:tcPr>
          <w:p>
            <w:pPr>
              <w:jc w:val="right"/>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212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2025</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26,231</w:t>
            </w:r>
          </w:p>
        </w:tc>
        <w:tc>
          <w:tcPr>
            <w:tcW w:w="0" w:type="dxa"/>
            <w:vAlign w:val="bottom"/>
          </w:tcPr>
          <w:p>
            <w:pPr>
              <w:spacing w:after="0"/>
              <w:rPr>
                <w:sz w:val="1"/>
                <w:szCs w:val="1"/>
                <w:color w:val="auto"/>
              </w:rPr>
            </w:pPr>
          </w:p>
        </w:tc>
      </w:tr>
      <w:tr>
        <w:trPr>
          <w:trHeight w:val="195"/>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Conversions of 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1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Equity based compensation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3"/>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Contributions from</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noncontrolling interest holders</w:t>
            </w: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Consolidation of VIEs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13,713</w:t>
            </w:r>
          </w:p>
        </w:tc>
        <w:tc>
          <w:tcPr>
            <w:tcW w:w="0" w:type="dxa"/>
            <w:vAlign w:val="bottom"/>
          </w:tcPr>
          <w:p>
            <w:pPr>
              <w:spacing w:after="0"/>
              <w:rPr>
                <w:sz w:val="1"/>
                <w:szCs w:val="1"/>
                <w:color w:val="auto"/>
              </w:rPr>
            </w:pPr>
          </w:p>
        </w:tc>
      </w:tr>
      <w:tr>
        <w:trPr>
          <w:trHeight w:val="146"/>
        </w:trPr>
        <w:tc>
          <w:tcPr>
            <w:tcW w:w="21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to preferred</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w:t>
            </w:r>
          </w:p>
        </w:tc>
        <w:tc>
          <w:tcPr>
            <w:tcW w:w="0" w:type="dxa"/>
            <w:vAlign w:val="bottom"/>
          </w:tcPr>
          <w:p>
            <w:pPr>
              <w:spacing w:after="0"/>
              <w:rPr>
                <w:sz w:val="1"/>
                <w:szCs w:val="1"/>
                <w:color w:val="auto"/>
              </w:rPr>
            </w:pPr>
          </w:p>
        </w:tc>
      </w:tr>
      <w:tr>
        <w:trPr>
          <w:trHeight w:val="22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March 31, 2026</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38,715</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120" w:type="dxa"/>
            <w:vAlign w:val="bottom"/>
          </w:tcPr>
          <w:p>
            <w:pPr>
              <w:spacing w:after="0"/>
              <w:rPr>
                <w:sz w:val="5"/>
                <w:szCs w:val="5"/>
                <w:color w:val="auto"/>
              </w:rPr>
            </w:pPr>
          </w:p>
        </w:tc>
        <w:tc>
          <w:tcPr>
            <w:tcW w:w="16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2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vMerge w:val="restart"/>
          </w:tcPr>
          <w:p>
            <w:pPr>
              <w:spacing w:after="0"/>
              <w:rPr>
                <w:sz w:val="5"/>
                <w:szCs w:val="5"/>
                <w:color w:val="auto"/>
              </w:rPr>
            </w:pPr>
          </w:p>
        </w:tc>
        <w:tc>
          <w:tcPr>
            <w:tcW w:w="16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2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20" w:type="dxa"/>
            <w:vAlign w:val="bottom"/>
            <w:gridSpan w:val="3"/>
          </w:tcPr>
          <w:p>
            <w:pPr>
              <w:jc w:val="right"/>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212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0" w:type="dxa"/>
            <w:vAlign w:val="bottom"/>
          </w:tcPr>
          <w:p>
            <w:pPr>
              <w:spacing w:after="0"/>
              <w:rPr>
                <w:sz w:val="1"/>
                <w:szCs w:val="1"/>
                <w:color w:val="auto"/>
              </w:rPr>
            </w:pPr>
          </w:p>
        </w:tc>
      </w:tr>
      <w:tr>
        <w:trPr>
          <w:trHeight w:val="195"/>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39"/>
        </w:trPr>
        <w:tc>
          <w:tcPr>
            <w:tcW w:w="21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Equity based compensation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93"/>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Contributions from</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noncontrolling interest holders</w:t>
            </w: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93"/>
        </w:trPr>
        <w:tc>
          <w:tcPr>
            <w:tcW w:w="2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holders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March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45,205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(61,014)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36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investments in unconsolidated entities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notes receivable - related parties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above-market/below market leases and straight-line rent, net</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 and notes payable discount</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Bad debt expense</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right-of-use assets and other assets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182"/>
        </w:trPr>
        <w:tc>
          <w:tcPr>
            <w:tcW w:w="7220" w:type="dxa"/>
            <w:vAlign w:val="bottom"/>
            <w:shd w:val="clear" w:color="auto" w:fill="CCEEFF"/>
          </w:tcPr>
          <w:p>
            <w:pPr>
              <w:ind w:left="600"/>
              <w:spacing w:after="0" w:line="182" w:lineRule="exact"/>
              <w:rPr>
                <w:sz w:val="20"/>
                <w:szCs w:val="20"/>
                <w:color w:val="auto"/>
              </w:rPr>
            </w:pPr>
            <w:r>
              <w:rPr>
                <w:rFonts w:ascii="Times New Roman" w:cs="Times New Roman" w:eastAsia="Times New Roman" w:hAnsi="Times New Roman"/>
                <w:sz w:val="18"/>
                <w:szCs w:val="18"/>
                <w:i w:val="1"/>
                <w:iCs w:val="1"/>
                <w:color w:val="auto"/>
              </w:rPr>
              <w:t>Adjustments to reconcile net loss to net cash from operating activities of consolidated</w:t>
            </w:r>
          </w:p>
        </w:tc>
        <w:tc>
          <w:tcPr>
            <w:tcW w:w="1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6"/>
        </w:trPr>
        <w:tc>
          <w:tcPr>
            <w:tcW w:w="7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i w:val="1"/>
                <w:iCs w:val="1"/>
                <w:color w:val="auto"/>
              </w:rPr>
              <w:t>funds:</w:t>
            </w:r>
          </w:p>
        </w:tc>
        <w:tc>
          <w:tcPr>
            <w:tcW w:w="1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the disposition of real estate</w:t>
            </w:r>
          </w:p>
        </w:tc>
        <w:tc>
          <w:tcPr>
            <w:tcW w:w="12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notes payable premium</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1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of consolidated funds:</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right-of-use assets and other assets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digital assets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sale of digital assets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of capital from unconsolidated entities</w:t>
            </w:r>
          </w:p>
        </w:tc>
        <w:tc>
          <w:tcPr>
            <w:tcW w:w="12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Funding of notes receivable - related parties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 of consolidated funds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Consolidation of VIEs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12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72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2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preferred stock, net of issuance costs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redeemable preferred stock, net of issuance costs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to preferred stockholders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of consolidated funds</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2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1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3"/>
        </w:trPr>
        <w:tc>
          <w:tcPr>
            <w:tcW w:w="7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Period</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23"/>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7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at end of period</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23"/>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CaliberCos Inc., a Delaware corporation, and its wholly-owned subsidiaries (collectively, the “Company”, “we”, “our”), is an alternative asset manager of private syndication and direct investment real estate funds complemented with being a provider of a full suite of traditional real estate services, and follows a Digital Asset Treasury (“DAT”) strategy in Chainlink (“LINK”).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March 31, 2026, the Company has operations in Arizona which focus on managing hospitality, multifamily, and multi-tenant industrial real estate investments across the United States.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Company’s Platform is comprised of investments in digital assets through its corporate treasury and in a family of private equity real estate (“PERE”) funds which are organized as operating partnerships, in which multiple unrelated passive investors own partnership interests. In addition, the Company is designated as the manager and/or general partner of the partnership. Depending on the legal structure and arrangements between the Company and the funds, the Company may or may not consolidate the partnerships for financial reporting purposes. For funds in which the Company is determined to be the controlling party or primary beneficiary for financial reporting purposes, the fund is consolidated, and the passive investors’ ownership is presented as noncontrolling interest in the accompanying condensed consolidated financial statements (“Consolidated Funds”, and collectively with the Company, the “Consolidated Company”, “Caliber”, “we”, “our”, and “us”). For funds in which the Company is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details.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 1-for-20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May 2, 2025, the Company effected a one-for-twenty (1-for-20) reverse stock split of its common stock (the “Reverse Stock Split”). The Reverse Stock Split did not change the authorized number of shares or the par value of the Common Stock nor modify any voting rights of the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 and per share amounts in the accompanying condensed consolidated financial statements have been retroactively adjusted to reflect the Reverse Stock Split for all periods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Equity Distribution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the Company entered into an at-the-market (“ATM”) equity distribution agreement providing for the issuance and sale of up to $10.3 million of its Class A common stock. During the three months ended March 31, 2026, the Company issued 49,307 shares under the ATM program, resulting in net proceeds of $0.1 million. As of March 31, 2026, the Company has issued an aggregate of 1,720,875 shares under the agreement, for net proceeds of $8.4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in the United States of America (“U.S. GAAP”) applicable to a going concern, which contemplates the realization of assets and the satisfaction of liabilities in the normal course of business.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the Company’s corporate note portfolio consisted of 148 unsecured notes with an aggregate principal balance of $26.2 million, compared to 178 unsecured notes with an aggregate principal balance of $29.6 million at December 31, 2025 and 196 unsecured notes with an aggregate principal balance of $33.2 million at March 31, 2025, a 21.1% decrease year over year. The notes generally have either a 12-month or 36-month term, with the 12-month note holders having the option to extend for an additional 12-month term. As of May 13, 2026, an aggregate of $21.1 million of corporate and convertible notes mature within the 12-month period subsequent to when these condensed consolidated financial statements were issued.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operating losses and negative cash flow from operations, and may experience additional operating losses and negative cash flow in the near term. The Company does not have sufficient cash and other liquid assets on-hand to satisfy these maturities in full. These conditions and events raise substantial doubt about the Company’s ability to continue as a going concern. In response to these conditions, management considered the impact of the Company’s near-term maturities and the status of related plans intended to address them.</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satisfy the maturity of these corporate notes, the Company intends to continue executing on the following strategies, which the Company has been actively pursuing during 2025 and the first quarter of 2026:</w:t>
      </w:r>
    </w:p>
    <w:p>
      <w:pPr>
        <w:spacing w:after="0" w:line="117" w:lineRule="exact"/>
        <w:rPr>
          <w:sz w:val="20"/>
          <w:szCs w:val="20"/>
          <w:color w:val="auto"/>
        </w:rPr>
      </w:pPr>
    </w:p>
    <w:p>
      <w:pPr>
        <w:jc w:val="both"/>
        <w:ind w:left="660" w:hanging="328"/>
        <w:spacing w:after="0" w:line="268" w:lineRule="auto"/>
        <w:tabs>
          <w:tab w:leader="none" w:pos="64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 A+ Series AA Preferred Stock Offering. </w:t>
      </w:r>
      <w:r>
        <w:rPr>
          <w:rFonts w:ascii="Times New Roman" w:cs="Times New Roman" w:eastAsia="Times New Roman" w:hAnsi="Times New Roman"/>
          <w:sz w:val="18"/>
          <w:szCs w:val="18"/>
          <w:color w:val="auto"/>
        </w:rPr>
        <w:t>Raise up to $20.0 million of Series AA Preferred Stock through the Company’s Reg A+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was qualified on March 12, 2025. From program inception through May 13, 2026, the Company has raised $8.7 million in proceeds from its Series AA Preferred Stock.</w:t>
      </w:r>
    </w:p>
    <w:p>
      <w:pPr>
        <w:spacing w:after="0" w:line="143"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 Refinancing into 36-Month Term Program. </w:t>
      </w:r>
      <w:r>
        <w:rPr>
          <w:rFonts w:ascii="Times New Roman" w:cs="Times New Roman" w:eastAsia="Times New Roman" w:hAnsi="Times New Roman"/>
          <w:sz w:val="18"/>
          <w:szCs w:val="18"/>
          <w:color w:val="auto"/>
        </w:rPr>
        <w:t>Refinance existing 12-month term corporate notes into the Company’s 36-month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note program. From program inception through May 13, 2026, the Company has refinanced $6.4 million of 12-month term corporate notes into the 36-month term program.</w:t>
      </w:r>
    </w:p>
    <w:p>
      <w:pPr>
        <w:spacing w:after="0" w:line="130"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 Conversion Program. </w:t>
      </w:r>
      <w:r>
        <w:rPr>
          <w:rFonts w:ascii="Times New Roman" w:cs="Times New Roman" w:eastAsia="Times New Roman" w:hAnsi="Times New Roman"/>
          <w:sz w:val="18"/>
          <w:szCs w:val="18"/>
          <w:color w:val="auto"/>
        </w:rPr>
        <w:t>Convert corporate notes into shares of Caliber Class A common stock or Series AAA Convertible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Company’s note conversion program (the “Program”), launched in October 2025. Under the Program, holders of outstanding promissory notes may elect to convert all or part of their notes into Class A common stock at a per share conversion price equaling the lower of (i) the average closing price of the Company’s Class A common stock over the five trading days prior to the execution, or (ii) the closing bid price of the Company’s Class A common stock the business day preceding execution, or, alternatively into shares of Series AAA Convertible Preferred Stock. From program inception through May 13, 2026, the Company has successfully converted $3.8 million of corporate notes into 22,726 shares of Class A common stock at conversion prices ranging from $1.06 to $3.72 per share, and an additional $1.5 million of corporate notes into 1,529 shares of Series AAA Convertible Preferred Stock subsequent to March 31, 2026.</w:t>
      </w:r>
    </w:p>
    <w:p>
      <w:pPr>
        <w:spacing w:after="0" w:line="144"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4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Issuances Through ELOC and ATM Facilities. </w:t>
      </w:r>
      <w:r>
        <w:rPr>
          <w:rFonts w:ascii="Times New Roman" w:cs="Times New Roman" w:eastAsia="Times New Roman" w:hAnsi="Times New Roman"/>
          <w:sz w:val="18"/>
          <w:szCs w:val="18"/>
          <w:color w:val="auto"/>
        </w:rPr>
        <w:t>Raise additional equity through the Company’s existing equity line of credit (“ELOC”)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at-the-market (“ATM”) facilities, with a portion of the proceeds allocated to general corporate purposes. From program inception through May 13, 2026, the Company generated $38.7 million in net cash from equity issuances across all sources.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financing actions noted, management continues to execute various plans implemented to address operating losses and near-term maturities or demands for repayment of its notes. Consistent with actions taken in prior reporting periods, these plans include: i) further reducing operating costs, including the workforce reductions implemented in 2025 that are expected to generate annualized cost savings of $3.9 million in compensation and employee benefit expenses in 2026; ii) collecting all or part of the Company’s $11.2 million in accounts receivable; iii) collecting all or part of its $11.6 million in investments from its managed funds, iv) continuing to expand fundraising channels and managed capital; v) selling or accepting outside investment into the Company’s corporate headquarters; vi) placing debt on unencumbered assets; and vii) generating planned cash flow from operations through the execution of the Company’s existing project pipeline.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executed against these plans and, among other things: (i) collected $4.4 million in notes receivable from related parties; (ii) collected $3.7 million in accounts receivable; (iii) issued $0.7 million of Series AA Preferred Stock under its Regulation A+ offering; and (iv) entered into binding agreements to convert $3.5 million of corporate notes into Class A common stock and Series AAA Convertible Preferred Stock. As a result of these and prior period actions, the Company’s aggregate corporate note balance decreased from $29.6 million at December 31, 2025 to $26.2 million at March 31, 2026.</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consideration of the implemented and planned actions, management concluded these plans depend on actions of third parties; including noteholders, investors, lenders, and counterparties, and accordingly cannot be deemed probable of being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effectively implemented under ASC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As a result, the Company has concluded that management’s plans do not alleviate substantial doubt about the Company’s ability to continue as a going concern.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continues to pursue these plans and advance its existing project pipeline to address the near-term funding gap; however, no assurance can be provided that such plans will be successful or implemented in a timely manner sufficient to alleviate substantial doubt about the Company’s ability to continue as a going concern.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on the accrual basis of accounting in accordance with U.S. GAAP. The accompanying condensed consolidated financial statements include the Company’s accounts, its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entity is a variable interest entity (“VIE”) based on several factors, including whether the equity holders, as a group, lack the characteristics of a controlling financial interest. The Company analyzes any investments in VIEs to determine if we are the primary beneficiary. A reporting entity is determined to be the primary beneficiary if it holds a controlling financial interest in a VIE.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The Company consolidates any VIEs for which we are the primary beneficiary, and the Company discloses our maximum exposure to loss related to the consolidated VIEs. See Note 3 – VIEs for more detail.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Interest Entities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Entities that do not qualify as VIEs are generally assessed for consolidation as voting interest entities (“VOEs”). For VOEs, the Company consolidates an entity if it has a controlling financial interest. The Company has a controlling financial interest in a VOE if (i) for legal entities other than partnerships, the Company owns a majority voting interest in the entity or, for limited partnerships and similar entities, the Company owns a majority of the entity’s kick-out rights through voting limited partnership interests and (ii) non-controlling shareholders or partners do not hold substantive participating rights, and no other conditions exist that would indicate that the Company does not control the entity.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Unaudited Financial Data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the Company to make estimates and assumptions that affect the reported amounts of assets, liabilities, revenues and expenses, and related disclosure of contingent assets and liabilities. These estimates are made and evaluated on an ongoing basis using information that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 currently available as well as various other assumptions believed to be reasonable under the circumstances. Actual results could differ significantly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cash held in escrow accounts by contractual agreement with lenders as part of financial loan covenant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2023-08, Intangibles— Goodwill and Other—Crypto Assets (Subtopic 350-60): Accounting for and Disclosure of Crypto Assets (“ASU 2023-08”). ASU 2023-08 requires in-scope crypto assets (including the Company's LINK holdings) to be measured at fair value in the statement of financial position, with gains and losses from changes in the fair value of such crypto assets recognized in net income each reporting period. ASU 2023-08 also requires certain interim and annual disclosures for crypto assets within the scope of the standard. The Company adopted this guidance effective September 9, 2025, upon the completion of its initial purchase of LINK as part of the inauguration of its DAT strategy.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initially records its LINK purchases at cost, with any subsequent changes in fair value recognized as incurred in the Company's condensed consolidated statements of operations. The fair value of the Company’s LINK is adjusted and disclosed within the Company's condensed consolidated balance sheets at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A deferred tax asset or liability is recorded for subsequent changes in fair value of the Company’s digital assets, representing the temporary difference between the carrying amount and tax basis of the assets.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the Company’s DAT strategy, its intent is to make consistent purchases of LINK over time, establishing a material position in LINK holdings within its treasury. In the event of a sale, the Company will calculate the gain or loss to be recognized as the difference between the sales price, net of transaction costs, and carrying value of the LINK tokens sold immediately prior to sale. The Company uses the first-in, first-out cost basis method when calculating the gain or loss on sale.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 entity is not a VIE, the Company’s determination of the appropriate accounting method with respect to our investments in limited liability companies and other investments is based on voting control. For the Company’s managing member interests in limited liability companies, the Company is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The Company accounts for our non-controlling investments in these entities under the equity method. The Company’s investments in unconsolidated subsidiaries in which we can exercise significant influence over operating and financial policies, but do not control, or entities which are VIEs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The Company’s share of the earnings or loss from equity method investments is included in other income (expenses), net on the accompanying condensed consolidated statements of operations. The Company evaluates its investments in unconsolidated entities for impairment when events and circumstances indicate that the fair value of the entities might be less than the carrying value.</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determination of the appropriate accounting treatment for an investment in a subsidiary requires judgment of several factors, including the size and nature of our ownership interest and the other owners’ substantive rights to make decisions for the entity. Different judgments or conclusions as to the level of the Company’s control or influence, could result in a different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treatment, such as consolidation. While consolidating an investment generally has no impact on the Company’s net income or stockholders’ deficit, consolidation does impact the individual income statement and balance sheet line items on the Company’s consolidated financial statements, by effectively “grossing up” the Company’s condensed consolidated statements of operations and balance sheets.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amount of the Company’s investments in unconsolidated entities was $11.6 million, net of $6.5 million and $6.9 million, respectively, of impairments primarily related to the winding down of Caliber Fixed Income Fund III (“CFIF III”) in 2024.</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situations, the Company has invested only a nominal amount of cash, or no cash at all, into a venture. As the manager of the venture, the Company is entitled to 15.0% – 35.0% of the residual cash flow produced by the venture after the payment of any priority returns. Under the equity method, impairment losses are recognized upon evidence of other-than-temporary losses of value. For the three months ended March 31, 2026 and 2025, the Company had impairment losses of $0.2 million and $0.2 million, respectively, related to its investments in unconsolidated entities.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w:t>
      </w:r>
    </w:p>
    <w:p>
      <w:pPr>
        <w:spacing w:after="0" w:line="143" w:lineRule="exact"/>
        <w:rPr>
          <w:sz w:val="20"/>
          <w:szCs w:val="20"/>
          <w:color w:val="auto"/>
        </w:rPr>
      </w:pPr>
    </w:p>
    <w:p>
      <w:pPr>
        <w:ind w:right="1020"/>
        <w:spacing w:after="0" w:line="461"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depreciation expense for the Company was $0.2 million and $0.2 million, respectively. </w:t>
      </w:r>
      <w:r>
        <w:rPr>
          <w:rFonts w:ascii="Times New Roman" w:cs="Times New Roman" w:eastAsia="Times New Roman" w:hAnsi="Times New Roman"/>
          <w:sz w:val="18"/>
          <w:szCs w:val="18"/>
          <w:b w:val="1"/>
          <w:bCs w:val="1"/>
          <w:i w:val="1"/>
          <w:iCs w:val="1"/>
          <w:color w:val="auto"/>
        </w:rPr>
        <w:t>Impairment of Long-Lived Assets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the Company assesses its recoverability by comparing the carrying amount to the Company’s estimate of the undiscounted net future cash flows resulting from the use of the asset, excluding interest charges. If the carrying amount exceeds the aggregate undiscounted future cash flows, the Company recognizes an impairment loss to the extent the carrying amount exceeds the estimated fair value of the asset.</w:t>
      </w:r>
    </w:p>
    <w:p>
      <w:pPr>
        <w:spacing w:after="0" w:line="143" w:lineRule="exact"/>
        <w:rPr>
          <w:sz w:val="20"/>
          <w:szCs w:val="20"/>
          <w:color w:val="auto"/>
        </w:rPr>
      </w:pPr>
    </w:p>
    <w:p>
      <w:pPr>
        <w:ind w:right="720"/>
        <w:spacing w:after="0" w:line="461"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the Company had no impairment losses related to its real estate and other long-lived assets. </w:t>
      </w:r>
      <w:r>
        <w:rPr>
          <w:rFonts w:ascii="Times New Roman" w:cs="Times New Roman" w:eastAsia="Times New Roman" w:hAnsi="Times New Roman"/>
          <w:sz w:val="18"/>
          <w:szCs w:val="18"/>
          <w:b w:val="1"/>
          <w:bCs w:val="1"/>
          <w:i w:val="1"/>
          <w:iCs w:val="1"/>
          <w:color w:val="auto"/>
        </w:rPr>
        <w:t>Concentration of Credit Risk</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activities completed through its Platform, including the management, ownership and/or operations of real estate assets located across the United States. The Company mitigates the associated risk by:</w:t>
      </w:r>
    </w:p>
    <w:p>
      <w:pPr>
        <w:spacing w:after="0" w:line="12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across hospitality, multi-family, and multi-tenant industrial asset types;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Consolidated Real Estate Partnerships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the unaffiliated partners’ interests in the net assets of the Company’s consolidated real estate partnerships as noncontrolling interests within the accompanying condensed consolidated statements of changes in stockholders’ equity. Noncontrolling interests consist of equity interests held by limited partners in consolidated real estate partnerships. The Company attributes to noncontrolling interests their share of income or loss of the consolidated partnerships based on the Company’s proportionate interest in the results of operations of the partnerships, including the Company’s share of losses even if such attribution results in a deficit noncontrolling interest balance within our equity and partners’ capital accounts.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partnership agreements generally require the partnerships to be liquidated following the sale of the underlying real estate assets. As the general partner in these partnerships, the Company ordinarily controls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the Company manages,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the Company’s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Company’s revenue recognition policy related to the fees the Company earns from providing services under its Platform: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condensed consolidated statements of operations. Fund set-up fees replaced fund formation fees that are earned at a point in time at a fixed rate based on the amount of capital raised into certain managed funds.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condensed consolidated statements of operations.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essentially upon closing of a loan. In addition, the Company earns fees for guaranteeing certain loans, representing a performance obligation that the Company satisfies over time. These revenues are included in asset management revenues in the accompanying condensed consolidated statements of operations.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when the related performance obligations are satisfied and the customer obtains control of the promised service, including negotiation, due diligence, entitlements, planning, and design activities. During the construction period, development fee revenue is recognized ratably over time as the performance obligation(s) is satisfied. These revenues are included in asset management revenues in the accompanying condensed consolidated statements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condensed consolidated statements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the Company is entitled to an allocation of investment returns, generated within the investment funds which the Company manages, based on a contractual formula. The Company typically receives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an allowance for credit losses for financial assets measured at amortized cost, including accounts receivable and related party loans, in accordance with ASC 326, Financial Instruments – Credit Losses. The allowance represents management’s estimate of current expected credit losses over the contractual life of the financial assets, considering historical experience, current conditions, and reasonable and supportable forecasts. The Company’s financial assets primarily consist of receivables and loans associated with real estate assets held within managed investment funds. The collectability of these amounts is generally dependent on the performance, value, and liquidity of the underlying real estate assets rather than fixed contractual payment schedules.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estimate expected credit losses, the Company utilizes a methodology that incorporates the expected recovery of underlying collateral and project-level cash flows. The Company performs periodic valuations of the underlying real estate assets using a combination of income, market, and cost approaches, with a primary reliance on discounted cash flow (“DCF”) analyses. These valuations incorporate assumptions regarding future operating performance, lease-up timing, inflation, rental rates, discount rates, and exit capitalization rates, as applicable, which reflect market participant expectations.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recoverability of its financial assets by comparing the estimated fair value of the underlying real estate assets to the total obligations within the applicable capital structure, including the Company’s receivables and loans. This analysis includes a hypothetical liquidation scenario to assess whether the estimated asset value is sufficient to satisfy outstanding obligations.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assumptions used in the Company’s valuation models inherently reflect uncertainty and risk factors, including variability in projected cash flows, development timelines, and market conditions. These assumptions represent risk-adjusted, probability-informed estimates within a range of possible outcomes, although the Company does not explicitly assign probability weights to multiple scenarios. In addition, the Company evaluates the sensitivity of its valuations to changes in key assumptions, such as capitalization rates, operating performance, and timing of cash flows, to assess the potential impact of reasonably possible adverse conditions. The Company also considers its historical experience, together with current market conditions and the expected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of the underlying real estate assets. Due to the nature of these financial assets, which are dependent on asset-level performance and capital events, the aging of receivables is not considered a primary indicator of credit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this combined analysis, including embedded uncertainty in valuation assumptions, sensitivity to reasonably possible downside scenarios, and historical loss experience, the Company records an allowance for credit losses representing the estimated shortfall, if any, between expected recoveries and the carrying value of the financial assets. Changes in the allowance are recorded in earnings in the period in which they occur, and write-offs are recognized when amounts are deemed uncollectible.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table below details the activities of credit losses during the three months ended March 31, 2026 and 2025 </w:t>
      </w:r>
      <w:r>
        <w:rPr>
          <w:rFonts w:ascii="Times New Roman" w:cs="Times New Roman" w:eastAsia="Times New Roman" w:hAnsi="Times New Roman"/>
          <w:sz w:val="18"/>
          <w:szCs w:val="18"/>
          <w:color w:val="231F20"/>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3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charge-offs</w:t>
            </w:r>
          </w:p>
        </w:tc>
        <w:tc>
          <w:tcPr>
            <w:tcW w:w="1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March 31, 2026</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364"/>
        </w:trPr>
        <w:tc>
          <w:tcPr>
            <w:tcW w:w="8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3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charge-offs</w:t>
            </w:r>
          </w:p>
        </w:tc>
        <w:tc>
          <w:tcPr>
            <w:tcW w:w="1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March 31, 2025</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Lessor</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March 31, 2026 and December 31, 2025. For operating leases with minimum scheduled rent increases, the Company recognizes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Company for maintenance and other property operating expenses, which are non-lease components. The Company elected the practical expedient to combine lease and non-lease components and the non-lease components will be included with the single property lease component as the predominant component.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Lessee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impairment assessment for ROU assets is consistent with the impairment analysis for the Company's other long-lived assets and is reviewed quarterly.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the Company’s financial instruments is estimated using available market information and established valuation methodologies. The estimates of fair value are not necessarily indicative of the amounts the Company could realize on disposition of the financial instruments. The use of different market assumptions and/or valuation methodologies may have a material effect on the estimated fair value amounts.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spacing w:after="0" w:line="15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 or liabilities that can be accessed at the measurement date.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Consolidated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Real Estate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Acquired real estate properties accounted for as asset acquisitions are recorded at cost, including acquisition and closing costs. The consolidated funds allocate the cost of real estate properties to the tangible and intangible assets and liabilities acquired based on their estimated relative fair values. The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The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spacing w:after="0" w:line="121" w:lineRule="exact"/>
        <w:rPr>
          <w:sz w:val="20"/>
          <w:szCs w:val="20"/>
          <w:color w:val="auto"/>
        </w:rPr>
      </w:pPr>
    </w:p>
    <w:p>
      <w:pPr>
        <w:ind w:right="520"/>
        <w:spacing w:after="0" w:line="461" w:lineRule="auto"/>
        <w:rPr>
          <w:sz w:val="20"/>
          <w:szCs w:val="20"/>
          <w:color w:val="auto"/>
        </w:rPr>
      </w:pPr>
      <w:r>
        <w:rPr>
          <w:rFonts w:ascii="Times New Roman" w:cs="Times New Roman" w:eastAsia="Times New Roman" w:hAnsi="Times New Roman"/>
          <w:sz w:val="18"/>
          <w:szCs w:val="18"/>
          <w:color w:val="auto"/>
        </w:rPr>
        <w:t xml:space="preserve">There were no asset acquisitions or dispositions by the Company or the consolidated funds during the three months ended March 31, 2026 and 2025. </w:t>
      </w:r>
      <w:r>
        <w:rPr>
          <w:rFonts w:ascii="Times New Roman" w:cs="Times New Roman" w:eastAsia="Times New Roman" w:hAnsi="Times New Roman"/>
          <w:sz w:val="18"/>
          <w:szCs w:val="18"/>
          <w:b w:val="1"/>
          <w:bCs w:val="1"/>
          <w:i w:val="1"/>
          <w:iCs w:val="1"/>
          <w:color w:val="auto"/>
        </w:rPr>
        <w:t>Intangible Assets, Net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funds intangible assets consist of lease rights to 100 acres of land located within the Salt River Pima Maricopa Indian Community, comprising seven parcels. The lease rights were acquired in October 2022 for $48.7 million and are being amortized on a straight-line basis over the remaining lease term at acquisition of 66 years. For the three months ended March 31, 2026, amortization related to intangible leases of the consolidated funds was $0.2 million. The consolidated funds did not have any amortization related to intangible leases during the three months ended March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Capitalization and Depreciation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The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spacing w:after="0" w:line="1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for all tangible real estate assets is calculated using the straight-line method over the estimated useful lives of the assets. The estimated useful lives of our building and building improvements are generally 15 to 40 years. The estimated useful lives of the consolidated funds furniture, fixtures and equipment are generally three to seven years beginning in the first full month the asset is placed in service.</w:t>
      </w:r>
    </w:p>
    <w:p>
      <w:pPr>
        <w:spacing w:after="0" w:line="203" w:lineRule="exact"/>
        <w:rPr>
          <w:sz w:val="20"/>
          <w:szCs w:val="20"/>
          <w:color w:val="auto"/>
        </w:rPr>
      </w:pPr>
    </w:p>
    <w:p>
      <w:pPr>
        <w:ind w:right="440"/>
        <w:spacing w:after="0" w:line="453"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depreciation expense of the consolidated funds was $0.2 million and $1.0 million, respectively. </w:t>
      </w:r>
      <w:r>
        <w:rPr>
          <w:rFonts w:ascii="Times New Roman" w:cs="Times New Roman" w:eastAsia="Times New Roman" w:hAnsi="Times New Roman"/>
          <w:sz w:val="18"/>
          <w:szCs w:val="18"/>
          <w:b w:val="1"/>
          <w:bCs w:val="1"/>
          <w:i w:val="1"/>
          <w:iCs w:val="1"/>
          <w:color w:val="auto"/>
        </w:rPr>
        <w:t>Impairment of Long-Lived Assets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the consolidated funds recognize an impairment loss to the extent the carrying amount exceeds the estimated fair value of the asset.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consolidated funds did not record an impairment loss related to its real estate and other long-lived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consolidated funds’ revenues primarily consist of hospitality revenues, rental income and interest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the Company deconsolidated DoubleTree by Hilton Tucson Convention Center (“TCC”), which was the only consolidated fund with hospitality revenues. Accordingly, following the deconsolidation of TCC, the Company no longer has hospitality revenue. The below policy applies to hospitality revenue recognized prior to the deconsolidation of TCC.</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funds – other revenue includes rental revenue of $0.6 million and $0.1 million for the three months ended March 31, 2026,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revenue includes the revenues generated primarily by the rental operations of the residential and commercial properties of the consolidated funds.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 new lease arrangement, including new leases that arise from amendments, the consolidated funds assess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consolidated funds obtain a guarantee for the value of the asset from a third party, the consolidated funds classify the lease as a direct financing lease. All other leases are classified as operating leases. The consolidated funds did not have any sales-type or direct financing leases as of March 31, 2026.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funds identified two separate lease components as follows: i) land lease component, and ii) single property lease component comprised of building, land improvements and tenant improvements. The consolidated funds leases also contain provisions for tenants to reimburse the consolidated funds for maintenance and other property operating expenses, which are considered to be non-lease components. The consolidated funds elected the practical expedient to combine lease and non-lease components and the non-lease components will be included with the single property lease component as the predominant component.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the consolidated funds, insurance expenses, professional fees and other costs associated with administering and supporting those funds.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spacing w:after="0" w:line="1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 or liabilities that can be accessed at the measurement date.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w:t>
      </w:r>
      <w:r>
        <w:rPr>
          <w:rFonts w:ascii="Times New Roman" w:cs="Times New Roman" w:eastAsia="Times New Roman" w:hAnsi="Times New Roman"/>
          <w:sz w:val="17"/>
          <w:szCs w:val="17"/>
          <w:color w:val="auto"/>
        </w:rPr>
        <w:t>to improve the disclosures about a public business entity’s expenses and provide more detailed information about the types of expenses included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expense captions in the consolidated financial statements. The amendments in this update are effective for annual reporting periods beginning after December 15, 2026, and interim reporting periods beginning after December 15, 2027. Early adoption is permitted and the amendments in this update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be applied either prospectively to financial statements issued for reporting periods after the effective date of this update or retrospectively to any or all prior periods presented in the financial statements. The Company is currently evaluating the impact of the adoption of ASU 2024-03 on its condensed consolidated financial statements and related disclosures.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2025, the FASB issued Accounting Standards Update (“ASU”) 2025-05, </w:t>
      </w:r>
      <w:r>
        <w:rPr>
          <w:rFonts w:ascii="Times New Roman" w:cs="Times New Roman" w:eastAsia="Times New Roman" w:hAnsi="Times New Roman"/>
          <w:sz w:val="18"/>
          <w:szCs w:val="18"/>
          <w:i w:val="1"/>
          <w:iCs w:val="1"/>
          <w:color w:val="auto"/>
        </w:rPr>
        <w:t>Financial Instruments—Credit Losses (Topic 326): Clarifications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Expected Credit Losses Guidance</w:t>
      </w:r>
      <w:r>
        <w:rPr>
          <w:rFonts w:ascii="Times New Roman" w:cs="Times New Roman" w:eastAsia="Times New Roman" w:hAnsi="Times New Roman"/>
          <w:sz w:val="18"/>
          <w:szCs w:val="18"/>
          <w:color w:val="auto"/>
        </w:rPr>
        <w:t>. The amendments in ASU 2025-05 are intended to reduce the operational burden associated with applying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(“CECL”) model to portfolios with large volumes of short-term receivables. The update confirms that entities may apply simple, well-designed loss-rate approaches when estimating expected credit losses and clarifies the interaction between the guidance in Topic 326 and contract assets recognized under Topic 606, Revenue from Contracts with Customers. The amendments are intended to improve consistency and comparability in the application of the CECL model in practice. The amendments in ASU 2025-05 are effective for fiscal years beginning after December 15, 2025, including interim periods within those fiscal years, with early adoption permitted. The amendments in ASU 2025-05 were adopted by the Company as of January 1, 2026, and the Company elected not to adopt the practical expedient. There was no material impact to the Company's condensed consolidated financial statements as a result of the adoption.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in ASU 2025-11 are intended to enhance the clarity and usability of the interim reporting guidance in Topic 270. Among other changes, the update defines when the guidance in Topic 270 applies, clarifies what constitutes interim financial statements and accompanying notes prepared in accordance with U.S. GAAP, and organizes existing interim disclosure requirements from across the Codification into Topic 270. The amendments also introduce a disclosure principle requiring entities to disclose events occurring after the end of the most recent annual reporting period that have a material impact on the entity. The amendments in ASU 2025-11 are effective for interim periods within fiscal years beginning after December 15, 2027. Early adoption is permitted. The Company is currently evaluating the impact that the adoption of ASU 2025-11 will have on its condensed consolidated financial statements and related disclosures.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includes amendments to various topics in the Accounting Standards Codification to clarify or correct existing guidance. The amendments address areas including earnings per share, lease receivables, and accounting for certain financial instruments. The Company is currently evaluating the impact of this standard but does not expect adoption to have a material effect on its condensed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VIEs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determined that the equity holders in the Company’s consolidated entities, as a group, lack the power to direct the activities that most significantly impact the entities’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assets of the individual consolidated VIEs can only be used to settle liabilities of each respective individual consolidated VIE and the liabilities of each respective VIE, including VIEs which it consolidates,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the Company’s maximum exposure to loss due to involvement with the consolidated VIEs is limited to the amount of capital investment in the VIE, if any, or the potential obligation to perform on the guarantee of debts.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consolidated Commons Fundco, LLC (“Commons”), a VIE which refinanced a loan secured by a residential property it owns. With the refinancing of this loan, the Company was determined to be the primary beneficiary as the Company has the power to direct the activities of Commons and the obligation to absorb their losses through its guarantee of their indebtedness, which is significant to the fund. No VIE’s were consolidated during the three months ended March 31, 2025. The consolidation of Commons consisted of the following, excluding intercompany eliminations at the time of consolidation (in thousands):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8"/>
        </w:trPr>
        <w:tc>
          <w:tcPr>
            <w:tcW w:w="884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904"/>
        </w:trPr>
        <w:tc>
          <w:tcPr>
            <w:tcW w:w="88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40,358</w:t>
            </w:r>
          </w:p>
        </w:tc>
      </w:tr>
      <w:tr>
        <w:trPr>
          <w:trHeight w:val="229"/>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29"/>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47,546</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8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r>
      <w:tr>
        <w:trPr>
          <w:trHeight w:val="229"/>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8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33,966</w:t>
            </w:r>
          </w:p>
        </w:tc>
      </w:tr>
      <w:tr>
        <w:trPr>
          <w:trHeight w:val="270"/>
        </w:trPr>
        <w:tc>
          <w:tcPr>
            <w:tcW w:w="8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r>
      <w:tr>
        <w:trPr>
          <w:trHeight w:val="223"/>
        </w:trPr>
        <w:tc>
          <w:tcPr>
            <w:tcW w:w="88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47,546</w:t>
            </w:r>
          </w:p>
        </w:tc>
      </w:tr>
      <w:tr>
        <w:trPr>
          <w:trHeight w:val="21"/>
        </w:trPr>
        <w:tc>
          <w:tcPr>
            <w:tcW w:w="8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deconsolidated DoubleTree by Hilton Tucson Convention Center (“TCC”), and the Company’s investment in these assets are no longer eliminated and are included in investments in unconsolidated entities on the accompanying condensed consolidated balance sheets dated March 31, 2026 and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 Commitments and Contingencies for information related to the commitments and contingencies of these VIEs.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Digital Assets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its digital assets, which are comprised solely of LINK tokens, as indefinite-lived intangible assets in accordance with ASC 350, Intangibles—Goodwill and Other and ASU 2023-08. The Company’s digital assets are initially recorded at cost and then subsequently measured at fair value as of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Changes in fair value are recognized as incurred in change in fair value of digital assets within the accompanying condensed consolidated statements of operations.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Company held 507,560 LINK tokens with an aggregate cost basis of $12.1 million and a fair value of $4.5 million, or $8.78 per token. At December 31, 2025, the Company held 562,535 LINK tokens with an aggregate cost basis of $12.6 million and a fair value of $6.8 million, or $12.18 per token. The Company had no LINK holdings during the three months ended March 31, 2025.</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55,076 LINK tokens as part of its digital asset treasury management activities, generating proceeds of $0.5 million. The proceeds were redeployed to support project-level real estate Platform financings. The Company recognized a realized loss on the sale of digital assets of $0.2 million and an unrealized loss on digital assets held at period end of $1.7 million during the quarter. Both amounts are included in change in fair value of digital assets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combined realized and unrealized losses on digital assets calculated consistent with ASU 2023-08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assets are concentrated in its LINK holdings. LINK is a digital asset, which is a novel asset class subject to significant legal, commercial, regulatory and technical uncertainty. The Company’s LINK holdings do not currently generate cash flow and incur custodial fees and other costs. Additionally, the price of LINK has historically been highly volatile. A significant decline in its price could materially and adversely affect the Company’s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and Other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assets of the Company consisted of the following as of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right of use assets</w:t>
            </w:r>
          </w:p>
        </w:tc>
        <w:tc>
          <w:tcPr>
            <w:tcW w:w="1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660" w:type="dxa"/>
            <w:vAlign w:val="bottom"/>
            <w:tcBorders>
              <w:bottom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2,184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3669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26" w:lineRule="exact"/>
        <w:rPr>
          <w:sz w:val="20"/>
          <w:szCs w:val="20"/>
          <w:color w:val="auto"/>
        </w:rPr>
      </w:pPr>
    </w:p>
    <w:p>
      <w:pPr>
        <w:jc w:val="both"/>
        <w:ind w:left="400" w:right="40" w:hanging="374"/>
        <w:spacing w:after="0" w:line="211" w:lineRule="auto"/>
        <w:tabs>
          <w:tab w:leader="none" w:pos="4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Consolidated Funds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assets of the consolidated funds consisted of the following as of March 31, 2026 and December 31, 2025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1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3669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26" w:lineRule="exact"/>
        <w:rPr>
          <w:sz w:val="20"/>
          <w:szCs w:val="20"/>
          <w:color w:val="auto"/>
        </w:rPr>
      </w:pPr>
    </w:p>
    <w:p>
      <w:pPr>
        <w:ind w:left="400" w:right="60" w:hanging="374"/>
        <w:spacing w:after="0" w:line="208" w:lineRule="auto"/>
        <w:tabs>
          <w:tab w:leader="none" w:pos="4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assets primarily consist of accrued straight-line rental receivables related to portions of the Company’s owned headquarters which are leased to third-party tenants.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consisted of the following as of March 31, 2026 and December 31, 2025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00" w:type="dxa"/>
            <w:vAlign w:val="bottom"/>
          </w:tcPr>
          <w:p>
            <w:pPr>
              <w:spacing w:after="0"/>
              <w:rPr>
                <w:sz w:val="17"/>
                <w:szCs w:val="17"/>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7"/>
                <w:szCs w:val="17"/>
                <w:color w:val="auto"/>
              </w:rPr>
            </w:pPr>
          </w:p>
        </w:tc>
        <w:tc>
          <w:tcPr>
            <w:tcW w:w="16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9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0"/>
        </w:trPr>
        <w:tc>
          <w:tcPr>
            <w:tcW w:w="27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140"/>
              <w:spacing w:after="0" w:line="240" w:lineRule="exact"/>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2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28,698</w:t>
            </w:r>
          </w:p>
        </w:tc>
        <w:tc>
          <w:tcPr>
            <w:tcW w:w="1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14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2024 - March 2028</w:t>
            </w:r>
          </w:p>
        </w:tc>
        <w:tc>
          <w:tcPr>
            <w:tcW w:w="0" w:type="dxa"/>
            <w:vAlign w:val="bottom"/>
          </w:tcPr>
          <w:p>
            <w:pPr>
              <w:spacing w:after="0"/>
              <w:rPr>
                <w:sz w:val="1"/>
                <w:szCs w:val="1"/>
                <w:color w:val="auto"/>
              </w:rPr>
            </w:pP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corporate notes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2024 - May 2025</w:t>
            </w: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loans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4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2027 - November 2029</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11.99 %</w:t>
            </w:r>
          </w:p>
        </w:tc>
        <w:tc>
          <w:tcPr>
            <w:tcW w:w="14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August 2026 - September 2026</w:t>
            </w:r>
          </w:p>
        </w:tc>
        <w:tc>
          <w:tcPr>
            <w:tcW w:w="0" w:type="dxa"/>
            <w:vAlign w:val="bottom"/>
          </w:tcPr>
          <w:p>
            <w:pPr>
              <w:spacing w:after="0"/>
              <w:rPr>
                <w:sz w:val="1"/>
                <w:szCs w:val="1"/>
                <w:color w:val="auto"/>
              </w:rPr>
            </w:pPr>
          </w:p>
        </w:tc>
      </w:tr>
      <w:tr>
        <w:trPr>
          <w:trHeight w:val="22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46,946</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corporate note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46,347</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II HoldCo, LLC</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2023, the Company assumed a loan which is secured by the Company’s headquarters office building.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March 31, 2026 and December 31, 2025, the outstanding principal balance of the loan was $15.6 million. Upon assumption of the loan, the Company is required to abide by a clause in the agreement requiring the Company to transfer funds to a cash management account. As of March 31, 2026 and December 31, 2025, the Company is not aware of any non-compliance matters relating to its debt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Saddleback Ranch, LLC</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the Company entered into a $1.2 million financing agreement which is secured by a deed of trust for the land owned by Saddleback Ranch, LLC. The financing agreement has a fixed interest rate of 10.00% through February 2026, then a fixed rate of 14.00% until maturity in February 2027. The financing agreement requires an interest only payment in February 2026, with all accrued interest added to the outstanding balance monthly. Beginning in February 2026, interest only payments are due quarterly, with the final interest and principal amount due upon maturity. The terms of the financing agreement do not allow the repayment of the outstanding balance in part prior to maturity, but does allow for the entire outstanding balance to be repaid at any time before the maturity date. As of March 31, 2026, the outstanding principal balance of the loan was $1.2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Notes and Convertible Corporate Notes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multiple general corporate financing arrangements with third parties. The arrangements are generally evidenced in the form of an unsecured promissory note and require monthly or quarterly interest-only payments through maturity. The loans generally have a 12-month or 36-month term, and may be extended upon the mutual agreement of the lender and the borrower. Management believes it can come to a mutual agreement with each lender to extend the maturities of the notes for an additional 12-month term.</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148 corporate notes outstanding, with an average outstanding principal balance of $0.2 million, interest rates ranging from 8.25% to 12.00%, with a weighted average interest rate of 11.06%, and maturity dates ranging from January 2024 to March 2028. At March 31, 2026, the corporate notes outstanding had an aggregate principal balance of</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$26.2 million, of which $21.1 million of the corporate notes have matured or will mature within the 12-month period subsequent to May 13, 2026. Certain notes are past maturity and technically in default; however, the loan agreements do not provide creditors with rights or claims against the Company’s assets, nor would a default trigger liquidation of the Company. Management believes it will be able to negotiate waivers of default, including extensions of maturity dates or repayment schedules.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178 individual corporate notes outstanding, with an average outstanding principal balance of $0.2 million, interest rates ranging from 8.25% to 12.00%, with a weighted average interest rate of 11.14%, and maturity dates ranging from January 2024 to March 2028.</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issued corporate notes, generally convertible at $151.40 per common share, except for a secured promissory note issued to Mast Hill (the “Mast Hill Note”) in March 2025, which was convertible at $8.25 per common share, and was repaid in September 2025. Holders may convert all or part of their note principal balance at any time. As of March 31, 2026 and December 31, 2025, convertible corporate notes totaled $0.6 million and $0.9 million, respectively. During the three months ended March 31, 2026, $3.4 million of debt was converted into common and preferred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executed insurance premium financing agreements pursuant to which the Company financed certain annual insurance premiums with an aggregate outstanding balance of $0.1 million at March 31, 2026, primarily consisting of premiums for directors' and officers' insurance. The insurance premiums financing agreements have a weighted average interest rate of 11.99% and mature from August 2026 through September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scheduled principal repayments of the Company’s indebtedness as of March 31, 2026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2026 - December 31, 2026</w:t>
            </w: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financing costs for the Company was $0.1 million for the three months ended March 31, 2026. Amortization of deferred financing costs for the Company was immaterial for three months ended March 31, 2025. There were no deferred financing cost write-offs during each of the three months ended March 31, 2026 and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Consolidated Funds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of the consolidated funds consisted of the following as of March 31, 2026 and December 31, 2025, respectively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8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0" w:type="dxa"/>
            <w:vAlign w:val="bottom"/>
          </w:tcPr>
          <w:p>
            <w:pPr>
              <w:spacing w:after="0"/>
              <w:rPr>
                <w:sz w:val="22"/>
                <w:szCs w:val="22"/>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23"/>
                <w:szCs w:val="23"/>
                <w:b w:val="1"/>
                <w:bCs w:val="1"/>
                <w:color w:val="auto"/>
                <w:vertAlign w:val="superscript"/>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Loans</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29"/>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Commons Fundco, LLC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2028</w:t>
            </w:r>
          </w:p>
        </w:tc>
      </w:tr>
      <w:tr>
        <w:trPr>
          <w:trHeight w:val="229"/>
        </w:trPr>
        <w:tc>
          <w:tcPr>
            <w:tcW w:w="37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Riverwalk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8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r>
      <w:tr>
        <w:trPr>
          <w:trHeight w:val="23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Southpointe Fundco, LLC</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r>
      <w:tr>
        <w:trPr>
          <w:trHeight w:val="229"/>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 Frontier Holdco, LLC</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8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2038</w:t>
            </w:r>
          </w:p>
        </w:tc>
      </w:tr>
      <w:tr>
        <w:trPr>
          <w:trHeight w:val="223"/>
        </w:trPr>
        <w:tc>
          <w:tcPr>
            <w:tcW w:w="3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Real Estate Loans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5"/>
        </w:trPr>
        <w:tc>
          <w:tcPr>
            <w:tcW w:w="3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2024 -</w:t>
            </w:r>
          </w:p>
        </w:tc>
      </w:tr>
      <w:tr>
        <w:trPr>
          <w:trHeight w:val="243"/>
        </w:trPr>
        <w:tc>
          <w:tcPr>
            <w:tcW w:w="3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Member notes</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3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8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3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37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Real estate loan premium</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r>
      <w:tr>
        <w:trPr>
          <w:trHeight w:val="248"/>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2026.</w:t>
      </w:r>
    </w:p>
    <w:p>
      <w:pPr>
        <w:spacing w:after="0" w:line="2" w:lineRule="exact"/>
        <w:rPr>
          <w:rFonts w:ascii="Times New Roman" w:cs="Times New Roman" w:eastAsia="Times New Roman" w:hAnsi="Times New Roman"/>
          <w:sz w:val="22"/>
          <w:szCs w:val="22"/>
          <w:color w:val="auto"/>
          <w:vertAlign w:val="superscript"/>
        </w:rPr>
      </w:pPr>
    </w:p>
    <w:p>
      <w:pPr>
        <w:ind w:left="260" w:hanging="252"/>
        <w:spacing w:after="0" w:line="219" w:lineRule="auto"/>
        <w:tabs>
          <w:tab w:leader="none" w:pos="41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Riverwalk 1 HoldCo, LLC, Riverwalk 2 HoldCo, LLC, Riverwalk 3 HoldCo, LLC, Riverwalk 4 HoldCo, LLC, Riverwalk 5 HoldCo, LLC, Riverwalk 6 HoldCo, LLC, and Riverwalk 7 HoldCo, LLC.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March 31,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Commons Fundco</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2026, the consolidated fund entered into a modification of its existing mortgage loan secured by the 2nd Avenue Commons property. The loan had an outstanding principal balance of $34.4 million at the time of modification. The maturity date was extended to September 1, 2028, with one additional one-year extension option subject to certain performance conditions. In connection with the modification, the Company made a $2.8 million principal paydown, and the lender forgave $2.7 million of previously accrued default interest. The modification was not accounted for as a debt extinguishment and is treated as a continuation of the original loan. Accordingly, the carrying amount of the loan was adjusted to reflect the terms of the modification. The Company accounts for the forgiven default interest loan as a loan modification premium, which is included in “Real estate loan premium” in the accompanying table and is amortized as a reduction of interest expense over the remaining life of the loan using the effective interest method.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bears interest at a variable rate equal to the greater of Term SOFR plus 3.50% or 7.00%, with monthly interest-only payments and all remaining principal due at maturity. The modification also includes an exit fee of 0.75% of the outstanding principal balance, payable upon repayment or maturity, and an upfront extension fee of approximately $0.3 million. In addition, the agreement provides for a discounted payoff option of $27.7 million, plus applicable fees, interest, and expenses, subject to certain conditions.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modified agreement is subject to cash management provisions that may be triggered if certain performance thresholds are not met and is guaranteed by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Riverwalk</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consolidated fund entered into a loan agreement which is secured by a deed of trust and assignment of rents of the Riverwalk properties located Scottsdale, Arizona. Through a forbearance agreement executed in December 2025, the loan has a variable interest rate per annum equal to SOFR plus 4.25%, with a floor rate of 6.50%, and matures in September 2027. The</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forbearance agreement requires monthly interest-only payments and principal payments at various dates throughout the forbearance agreement term. The terms of the forbearance agreement require an exit fee, which is determined by the date the agreement is terminated. The exit fee will be incrementally accrued based upon the termination periods and recorded as interest expense. The loan is guaranteed by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Southpointe Fundco, LLC</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August 2024, March 2025, September 2025, and March 2026 extension agreements were executed with the lender, extending the maturity date to September 2024, March 2025, September 2025, March 2026, and September 2026, respectively. The terms of the loan allow the prepayment of the outstanding balance in part or in whole at any time prior to the maturity date with no prepayment penalty. The loan is guaranteed by an individual who is an affiliate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Frontier Holdco, LLC</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In April 2025, the loan was converted into a term loan with the interest rate, repayment schedule and prepayment terms remaining the same.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and 2023, Riverwalk issued unsecured promissory notes to individual investors bearing interest at 10.0%. The notes have maturity dates ranging from September 2024 through September 2026 and require quarterly interest-only payments. The notes may be prepaid, in whole or in part, at any time prior to maturity without penalty. As of March 31, 2026, $5.5 million of the $7.3 million outstanding principal balance had matured and remained unpaid. The Company is actively working with note holders to satisfy these obligations, and no formal notices of default have been received. The notes continue to accrue interest at the stated rate of 10.0%. Accrued interest related to these notes in aggregate totaled $0.9 million as of March 31, 2026.</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and 2023, Southpointe Fundco, LLC issued unsecured promissory notes to individual investors bearing interest at 10.0%. The notes matured in September 2024 - September 2026 and required quarterly interest-only payments. As of March 31, 2026, the outstanding principal balance of $5.6 million had matured and remained unpaid. The Company is actively working with note holders to satisfy these obligations, and no formal notices of default have been received. The notes continue to accrue interest at the stated rate of 10.0%. Accrued interest related to these notes in aggregate totaled $0.7 million as of March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Debt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future aggregate principal repayments due on the consolidated funds notes payable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2026 - December 31, 2026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18,767</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31,690</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Revenues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total revenues earned for providing services under Platform as described in the Revenue Recognition section of Note 2 – Summary of Significant Accounting Policies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 management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30"/>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related party Platform revenue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amounts due to the Company from related parties for services performed under the Platform was $9.7 million and $9.2 million, respectively, net of allowance for doubtful accounts of $2.7 million and $3.2 million, respectively, which is included in due from related parties on the accompanying condensed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notes receivable – related parties of the Company as of March 31, 2026 and December 31, 2025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2"/>
                <w:szCs w:val="22"/>
                <w:color w:val="auto"/>
              </w:rPr>
            </w:pP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2"/>
                <w:szCs w:val="22"/>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 xml:space="preserve">Interest Rate </w:t>
            </w:r>
            <w:r>
              <w:rPr>
                <w:rFonts w:ascii="Times New Roman" w:cs="Times New Roman" w:eastAsia="Times New Roman" w:hAnsi="Times New Roman"/>
                <w:sz w:val="23"/>
                <w:szCs w:val="23"/>
                <w:b w:val="1"/>
                <w:bCs w:val="1"/>
                <w:color w:val="auto"/>
                <w:w w:val="97"/>
                <w:vertAlign w:val="superscript"/>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7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Olathe Behavioral Health MezzCo LLC </w:t>
            </w:r>
            <w:r>
              <w:rPr>
                <w:rFonts w:ascii="Times New Roman" w:cs="Times New Roman" w:eastAsia="Times New Roman" w:hAnsi="Times New Roman"/>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Encore Caliber Holdings, LLC</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2027</w:t>
            </w: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Hospitality LP</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2027</w:t>
            </w:r>
          </w:p>
        </w:tc>
      </w:tr>
      <w:tr>
        <w:trPr>
          <w:trHeight w:val="229"/>
        </w:trPr>
        <w:tc>
          <w:tcPr>
            <w:tcW w:w="3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DFW Behavioral Health LLC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2026</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Ridge MezzCo, LLC</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Ridge II MezzCo, LLC</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2027</w:t>
            </w:r>
          </w:p>
        </w:tc>
      </w:tr>
      <w:tr>
        <w:trPr>
          <w:trHeight w:val="229"/>
        </w:trPr>
        <w:tc>
          <w:tcPr>
            <w:tcW w:w="3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Ironwood 92 Partners LLC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Fixed Income Fund III, LP</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Hospitality JV, LLC</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r>
      <w:tr>
        <w:trPr>
          <w:trHeight w:val="184"/>
        </w:trPr>
        <w:tc>
          <w:tcPr>
            <w:tcW w:w="39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Caliber Tax Advantaged Opportunity Zone Fund,</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LP</w:t>
            </w:r>
          </w:p>
        </w:tc>
        <w:tc>
          <w:tcPr>
            <w:tcW w:w="20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J-25 Land Holdings, LLC</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Elliot 10 MezzCo, LLC</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Core+ Growth &amp; Income Fund REIT, LLC</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2027</w:t>
            </w:r>
          </w:p>
        </w:tc>
      </w:tr>
      <w:tr>
        <w:trPr>
          <w:trHeight w:val="22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2026.</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19" w:lineRule="auto"/>
        <w:tabs>
          <w:tab w:leader="none" w:pos="216"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entered into unsecured promissory notes with related parties which were repaid or impaired during the three months ended March 31, 2026.</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earned an $0.3 million and an immaterial amount, respectively, of interest in connection with the notes, which is included in interest income on the accompanying condensed consolidated statements of operations. Interest that accrues on certain related party notes receivable can be added to the principal outstanding balance, due at the respective loan maturity date and incurs interest at the respective interest rate. There was $0.2 million of interest due to the Company as of March 31, 2026 and December 31, 2025.</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March 31, 2026 and December 31, 2025 notes receivable - related parties balance above is net of a $0.8 million and $1.0 million, respectively, allowance for doubtful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At both March 31, 2026 and December 31, 2025, other amounts due from related parties was $0.7 million, net of allowance for doubtful accounts at both March 31, 2026 and December 31, 2025 of $0.7 million and $0.8 million, respectively, and are included in due from related parties on the accompanying condensed consolidated balance sheets. As of March 31, 2026 and December 31, 2025, other amounts due to related parties from the Company were $0.1 million and $0.2 million, respectively, which are included in due to related parties on the accompanying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Consolidated Funds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receivable – related parties consisted of the following as of March 31, 2026 and December 31, 2025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28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2"/>
                <w:szCs w:val="22"/>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2"/>
                <w:szCs w:val="22"/>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7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Caliber Hospitality, LP </w:t>
            </w:r>
            <w:r>
              <w:rPr>
                <w:rFonts w:ascii="Times New Roman" w:cs="Times New Roman" w:eastAsia="Times New Roman" w:hAnsi="Times New Roman"/>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2027</w:t>
            </w:r>
          </w:p>
        </w:tc>
      </w:tr>
      <w:tr>
        <w:trPr>
          <w:trHeight w:val="229"/>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Elliot &amp; 51st Street, LLC</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2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2027</w:t>
            </w:r>
          </w:p>
        </w:tc>
      </w:tr>
      <w:tr>
        <w:trPr>
          <w:trHeight w:val="248"/>
        </w:trPr>
        <w:tc>
          <w:tcPr>
            <w:tcW w:w="3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2026.</w:t>
      </w:r>
    </w:p>
    <w:p>
      <w:pPr>
        <w:spacing w:after="0" w:line="2" w:lineRule="exact"/>
        <w:rPr>
          <w:rFonts w:ascii="Times New Roman" w:cs="Times New Roman" w:eastAsia="Times New Roman" w:hAnsi="Times New Roman"/>
          <w:sz w:val="22"/>
          <w:szCs w:val="22"/>
          <w:color w:val="auto"/>
          <w:vertAlign w:val="superscript"/>
        </w:rPr>
      </w:pPr>
    </w:p>
    <w:p>
      <w:pPr>
        <w:ind w:right="20" w:firstLine="8"/>
        <w:spacing w:after="0" w:line="219" w:lineRule="auto"/>
        <w:tabs>
          <w:tab w:leader="none" w:pos="18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March 31, 2026, the Company consolidated Commons Fundco, LLC (as discussed in Note 3 – VIEs), who is the lender of a promissory note with Caliber Hospitality, LP.</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and 2025, the consolidated fund did </w:t>
      </w:r>
      <w:r>
        <w:rPr>
          <w:rFonts w:ascii="Times New Roman" w:cs="Times New Roman" w:eastAsia="Times New Roman" w:hAnsi="Times New Roman"/>
          <w:sz w:val="18"/>
          <w:szCs w:val="18"/>
          <w:color w:val="auto"/>
          <w:highlight w:val="yellow"/>
        </w:rPr>
        <w:t>not</w:t>
      </w:r>
      <w:r>
        <w:rPr>
          <w:rFonts w:ascii="Times New Roman" w:cs="Times New Roman" w:eastAsia="Times New Roman" w:hAnsi="Times New Roman"/>
          <w:sz w:val="18"/>
          <w:szCs w:val="18"/>
          <w:color w:val="auto"/>
        </w:rPr>
        <w:t xml:space="preserve"> earn interest in connection with the notes.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consolidated funds was $1.2 million and $0.2 million as of March 31, 2026 and December 31, 2025, respectively, which is included in prepaid and other assets on the accompanying condensed consolidated balance sheets.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consolidated funds had a note payable outstanding to CFIF III of $2.4 million and $2.3 million, respectively. The note matured in September 2025 and remains in default as of March 31, 2026. Interest continues to accrue at a fixed rate of 13.00% per annum and is capitalized to the principal balance on a monthly.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the consolidated funds incurred $0.1 million of interest expense in connection with the notes payable – related parties, which is included in consolidated funds - hospitality expenses and consolidated funds - other expenses on the accompanying condensed consolidated statements of operations. No interest was payable as of March 31, 2026 and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At both March 31, 2026 and December 31, 2025, there were an immaterial amount of other amounts due from related parties, which is included in prepaid and other assets on the accompanying condensed consolidated balance sheets. At both March 31, 2026 and December 31, 2025, there was an $0.9 million of other amounts due to related parties, which is included in due to related parties on the accompanying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Company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Rental revenue of the Company includes the revenue generated by the rental operations of one commercial office property. As of March 31, 2026, the leases have non-cancelable remaining lease terms from 0.5 years to 10.4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2026, the Company does not have any material related party leases as a lessor. The components of rental revenue of the Company for the three months ended March 31, 2026 and 2025, are presented in the table below (in thousands). Variable rental revenue is primarily costs reimbursed related to common area maintenance.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due to the Company under non-cancellable operating leases over the next five years and thereafter as of March 31, 2026,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2026 - December 31, 2026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Consolidated Funds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Rental revenue of the consolidated funds includes the revenues generated primarily by the rental operations of two multi-family residential property and two commercial properties. As of March 31, 2026, the leases have non-cancelable remaining lease terms from 0.1 years to 30.6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2026, the consolidated funds do not have any material related party leases as a lessor. The components of rental revenue of the consolidated funds for the three months ended March 31, 2026 and 2025, are presented in the table below (in thousands). Variable rental revenue are primarily costs reimbursed related to common area maintenance.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4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45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0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due to the consolidated funds under non-cancellable operating leases over the next five years and thereafter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2026 - December 31, 2026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of the Company consisted of the following as of March 31, 2026 and December 31, 2025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1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1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8"/>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180" w:hanging="172"/>
        <w:spacing w:after="0" w:line="230"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tenant security deposits.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 of the Consolidated Funds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of the consolidated funds consisted of the following as of March 31, 2026 and December 31, 2025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7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6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180" w:hanging="172"/>
        <w:spacing w:after="0" w:line="230"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tenant security deposits.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Cash Flow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 for the three months ended March 31, 2026 and 2025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8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none of which was capitalized for the three months ended March 31,</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6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2025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4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7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bonus settlement via employee accounts receivable offset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of Consolidated Funds</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capitalized interest of $2 for each of the three months ended</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6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 and 2025, respectively</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70"/>
        </w:trPr>
        <w:tc>
          <w:tcPr>
            <w:tcW w:w="6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 related party eliminated in consolidation of VIEs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entities for investor buy-out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note rollovers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issuance of redeemable preferred stock, net of issuance costs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corporate note to common stock</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Conversion of corporate note to preferred stock, including warrants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note increase due to rollovers, net of discounts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issuance of convertible note and related common stock</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warrants related to common stock</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 of</w:t>
            </w: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4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2"/>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notes receivable - related party due to payment of accounts payable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Consolidation of VIEs</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29"/>
        </w:trPr>
        <w:tc>
          <w:tcPr>
            <w:tcW w:w="68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6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on Guaranteed Debt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guaranteed certain indebtedness of an investment fund it manages. As of March 31, 2026, the fund was in default under the terms of the underlying debt agreement due to (i) failure to maintain required debt service coverage ratio covenants and (ii) failure to satisfy certain financial reporting requirements. The loan remains current with respect to scheduled debt service payments. These defaults constitute Events of Default under the applicable loan documents and entitle the lender to exercise remedies including acceleration of the debt and enforcement of the related guarantee. The lender has not accelerated the debt or requested repayment from the Company under the guarantee; however, the lender has reserved all rights and remedies available under the loan documents, including the right to exercise such remedies at any time without further notice.</w:t>
      </w:r>
    </w:p>
    <w:p>
      <w:pPr>
        <w:spacing w:after="0" w:line="1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believes the fund will generate sufficient liquidity to satisfy the obligation and has concluded that the likelihood of payment by the Company under the guarantee is remote. Accordingly, no liability has been recorded related to this guarantee as of March 31,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maximum potential exposure under the guarantee was $3.8 million as of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ownership and operation of real estate assets, the Company may potentially be liable for costs and damages related to environmental matters. The Company believes it is in material compliance with current laws and regulations and does not know of any existing environmental condition nor has the Company been notified by any governmental authority of any non-compliance, liability or other claim, in each case, that could result in a material effect on the Company’s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LP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March 31, 2026 and December 31, 2025, the Company estimated the fair value of CTAF was less than the 6% IRR for the limited partners.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II LLC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March 31, 2026 and December 31, 2025, the Company estimated the fair value of CTAF II was less than the 6% IRR for the investor members.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Consolidated Funds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Agreements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consolidated funds were not party to any franchise agreements, therefore, the consolidated funds did not recognize any franchise fees during this period. During the three months ended March 31, 2025, the consolidated funds were parties to franchise agreements where the fund is required to pay monthly fees, generally consisting of royalty, program, and food and beverage fees. During the three months ended March 31, 2025, the consolidated funds recognized total franchise fees of $0.3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Income (Loss) Per Share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(loss) attributable to common stockholders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considered the two-class method in calculating the basic and diluted earnings per share; however, it was determined there was no impact to the calculation of basic and diluted net income (loss) per share attributable to common shareholders as Class A and Class B common stock share in the same earnings and profits; thus, having no impact on the calculation.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 and per share amounts in the earnings per share calculation and dilutive share calculations below have been affected for the Reverse Stock Split, retroactively, for all periods presented.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calculated the basic and diluted earnings per share during the three months ended March 31, 2026 and 2025 as follows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D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CCED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r>
      <w:tr>
        <w:trPr>
          <w:trHeight w:val="209"/>
        </w:trPr>
        <w:tc>
          <w:tcPr>
            <w:tcW w:w="76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20" w:type="dxa"/>
            <w:vAlign w:val="bottom"/>
            <w:shd w:val="clear" w:color="auto" w:fill="CCEDFF"/>
          </w:tcPr>
          <w:p>
            <w:pPr>
              <w:spacing w:after="0"/>
              <w:rPr>
                <w:sz w:val="18"/>
                <w:szCs w:val="18"/>
                <w:color w:val="auto"/>
              </w:rPr>
            </w:pPr>
          </w:p>
        </w:tc>
        <w:tc>
          <w:tcPr>
            <w:tcW w:w="62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160" w:type="dxa"/>
            <w:vAlign w:val="bottom"/>
            <w:shd w:val="clear" w:color="auto" w:fill="CCEDFF"/>
          </w:tcPr>
          <w:p>
            <w:pPr>
              <w:spacing w:after="0"/>
              <w:rPr>
                <w:sz w:val="18"/>
                <w:szCs w:val="18"/>
                <w:color w:val="auto"/>
              </w:rPr>
            </w:pPr>
          </w:p>
        </w:tc>
        <w:tc>
          <w:tcPr>
            <w:tcW w:w="560" w:type="dxa"/>
            <w:vAlign w:val="bottom"/>
            <w:shd w:val="clear" w:color="auto" w:fill="CCEDFF"/>
          </w:tcPr>
          <w:p>
            <w:pPr>
              <w:spacing w:after="0"/>
              <w:rPr>
                <w:sz w:val="18"/>
                <w:szCs w:val="18"/>
                <w:color w:val="auto"/>
              </w:rPr>
            </w:pP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CaliberCos Inc.</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4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(4,407)</w:t>
            </w:r>
          </w:p>
        </w:tc>
      </w:tr>
      <w:tr>
        <w:trPr>
          <w:trHeight w:val="230"/>
        </w:trPr>
        <w:tc>
          <w:tcPr>
            <w:tcW w:w="76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Convertible debt interest</w:t>
            </w:r>
          </w:p>
        </w:tc>
        <w:tc>
          <w:tcPr>
            <w:tcW w:w="1120" w:type="dxa"/>
            <w:vAlign w:val="bottom"/>
            <w:shd w:val="clear" w:color="auto" w:fill="CCEDFF"/>
          </w:tcPr>
          <w:p>
            <w:pPr>
              <w:spacing w:after="0"/>
              <w:rPr>
                <w:sz w:val="19"/>
                <w:szCs w:val="19"/>
                <w:color w:val="auto"/>
              </w:rPr>
            </w:pPr>
          </w:p>
        </w:tc>
        <w:tc>
          <w:tcPr>
            <w:tcW w:w="76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DFF"/>
          </w:tcPr>
          <w:p>
            <w:pPr>
              <w:spacing w:after="0"/>
              <w:rPr>
                <w:sz w:val="19"/>
                <w:szCs w:val="19"/>
                <w:color w:val="auto"/>
              </w:rPr>
            </w:pPr>
          </w:p>
        </w:tc>
        <w:tc>
          <w:tcPr>
            <w:tcW w:w="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 of CaliberCos Inc.</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(4,386)</w:t>
            </w:r>
          </w:p>
        </w:tc>
      </w:tr>
      <w:tr>
        <w:trPr>
          <w:trHeight w:val="20"/>
        </w:trPr>
        <w:tc>
          <w:tcPr>
            <w:tcW w:w="7640" w:type="dxa"/>
            <w:vAlign w:val="bottom"/>
            <w:tcBorders>
              <w:bottom w:val="single" w:sz="8" w:color="CCED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120" w:type="dxa"/>
            <w:vAlign w:val="bottom"/>
            <w:shd w:val="clear" w:color="auto" w:fill="CCEDFF"/>
          </w:tcPr>
          <w:p>
            <w:pPr>
              <w:spacing w:after="0"/>
              <w:rPr>
                <w:sz w:val="17"/>
                <w:szCs w:val="17"/>
                <w:color w:val="auto"/>
              </w:rPr>
            </w:pPr>
          </w:p>
        </w:tc>
        <w:tc>
          <w:tcPr>
            <w:tcW w:w="62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160" w:type="dxa"/>
            <w:vAlign w:val="bottom"/>
            <w:shd w:val="clear" w:color="auto" w:fill="CCEDFF"/>
          </w:tcPr>
          <w:p>
            <w:pPr>
              <w:spacing w:after="0"/>
              <w:rPr>
                <w:sz w:val="17"/>
                <w:szCs w:val="17"/>
                <w:color w:val="auto"/>
              </w:rPr>
            </w:pPr>
          </w:p>
        </w:tc>
        <w:tc>
          <w:tcPr>
            <w:tcW w:w="560" w:type="dxa"/>
            <w:vAlign w:val="bottom"/>
            <w:shd w:val="clear" w:color="auto" w:fill="CCEDFF"/>
          </w:tcPr>
          <w:p>
            <w:pPr>
              <w:spacing w:after="0"/>
              <w:rPr>
                <w:sz w:val="17"/>
                <w:szCs w:val="17"/>
                <w:color w:val="auto"/>
              </w:rPr>
            </w:pP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0"/>
        </w:trPr>
        <w:tc>
          <w:tcPr>
            <w:tcW w:w="7640" w:type="dxa"/>
            <w:vAlign w:val="bottom"/>
            <w:tcBorders>
              <w:bottom w:val="single" w:sz="8" w:color="CCED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CEDFF"/>
          </w:tcPr>
          <w:p>
            <w:pPr>
              <w:spacing w:after="0"/>
              <w:rPr>
                <w:sz w:val="20"/>
                <w:szCs w:val="20"/>
                <w:color w:val="auto"/>
              </w:rPr>
            </w:pPr>
          </w:p>
        </w:tc>
        <w:tc>
          <w:tcPr>
            <w:tcW w:w="1120" w:type="dxa"/>
            <w:vAlign w:val="bottom"/>
            <w:shd w:val="clear" w:color="auto" w:fill="CCEDFF"/>
          </w:tcPr>
          <w:p>
            <w:pPr>
              <w:spacing w:after="0"/>
              <w:rPr>
                <w:sz w:val="20"/>
                <w:szCs w:val="20"/>
                <w:color w:val="auto"/>
              </w:rPr>
            </w:pPr>
          </w:p>
        </w:tc>
        <w:tc>
          <w:tcPr>
            <w:tcW w:w="62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160" w:type="dxa"/>
            <w:vAlign w:val="bottom"/>
            <w:shd w:val="clear" w:color="auto" w:fill="CCEDFF"/>
          </w:tcPr>
          <w:p>
            <w:pPr>
              <w:spacing w:after="0"/>
              <w:rPr>
                <w:sz w:val="20"/>
                <w:szCs w:val="20"/>
                <w:color w:val="auto"/>
              </w:rPr>
            </w:pPr>
          </w:p>
        </w:tc>
        <w:tc>
          <w:tcPr>
            <w:tcW w:w="560" w:type="dxa"/>
            <w:vAlign w:val="bottom"/>
            <w:shd w:val="clear" w:color="auto" w:fill="CCEDFF"/>
          </w:tcPr>
          <w:p>
            <w:pPr>
              <w:spacing w:after="0"/>
              <w:rPr>
                <w:sz w:val="20"/>
                <w:szCs w:val="20"/>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shareholders</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antidilutive shares consisted of the potential exercise of stock options and warrants, as well as the potential conversion of preferred shares and convertible debt. The following table summarizes these potential exercises and conversions during the three months ended March 31, 2026 and 2025, which have been excluded from the computation of diluted earnings per share attributable to common shareholders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stock options were exercised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common shares, if warrants were exercised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preferred shares were converted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common shares, if convertible debt were converted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6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of Financial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of financial instruments held by the Company are estimated using available market information and established valuation methodologies.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estimates presented are not necessarily indicative of the amounts the Company could realize on disposition of the financial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different market assumptions and/or valuation methodologies may have a material effect on the estimated fair value amounts.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Company’s variable rate and short-term debt as of March 31, 2026 and December 31, 2025, approximated fair value. The fair value of the Company’s fixed rate debt were measured with Level 2 inputs. The estimated fair value of the Company’s instruments below were determined by management based on a discounted future cash-flow model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74"/>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300" w:type="dxa"/>
            <w:vAlign w:val="bottom"/>
          </w:tcPr>
          <w:p>
            <w:pPr>
              <w:spacing w:after="0"/>
              <w:rPr>
                <w:sz w:val="15"/>
                <w:szCs w:val="15"/>
                <w:color w:val="auto"/>
              </w:rPr>
            </w:pPr>
          </w:p>
        </w:tc>
        <w:tc>
          <w:tcPr>
            <w:tcW w:w="156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80" w:type="dxa"/>
            <w:vAlign w:val="bottom"/>
          </w:tcPr>
          <w:p>
            <w:pPr>
              <w:spacing w:after="0"/>
              <w:rPr>
                <w:sz w:val="15"/>
                <w:szCs w:val="15"/>
                <w:color w:val="auto"/>
              </w:rPr>
            </w:pP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54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5"/>
                <w:szCs w:val="15"/>
                <w:color w:val="auto"/>
              </w:rPr>
            </w:pPr>
          </w:p>
        </w:tc>
        <w:tc>
          <w:tcPr>
            <w:tcW w:w="14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39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Saddleback Ranch, LLC</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3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 II, LLC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Consolidated Funds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consolidated funds’ variable rate and short-term debt as of March 31, 2026 and December 31, 2025, approximated fair value. The fair value of the consolidated funds’ fixed rate debt were measured with Level 2 inputs. The estimated fair values for the consolidated funds’ instruments below were determined by management based on a discounted future cash-flow model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74"/>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300" w:type="dxa"/>
            <w:vAlign w:val="bottom"/>
          </w:tcPr>
          <w:p>
            <w:pPr>
              <w:spacing w:after="0"/>
              <w:rPr>
                <w:sz w:val="15"/>
                <w:szCs w:val="15"/>
                <w:color w:val="auto"/>
              </w:rPr>
            </w:pPr>
          </w:p>
        </w:tc>
        <w:tc>
          <w:tcPr>
            <w:tcW w:w="156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80" w:type="dxa"/>
            <w:vAlign w:val="bottom"/>
          </w:tcPr>
          <w:p>
            <w:pPr>
              <w:spacing w:after="0"/>
              <w:rPr>
                <w:sz w:val="15"/>
                <w:szCs w:val="15"/>
                <w:color w:val="auto"/>
              </w:rPr>
            </w:pP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54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5"/>
                <w:szCs w:val="15"/>
                <w:color w:val="auto"/>
              </w:rPr>
            </w:pPr>
          </w:p>
        </w:tc>
        <w:tc>
          <w:tcPr>
            <w:tcW w:w="14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39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Southpointe Fundco, LLC</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3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LLC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Preferred Stock</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supplemental statement of stockholders’ equity has been provided to present the activity related solely to the Company’s preferred stock by series for the period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28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Series AAA</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bottom w:val="single" w:sz="8" w:color="auto"/>
            </w:tcBorders>
          </w:tcPr>
          <w:p>
            <w:pPr>
              <w:spacing w:after="0"/>
              <w:rPr>
                <w:sz w:val="16"/>
                <w:szCs w:val="16"/>
                <w:color w:val="auto"/>
              </w:rPr>
            </w:pPr>
          </w:p>
        </w:tc>
      </w:tr>
      <w:tr>
        <w:trPr>
          <w:trHeight w:val="196"/>
        </w:trPr>
        <w:tc>
          <w:tcPr>
            <w:tcW w:w="280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0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2025</w:t>
            </w: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6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6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Conversions of common stock</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March 31, 2026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28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Series AAA</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bottom w:val="single" w:sz="8" w:color="auto"/>
            </w:tcBorders>
          </w:tcPr>
          <w:p>
            <w:pPr>
              <w:spacing w:after="0"/>
              <w:rPr>
                <w:sz w:val="16"/>
                <w:szCs w:val="16"/>
                <w:color w:val="auto"/>
              </w:rPr>
            </w:pPr>
          </w:p>
        </w:tc>
      </w:tr>
      <w:tr>
        <w:trPr>
          <w:trHeight w:val="196"/>
        </w:trPr>
        <w:tc>
          <w:tcPr>
            <w:tcW w:w="2800" w:type="dxa"/>
            <w:vAlign w:val="bottom"/>
          </w:tcPr>
          <w:p>
            <w:pPr>
              <w:spacing w:after="0"/>
              <w:rPr>
                <w:sz w:val="17"/>
                <w:szCs w:val="17"/>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0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2024</w:t>
            </w: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6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March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November 2024, the Company entered in to an offering agreement to issue up to 750,000 shares of Series A Convertible Preferred Stock (“Series A Preferred”), par value $0.001 per share, and warrants to purchase its Class A Common Stock, for aggregate gross proceeds of up to $15.0 million.</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share of Series A Preferred has a stated value of $400 per share and bears non-cumulative dividends at a rate of 12.0% per annum, payable annually when and if declared. Dividends are payable, at the Company’s election, in cash or in shares of Class A common stock, subject to a minimum issuance price of $20.00 per share.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9, 2026, the Company amended the Certificate of Designation for the Series A Preferred to revise the conversion provisions and certain ranking rights. Under the amended terms, holders may convert the Series A Preferred, at their option and from time to time, in three sequential tranches, each representing up to one-third of the holder’s original Series A Preferred shares. The first tranche is convertible at a conversion price of $2.50 per share of Class A common stock, the second tranche is convertible at a conversion price of $3.50 per share, and the third tranche is convertible at a conversion price of $4.50 per share. The number of shares of Class A common stock issuable upon conversion is determined based on the stated value of the preferred shares divided by the applicable conversion price for the respective tranche. The amended terms also provide customary anti-dilution protections, beneficial ownership limitations and notice provisions. In addition, the Series A Preferred Stock ranks pari passu with the Company’s Series AA Preferred and Series AAA Preferred with respect to liquidation and dividend preferences.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March 31, 2026 and December 31, 2025, the Company had 5,875 of its Series A Preferred stock issued and outstanding, representing additional paid-in capital of $2.4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AA Cumulative Redeemable Preferred Stock (Reg A+) - Liability Classified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qualified its preferred stock series AA financing, registered under regulation A+, with the SEC in March 2025. The Company is authorized to issue up to 800,000 shares of the Series AA Cumulative Redeemable Preferred Stock (“Series AA Preferred”) for gross proceeds of $20.0 million. The Series AA Preferred shares have a stated value of $25 per share and a cumulative monthly cash dividend equal to 9.5% per annum. If the Company does not make an interest payment within 30 days after an unpaid month, it goes into default. In the event of default, the cash dividend rate increases to 18.0% per annum until cured.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Series AA Preferred may elect to convert all or any portion of their preferred stock to equivalent shares of Class A Common Stock, after the third anniversary of the issuance date. The Company can redeem the Series AA Preferred at any time at no cost. The stockholder can redeem at any time as well; however, if redeemed in year one, two, or three, the redemption would be subject to a 10%, 8%, or 6% redemption fee, respectively. Redemption of the Series AA Preferred at stated value is mandatory on the third anniversary of the issuance date.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AA Preferred is classified as a liability on the accompanying condensed consolidated balance sheets, rather than in shareholders’ equity, due to its contractual obligation to redeem the shares for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301,337 and 221,434 shares, respectively, of its Series AA Preferred issued and outstanding, representing funds raised of $7.0 million and $5.1 million, respectively, net of issuance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AAA Convertible Preferred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2026, the Company entered into an offering agreement to issue up to 40,000 shares of Series AAA Convertible Preferred Stock (“Series AAA Preferred”), par value $0.001 per share, for aggregate gross proceeds of up to $40.0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Series AAA Preferred has a stated value of $1,000 per share and bears non-cumulative dividends at a rate of 12% per annum, payable quarterly when, and if, declared by the Company. Dividends are payable, at the Company’s election, in cash or in shares of Class A common stock, subject to a minimum issuance price of $1.00 per share. The Series AAA Preferred does not contain a mandatory redemption feature and is therefore classified within stockholders’ equity on the Company’s condensed consolidated balance sheets.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Series AAA Preferred are convertible, at the option of the holder, from time to time, into shares of the Company’s Class A common stock in three consecutive tranches, with each tranche permitting the holder to convert up to one-third of the total preferred shares held at issuance. The first tranche is convertible at a conversion price of $2.50 per share of Class A common stock, the second tranche is convertible at a conversion price of $3.50 per share, and the third tranche is convertible at a conversion price of $4.50 per share. The number of shares of Class A common stock issuable upon conversion is determined based on the stated value of the preferred shares divided by the applicable conversion price for the respective tranche.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Series AAA Preferred generally does not carry voting rights, except as required by applicable law. In the event of liquidation, dissolution, or winding up of the Company, the Series AAA Preferred ranks senior to the Company’s common stock and Series B Preferred, and pari passu with the Company’s Series A Preferred and Series AA Preferred.</w:t>
      </w:r>
    </w:p>
    <w:p>
      <w:pPr>
        <w:spacing w:after="0" w:line="20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1,529 shares of Series AAA Preferred issued and outstanding, representing additional paid-in capital of $1.5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2025, the Company filed a Certificate of Designation with the Secretary of State of Delaware designating Series B Preferred Stock (“Series B Preferred”), par value $0.001 per share. Each share has a stated value of $1,000 and is convertible at the option of the holder into shares of Class A common stock at a conversion price of $250 per share, subject to adjustment as defined in the Certificate of Designation.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B Preferred do not have voting rights, except as required by law. In the event of liquidation, dissolution, or winding up of the Company, holders are entitled to receive distributions in preference to holders of common stock, but junior to Series A, Series AA, and Series AAA Preferred Stock. The Series B ranks pari passu with any preferred stock of substantially similar rights and preferences.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2026, an institutional investor converted 15,868 shares of Series B Preferred into 63,472 shares of the Company’s Class A common stock. No shares of Series B Preferred were outstanding as of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issues warrants for the purchase of its Class A Common Stock, either as stand-alone transactions or combined with other debt and/or equity instruments. The warrants may be exercised up to the fifth anniversary of their origination date and transferred independently at any time. Using the Black-Scholes model, the Company estimates the relative fair value of warrants on the date of issuance. The relative fair value of warrants is included in paid-in capital on the accompanying condensed consolidated balance sheets. At March 31, 2026 and December 31, 2025, the Company had 129,040 warrants outstanding with a weighted-average exercise price of $16.49 per share and weighted-average remaining contractual terms of 3.8 and 4.3 years,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through one operating segment, its asset management platform which it refers to simply as “Platform”. The Company’s chief operating decision maker (“CODM”) is the Company’s Chief Executive Officer, John C. Loeffler. The Company’s CODM assesses performance and allocates resources based on the results of Platform operations.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costs and key operating statistics to evaluate performance and allocate resources on a basis that eliminates the impact of the consolidated funds (intercompany eliminations required by U.S. GAAP) and noncontrolling interests. Operating costs consist primarily of payroll related costs that are provided quarterly to the CODM. Platform payroll and payroll related costs were $2.7 million and $3.7 million for the three months ended March 31, 2026 and 2025, respectively. Management concluded that the consolidated funds do not meet the requirements in ASC 280, Segment Reporting, of operating segments, as the Company’s CODM does not review, nor is he provided with the operating results of these consolidated funds for the purposes of allocating resources, assessing performance or determining whether additional investments or advances will be made to these funds. The consolidated funds are consolidated based on the requirement in ASC 810, Consolidation, as the Company was determined to be the primary beneficiary of each of these variable interest entities since the Company has the power to direct the activities of the entities and the right to absorb losses, generally in the form of guarantees of indebtedness that are significant to the individual investment funds.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total Platform revenues were $4.1 million and $3.5 million, respectively, representing a period-over-period increase of 15.7%. The tables below compare the revenues earned for providing services under the Company’s Platform as described in the Revenue Recognition section of Note 2 – Summary of Significant Accounting Policies for the three months ended March 31, 2026, to the revenues earned for the same period in 2025 (in thousands).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7"/>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tcBorders>
              <w:top w:val="single" w:sz="8" w:color="auto"/>
            </w:tcBorders>
            <w:shd w:val="clear" w:color="auto" w:fill="CCEDFF"/>
          </w:tcPr>
          <w:p>
            <w:pPr>
              <w:spacing w:after="0"/>
              <w:rPr>
                <w:sz w:val="18"/>
                <w:szCs w:val="18"/>
                <w:color w:val="auto"/>
              </w:rPr>
            </w:pPr>
          </w:p>
        </w:tc>
        <w:tc>
          <w:tcPr>
            <w:tcW w:w="50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2,845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240" w:type="dxa"/>
            <w:vAlign w:val="bottom"/>
            <w:shd w:val="clear" w:color="auto" w:fill="CCEDFF"/>
          </w:tcPr>
          <w:p>
            <w:pPr>
              <w:spacing w:after="0"/>
              <w:rPr>
                <w:sz w:val="19"/>
                <w:szCs w:val="19"/>
                <w:color w:val="auto"/>
              </w:rPr>
            </w:pPr>
          </w:p>
        </w:tc>
        <w:tc>
          <w:tcPr>
            <w:tcW w:w="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240" w:type="dxa"/>
            <w:vAlign w:val="bottom"/>
            <w:shd w:val="clear" w:color="auto" w:fill="CCEDFF"/>
          </w:tcPr>
          <w:p>
            <w:pPr>
              <w:spacing w:after="0"/>
              <w:rPr>
                <w:sz w:val="19"/>
                <w:szCs w:val="19"/>
                <w:color w:val="auto"/>
              </w:rPr>
            </w:pPr>
          </w:p>
        </w:tc>
        <w:tc>
          <w:tcPr>
            <w:tcW w:w="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3"/>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4,071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240" w:type="dxa"/>
            <w:vAlign w:val="bottom"/>
            <w:shd w:val="clear" w:color="auto" w:fill="CCEDFF"/>
          </w:tcPr>
          <w:p>
            <w:pPr>
              <w:spacing w:after="0"/>
              <w:rPr>
                <w:sz w:val="19"/>
                <w:szCs w:val="19"/>
                <w:color w:val="auto"/>
              </w:rPr>
            </w:pPr>
          </w:p>
        </w:tc>
        <w:tc>
          <w:tcPr>
            <w:tcW w:w="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Platform revenue</w:t>
            </w: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7"/>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tcBorders>
              <w:top w:val="single" w:sz="8" w:color="CCEDFF"/>
            </w:tcBorders>
            <w:shd w:val="clear" w:color="auto" w:fill="CCEDFF"/>
          </w:tcPr>
          <w:p>
            <w:pPr>
              <w:spacing w:after="0"/>
              <w:rPr>
                <w:sz w:val="18"/>
                <w:szCs w:val="18"/>
                <w:color w:val="auto"/>
              </w:rPr>
            </w:pPr>
          </w:p>
        </w:tc>
        <w:tc>
          <w:tcPr>
            <w:tcW w:w="1240" w:type="dxa"/>
            <w:vAlign w:val="bottom"/>
            <w:tcBorders>
              <w:top w:val="single" w:sz="8" w:color="auto"/>
            </w:tcBorders>
            <w:shd w:val="clear" w:color="auto" w:fill="CCEDFF"/>
          </w:tcPr>
          <w:p>
            <w:pPr>
              <w:spacing w:after="0"/>
              <w:rPr>
                <w:sz w:val="18"/>
                <w:szCs w:val="18"/>
                <w:color w:val="auto"/>
              </w:rPr>
            </w:pPr>
          </w:p>
        </w:tc>
        <w:tc>
          <w:tcPr>
            <w:tcW w:w="50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29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2,744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30"/>
        </w:trPr>
        <w:tc>
          <w:tcPr>
            <w:tcW w:w="4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720" w:type="dxa"/>
            <w:vAlign w:val="bottom"/>
            <w:shd w:val="clear" w:color="auto" w:fill="CCEDFF"/>
          </w:tcPr>
          <w:p>
            <w:pPr>
              <w:spacing w:after="0"/>
              <w:rPr>
                <w:sz w:val="19"/>
                <w:szCs w:val="19"/>
                <w:color w:val="auto"/>
              </w:rPr>
            </w:pPr>
          </w:p>
        </w:tc>
        <w:tc>
          <w:tcPr>
            <w:tcW w:w="1240" w:type="dxa"/>
            <w:vAlign w:val="bottom"/>
            <w:shd w:val="clear" w:color="auto" w:fill="CCEDFF"/>
          </w:tcPr>
          <w:p>
            <w:pPr>
              <w:spacing w:after="0"/>
              <w:rPr>
                <w:sz w:val="19"/>
                <w:szCs w:val="19"/>
                <w:color w:val="auto"/>
              </w:rPr>
            </w:pPr>
          </w:p>
        </w:tc>
        <w:tc>
          <w:tcPr>
            <w:tcW w:w="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4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720" w:type="dxa"/>
            <w:vAlign w:val="bottom"/>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spacing w:after="0"/>
              <w:rPr>
                <w:sz w:val="19"/>
                <w:szCs w:val="19"/>
                <w:color w:val="auto"/>
              </w:rPr>
            </w:pPr>
          </w:p>
        </w:tc>
        <w:tc>
          <w:tcPr>
            <w:tcW w:w="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30"/>
        </w:trPr>
        <w:tc>
          <w:tcPr>
            <w:tcW w:w="40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720" w:type="dxa"/>
            <w:vAlign w:val="bottom"/>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spacing w:after="0"/>
              <w:rPr>
                <w:sz w:val="19"/>
                <w:szCs w:val="19"/>
                <w:color w:val="auto"/>
              </w:rPr>
            </w:pPr>
          </w:p>
        </w:tc>
        <w:tc>
          <w:tcPr>
            <w:tcW w:w="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Platform revenue</w:t>
            </w:r>
          </w:p>
        </w:tc>
        <w:tc>
          <w:tcPr>
            <w:tcW w:w="172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0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revenues, expenses and net loss to the most comparable U.S. GAAP measure for the three months ended March 31, 2026 and 2025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300" w:type="dxa"/>
            <w:vAlign w:val="bottom"/>
          </w:tcPr>
          <w:p>
            <w:pPr>
              <w:spacing w:after="0"/>
              <w:rPr>
                <w:sz w:val="14"/>
                <w:szCs w:val="14"/>
                <w:color w:val="auto"/>
              </w:rPr>
            </w:pPr>
          </w:p>
        </w:tc>
        <w:tc>
          <w:tcPr>
            <w:tcW w:w="15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4"/>
                <w:szCs w:val="1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tcBorders>
              <w:top w:val="single" w:sz="8" w:color="CCEDFF"/>
            </w:tcBorders>
            <w:shd w:val="clear" w:color="auto" w:fill="CCEDFF"/>
          </w:tcPr>
          <w:p>
            <w:pPr>
              <w:spacing w:after="0"/>
              <w:rPr>
                <w:sz w:val="18"/>
                <w:szCs w:val="18"/>
                <w:color w:val="auto"/>
              </w:rPr>
            </w:pPr>
          </w:p>
        </w:tc>
        <w:tc>
          <w:tcPr>
            <w:tcW w:w="200" w:type="dxa"/>
            <w:vAlign w:val="bottom"/>
            <w:tcBorders>
              <w:top w:val="single" w:sz="8" w:color="auto"/>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29"/>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bottom w:val="single" w:sz="8" w:color="auto"/>
            </w:tcBorders>
            <w:shd w:val="clear" w:color="auto" w:fill="CCEDFF"/>
          </w:tcPr>
          <w:p>
            <w:pPr>
              <w:spacing w:after="0"/>
              <w:rPr>
                <w:sz w:val="19"/>
                <w:szCs w:val="19"/>
                <w:color w:val="auto"/>
              </w:rPr>
            </w:pPr>
          </w:p>
        </w:tc>
        <w:tc>
          <w:tcPr>
            <w:tcW w:w="15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bottom w:val="single" w:sz="8" w:color="auto"/>
            </w:tcBorders>
            <w:shd w:val="clear" w:color="auto" w:fill="CCEDFF"/>
          </w:tcPr>
          <w:p>
            <w:pPr>
              <w:spacing w:after="0"/>
              <w:rPr>
                <w:sz w:val="19"/>
                <w:szCs w:val="19"/>
                <w:color w:val="auto"/>
              </w:rPr>
            </w:pPr>
          </w:p>
        </w:tc>
        <w:tc>
          <w:tcPr>
            <w:tcW w:w="14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bottom w:val="single" w:sz="8" w:color="auto"/>
            </w:tcBorders>
            <w:shd w:val="clear" w:color="auto" w:fill="CCEDFF"/>
          </w:tcPr>
          <w:p>
            <w:pPr>
              <w:spacing w:after="0"/>
              <w:rPr>
                <w:sz w:val="19"/>
                <w:szCs w:val="19"/>
                <w:color w:val="auto"/>
              </w:rPr>
            </w:pPr>
          </w:p>
        </w:tc>
        <w:tc>
          <w:tcPr>
            <w:tcW w:w="15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29"/>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900" w:type="dxa"/>
            <w:vAlign w:val="bottom"/>
            <w:tcBorders>
              <w:bottom w:val="single" w:sz="8" w:color="CCED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tcBorders>
              <w:bottom w:val="single" w:sz="8" w:color="CCED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0" w:type="dxa"/>
            <w:vAlign w:val="bottom"/>
          </w:tcPr>
          <w:p>
            <w:pPr>
              <w:spacing w:after="0"/>
              <w:rPr>
                <w:sz w:val="1"/>
                <w:szCs w:val="1"/>
                <w:color w:val="auto"/>
              </w:rPr>
            </w:pPr>
          </w:p>
        </w:tc>
      </w:tr>
      <w:tr>
        <w:trPr>
          <w:trHeight w:val="250"/>
        </w:trPr>
        <w:tc>
          <w:tcPr>
            <w:tcW w:w="4880" w:type="dxa"/>
            <w:vAlign w:val="bottom"/>
            <w:shd w:val="clear" w:color="auto" w:fill="CCEDFF"/>
          </w:tcPr>
          <w:p>
            <w:pPr>
              <w:spacing w:after="0"/>
              <w:rPr>
                <w:sz w:val="21"/>
                <w:szCs w:val="21"/>
                <w:color w:val="auto"/>
              </w:rPr>
            </w:pPr>
          </w:p>
        </w:tc>
        <w:tc>
          <w:tcPr>
            <w:tcW w:w="900" w:type="dxa"/>
            <w:vAlign w:val="bottom"/>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154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30"/>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30"/>
        </w:trPr>
        <w:tc>
          <w:tcPr>
            <w:tcW w:w="48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0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8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top w:val="single" w:sz="8" w:color="auto"/>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20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tcBorders>
              <w:bottom w:val="single" w:sz="8" w:color="CCED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50"/>
        </w:trPr>
        <w:tc>
          <w:tcPr>
            <w:tcW w:w="5780" w:type="dxa"/>
            <w:vAlign w:val="bottom"/>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154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30"/>
        </w:trPr>
        <w:tc>
          <w:tcPr>
            <w:tcW w:w="57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20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tcBorders>
              <w:bottom w:val="single" w:sz="8" w:color="CCED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0" w:type="dxa"/>
            <w:vAlign w:val="bottom"/>
          </w:tcPr>
          <w:p>
            <w:pPr>
              <w:spacing w:after="0"/>
              <w:rPr>
                <w:sz w:val="1"/>
                <w:szCs w:val="1"/>
                <w:color w:val="auto"/>
              </w:rPr>
            </w:pPr>
          </w:p>
        </w:tc>
      </w:tr>
      <w:tr>
        <w:trPr>
          <w:trHeight w:val="250"/>
        </w:trPr>
        <w:tc>
          <w:tcPr>
            <w:tcW w:w="5780" w:type="dxa"/>
            <w:vAlign w:val="bottom"/>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154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00" w:type="dxa"/>
            <w:vAlign w:val="bottom"/>
            <w:tcBorders>
              <w:top w:val="single" w:sz="8" w:color="auto"/>
            </w:tcBorders>
            <w:shd w:val="clear" w:color="auto" w:fill="CCEDFF"/>
          </w:tcPr>
          <w:p>
            <w:pPr>
              <w:spacing w:after="0"/>
              <w:rPr>
                <w:sz w:val="19"/>
                <w:szCs w:val="19"/>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DFF"/>
          </w:tcPr>
          <w:p>
            <w:pPr>
              <w:spacing w:after="0"/>
              <w:rPr>
                <w:sz w:val="19"/>
                <w:szCs w:val="19"/>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5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2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20" w:type="dxa"/>
            <w:vAlign w:val="bottom"/>
            <w:tcBorders>
              <w:top w:val="single" w:sz="8" w:color="auto"/>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bottom w:val="single" w:sz="8" w:color="auto"/>
            </w:tcBorders>
          </w:tcPr>
          <w:p>
            <w:pPr>
              <w:spacing w:after="0" w:line="20" w:lineRule="exact"/>
              <w:rPr>
                <w:sz w:val="1"/>
                <w:szCs w:val="1"/>
                <w:color w:val="auto"/>
              </w:rPr>
            </w:pPr>
          </w:p>
        </w:tc>
        <w:tc>
          <w:tcPr>
            <w:tcW w:w="154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assets to the most comparable U.S. GAAP measure as of March 31, 2026 and December 31, 2025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00" w:type="dxa"/>
            <w:vAlign w:val="bottom"/>
          </w:tcPr>
          <w:p>
            <w:pPr>
              <w:spacing w:after="0"/>
              <w:rPr>
                <w:sz w:val="14"/>
                <w:szCs w:val="14"/>
                <w:color w:val="auto"/>
              </w:rPr>
            </w:pPr>
          </w:p>
        </w:tc>
        <w:tc>
          <w:tcPr>
            <w:tcW w:w="15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4"/>
                <w:szCs w:val="1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1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3"/>
        </w:trPr>
        <w:tc>
          <w:tcPr>
            <w:tcW w:w="5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65,229</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are material transactions are subsequent events, in addition to those matters discussed above in Note 1 – Organization and Liquidity, Note 6 – Notes Payable, and Note 14 -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Conversion Agreements and Related Equity Issuances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March 2026, the Company launched a note conversion program (the “Program”) pursuant to which holders (the “Note Holders”) of certain of the Company’s unsecured outstanding promissory notes (the “Notes”) elected to convert all or part of their Notes into (i) shares of the Company’s Class A common stock, par value $0.001 (“Common Stock”) pursuant to common stock subscription agreements, or (ii) shares of Series AAA Convertible Preferred Stock (“Series AAA Preferred”) pursuant to preferred stock subscription agreements.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2026, the Company had entered into binding agreements with the Note Holders to convert outstanding debt into shares of Common Stock and Series AAA Preferred. As these agreements were executed prior to the balance sheet date, the related transactions have been reflected in the accompanying condensed consolidated financial statements.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9, 2026, the Company filed the Certificate of Designation for its Series AAA Preferred with the Secretary of State of the State of Delaware to establish the rights, preferences and privileges of such shares. On April 13, 2026, the Company filed a registration statement on Form S-3 covering the issuance of shares of Common Stock issuable pursuant to the conversion agreements. These filings formalized and enabled the issuance of securities under the previously executed agreements. The Form S-3 was approved by the SEC effective April 28, 2026. See Note 14 – Preferred Stock for additional information regarding the Series AAA Preferred.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the Certificate of Designation for the Company’s Series A Preferred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9, 2026, the Company filed a Certificate of Amendment (the “Amendment”) to the Certificate of Designation for the Company’s Series A Convertible Preferred (the “Series A Certificate of Designation”) with the Delaware Secretary of State’s Office. Pursuant to the Amendment, the Series A Preferred will rank pari passu with the Series AA Preferred and Series AAA Preferred and the conversion provisions in the Series A Certificate of Designation were restated in full to match the conversion provisions in the Series AAA Preferred Certificate of Designation. The Amendment was approved by the requisite holders of the Company’s Series A Convertible Preferred Stock. See Note 14 – Preferred Stock for additional information regarding the amended Series A Certificate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2. Management's Discussion and Analysis of Financial Condition and Results of Operations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(unaudited)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our Annual Report on Form 10-K filed with the SEC on March 26, 2026. Capitalized terms used herein, but not otherwise defined, shall have the meaning ascribed to those terms in the “Part I - Financial Information,” including the related notes to the condensed consolidated financial statements contained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16 years, we have grown into a leading diversified alternative asset management firm, with more than $2.6 billion in Managed Assets, comprised of $0.7 billion of assets under management (“AUM”) and $1.8 billion of assets under development (“AUD”). Our primary goal is to drive shareholder value by enhancing the wealth of accredited investor clients seeking to make investments in real and digital assets.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our business based on (i) recurring fee-related earnings, (ii) growth in embedded performance allocations within our managed funds, and (iii) the strategic accumulation and yield generation from digital asset holdings. Because performance allocations are recognized under U.S. GAAP only when they are no longer probable of significant reversal (generally upon realization events), U.S. GAAP results may not reflect the economic progress of carried interest value creation within our managed portfolio at a given reporting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Platform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2025, our Board of Directors approved our Treasury Reserve Policy designed to support our balance sheet strategy, liquidity profile, and long-term growth initiatives. Under this policy, we allocate a portion of our corporate treasury to digital assets that we believe demonstrate institutional utility and adoption potential, beginning with LINK.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LINK is the decentralized oracle network intended to enable smart contracts and traditional systems to securely interact with real-world data. We selected LINK as our initial digital asset holding based on management’s assessment of its core role in blockchain infrastructure supporting the growth of tokenization, decentralized finance, and real-world asset integration. Management believes that LINK’s enterprise adoption, technology maturity, and network resilience make LINK an attractive long-term holding relative to other digital assets at similar stages of adoption.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adoption of the policy, we have raised capital through equity issuances and deployed a portion of those proceeds to accumulate LINK tokens as a long-term treasury asset. These holdings are reflected on our accompanying condensed consolidated balance sheets at fair value as of March 31, 2026 and December 31, 2025. Changes in the fair value of our LINK tokens are reflected within our accompanying condensed consolidated statements of operations for the three months ended March 31, 2026 and 2025. We expect continued volatility in the fair value of our digital asset holdings, which may materially affect reported results in future periods.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announced our intention to stake a portion of our LINK holdings once operational readiness and governance requirements are completed. Staking generally involves committing tokens to participate in network security and may generate a yield in the form of additional LINK tokens. Staking is a critical part of the LINK ecosystem and provides an opportunity for us to generate passive yield on our holdings while contributing to the stability and reliability of the broader network. Management estimates it may earn a yield of 3% to 9% annualized, based upon internal estimates of the potential to stake our LINK treasury. Any staking yield is subject to protocol rules, market conditions, operational factors and regulatory consideration. Actual results may differ materially from expectations.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parallel, we are evaluating the potential to operate or participate in LINK validator-related activities, which could include third party arrangements or internal capabilities. Validator-related activities play a central role in maintaining network consensus and facilitating data integrity. Revenues generated from staking or related activities, if any, would be evaluated by management in the context of liquidity, balance sheet strategy and capital allocation within our digital asset treasury and asset management platform business.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consider additional products or investment offerings over time that provide exposure to digital assets or blockchain infrastructure, subject to market conditions, regulatory considerations, and investor demand. These future offerings could expand our AUM and generate recurring management and performance fees, consistent with our existing real estate fund model.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evaluating potential applications of blockchain technology within our real estate investment platform, which could include processes intended to improve operational efficiency, investor servicing and investor accessibility. Specifically, we intend to tokenize real-world assets, including real estate projects and fund interests, to enable fractional ownership, enhance liquidity, and streamline investor reporting and fund administration. Tokenized offerings could also serve as a new fundraising channel for us, allowing us to reach a broader base of global investors through compliant, blockchain-enabled investment vehicles.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and management team view the LINK strategy and broader blockchain initiatives as a natural evolution of our mission: to enhance the wealth of our accredited investor clients by making alternative investments more accessible, transparent, and profitable for investors. Through the integration of digital assets, blockchain infrastructure, and tokenization technology, we seek to position ourself at the forefront of the convergence between traditional finance and decentralized finance.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Equity Real Estate Platform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 Private Equity Real Estate (“PERE”) platform that creates, manages, and services middle-market investment funds, private syndications, and direct investments focused on real estate investment strategies. To build our funds, we market directly to high net worth and ultra high net worth investors with our in-house fundraising team and to registered investment advisors and broker-dealers with our in-house wholesaling team.</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some of which are on land owned by our funds or are under contract to purchase. Completing these development activities may ultimately result in income-producing assets, assets we may sell to third parties, or both.</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are actively developing 1,776 multifamily units, 497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$1.8 billion, which we expect would be funded through a combination of undeployed fund cash, third-party equity, project sales, tax credit financing and similar incentives, and secured debt financing.</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the Platform: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Revenues</w:t>
      </w:r>
    </w:p>
    <w:p>
      <w:pPr>
        <w:spacing w:after="0" w:line="189" w:lineRule="exact"/>
        <w:rPr>
          <w:sz w:val="20"/>
          <w:szCs w:val="20"/>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the CHT, we earn a fund management fee of 0.7% of CHT’s enterprise value and are reimbursed for certain costs incurred on behalf of CHT.</w:t>
      </w:r>
    </w:p>
    <w:p>
      <w:pPr>
        <w:spacing w:after="0" w:line="206"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&amp; Offering fees include fund set-up fees and are a one-time fee earned during the initial formation, administration, and set-up of fund products we distribute and manage. These fees are recognized at the point in time when the performance under the contract is complete.</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two fee-based contracts, not to exceed 6.0%. The first, a real estate development contract that provides for up to 4.0% of the total expected costs of the development and is paid for services performed by Caliber Development, LLC as the principal developer of our projects. These services may include obtaining new entitlements or zoning changes and managing and supervising third-party developers. The second,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w:t>
      </w:r>
    </w:p>
    <w:p>
      <w:pPr>
        <w:spacing w:after="0" w:line="156"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Performance Allocations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allocations are foundational to our long-term economic model.</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based on internal asset-level business plans and projected exit assumptions, we estimate aggregate unrealized performance allocations of approximately $98.9 million. This estimate represents our contractual share of projected profits after satisfaction of preferred returns and return of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 is derived from:</w:t>
      </w:r>
    </w:p>
    <w:p>
      <w:pPr>
        <w:spacing w:after="0" w:line="1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Asset-level discounted cash flow analyses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models used for capital allocation decisions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methodologies consistent with fair value measurement frameworks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third-party valuation work</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impaired, or where current projections do not support achieving returns above the preferred return threshold, are assigned zero carried interest value and are excluded from the $98.9 million estimate unless and until business plan revisions support a reasonable expectation of future performance allocation realization. Consistent with U.S. GAAP, the $98.9 million of estimated unrealized performance allocations is not reflected in our consolidated financial statements.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disclosure of unrealized performance allocations provides important insight into embedded economic value and long-term earnings potential.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Estimated Performance Allocations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allocation estimate is sensitive to changes in projected exit values of underlying assets. A 5% increase or decrease in projected exit values across the managed portfolio would result in an approximate $4.9 million increase or decrease in estimated performance allocations. Actual realized performance allocations may differ materially from current estimates based on changes in market conditions, operating performance, financing availability, or timing of realization events.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chief operating decision maker (“CODM”) is our Chief Executive Officer, John C. Loeffler. The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our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 we were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originally founded as Caliber Companies, LLC, an Arizona limited liability company, organized under the laws of Arizona, and commenced operations in January 2009. In November 2014, we reorganized as a Nevada corporation and in June 2018, we reincorporated in the state of Delaware. On our website we make available, free of charge, information about us and our investments. None of the information on our website is deemed to be part of this report.</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business is driven by trends which affect the following:</w:t>
      </w:r>
    </w:p>
    <w:p>
      <w:pPr>
        <w:spacing w:after="0" w:line="181" w:lineRule="exact"/>
        <w:rPr>
          <w:sz w:val="20"/>
          <w:szCs w:val="20"/>
          <w:color w:val="auto"/>
        </w:rPr>
      </w:pPr>
    </w:p>
    <w:p>
      <w:pPr>
        <w:jc w:val="both"/>
        <w:ind w:left="660" w:right="20" w:hanging="328"/>
        <w:spacing w:after="0" w:line="268"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formation: </w:t>
      </w:r>
      <w:r>
        <w:rPr>
          <w:rFonts w:ascii="Times New Roman" w:cs="Times New Roman" w:eastAsia="Times New Roman" w:hAnsi="Times New Roman"/>
          <w:sz w:val="18"/>
          <w:szCs w:val="18"/>
          <w:color w:val="auto"/>
        </w:rPr>
        <w:t>any trend which increases or decreases investors’ knowledge of alternative investments, desire to acquire them,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them, and knowledge and appreciation of us as a potential provider, will affect our ability to attract and raise new capital. Capital formation also drives investment acquisitions, which contributes to our revenues.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acquisition: </w:t>
      </w:r>
      <w:r>
        <w:rPr>
          <w:rFonts w:ascii="Times New Roman" w:cs="Times New Roman" w:eastAsia="Times New Roman" w:hAnsi="Times New Roman"/>
          <w:sz w:val="18"/>
          <w:szCs w:val="18"/>
          <w:color w:val="auto"/>
        </w:rPr>
        <w:t>any trend which increases or decreases the supply of middle-market real estate projects or loans, the accessibility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developments or development incentives, or enhances or detracts from our ability to access those projects will affect our ability to generate revenue. Coincidentally, investment acquisitions, or the rights to acquire an investment, drive capital formation, which acts as a growth engine for the Platform.</w:t>
      </w:r>
    </w:p>
    <w:p>
      <w:pPr>
        <w:spacing w:after="0" w:line="135" w:lineRule="exact"/>
        <w:rPr>
          <w:rFonts w:ascii="Times New Roman" w:cs="Times New Roman" w:eastAsia="Times New Roman" w:hAnsi="Times New Roman"/>
          <w:sz w:val="18"/>
          <w:szCs w:val="18"/>
          <w:color w:val="auto"/>
        </w:rPr>
      </w:pPr>
    </w:p>
    <w:p>
      <w:pPr>
        <w:ind w:left="660" w:hanging="328"/>
        <w:spacing w:after="0" w:line="28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execution: </w:t>
      </w:r>
      <w:r>
        <w:rPr>
          <w:rFonts w:ascii="Times New Roman" w:cs="Times New Roman" w:eastAsia="Times New Roman" w:hAnsi="Times New Roman"/>
          <w:sz w:val="18"/>
          <w:szCs w:val="18"/>
          <w:color w:val="auto"/>
        </w:rPr>
        <w:t>any trend which increases or decreases the costs of execution on a real estate project, including materials pricing,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access to materials, delays due to governmental action, and the general labor market, will affect our ability to generate revenues.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depends in large part on our ability to raise capital for our funds from investors. Since our inception, we have continued to successfully raise capital into our funds with our total capital raised through March 31, 2026 of $779.8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we manage throughout the deal cycle will continue to offer an attractive value proposition to investors.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advancement of real estate investment-oriented technology, sometimes referred to as “proptech” offers us the benefit of new and innovative technologies to better execute on capital formation strategies, investment acquisition strategies, and investment management strategies. In recent years, we have added to our technology stack with systems that we believe lead the market in their specific ability to enhance execution on our projects. Several of these technologies seek to incorporate investments in artificial intelligence, which we believe will be a prevailing trend in helping us to enhance our project execution going forward.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conflicts and instability, such as those in Israel, Ukraine and Iran, can have significant impacts on global markets and economies and investor perception and tolerance for risk. These conflicts could lead to increased volatility in financial markets, disrupt supply chains, and change investor appetite for investments in alternative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markets are experiencing significant volatility driven by concerns over inflation, elevated interest rates, global tariffs, slowing economic growth and geopolitical uncertainty. The annual inflation rate in the United States increased to 9.1% in June 2022, the highest rate since November 1981, but decreased to 3.3% in March 2026. As a result, from January 1, 2022 through September 18, 2024, the Federal Reserve increased the federal funds rate by 525 basis points. Subsequently, the Federal Reserve decreased the federal funds rate by 169 basis points through March 2026, resulting in a target rate range of 3.50% to 3.75% at March 31, 2026.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our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our early years of operations. In both a buyer’s market and a stressed or distressed market, we expect our business model to outperform, as our direct access to investor capital and our ability to invest in a variety of asset classes allows us to move with the market and take advantage of potentially attractive prices. For project execution, inflation has increased the cost of nearly all building materials and labor types, increasing the cost of construction and renovation of our funds’ assets.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resulting in significant and lasting changes to the Qualified Opportunity Zone (“QOZ”) program. Most notably, the OBBBA eliminates the program’s original sunset date of December 31, 2026, and extends the QOZ program indefinitely. This legislative change could potentially impact our real estate investment strategy, particularly for our funds with existing or future exposure to QOZ-designated assets.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actively evaluating the potential long-term implications of the OBBBA, including increased investor demand for QOZ-aligned strategies and shifts in capital deployment across target markets. However, the full scope and operational impact of these changes remain subject to further guidance. Accordingly, there can be no assurance that the legislative changes will lead to improved fund performance or investor outcomes. We will continue to monitor developments and adjust its strategies as appropriate to align with the evolving QOZ landscape.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Indicators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condensed consolidated financial statements included herein.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 in the form of asset management fee revenues and performance allocations. Included within our consolidated results, are the related revenues of certain consolidated VIEs.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Expenses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expenses include operating costs, general and administrative, marketing and advertising and depreciation and amortization. Included within our consolidated results, are the related expenses of consolidated VIEs.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 income includes interest expense, interest income, and change in fair value of digital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Consolidated Results of Operations for the Three Months Ended March 31, 2026 and 2025</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Commons Fundco, LLC (“Commons”) was consolidated during the three months ended March 31, 2026, Riverwalk</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consolidated during the three months ended December 31, 2025 and DoubleTree by Hilton Tucson Convention Center (“TCC”) was deconsolidated during the three months ended March 31, 2025. The following table and discussion provide insight into our consolidated results of operations for the three months ended March 31, 2026 and 2025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6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90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tcBorders>
              <w:top w:val="single" w:sz="8" w:color="auto"/>
            </w:tcBorders>
            <w:shd w:val="clear" w:color="auto" w:fill="CCEDFF"/>
          </w:tcPr>
          <w:p>
            <w:pPr>
              <w:spacing w:after="0"/>
              <w:rPr>
                <w:sz w:val="18"/>
                <w:szCs w:val="18"/>
                <w:color w:val="auto"/>
              </w:rPr>
            </w:pPr>
          </w:p>
        </w:tc>
        <w:tc>
          <w:tcPr>
            <w:tcW w:w="6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80" w:type="dxa"/>
            <w:vAlign w:val="bottom"/>
            <w:tcBorders>
              <w:top w:val="single" w:sz="8" w:color="auto"/>
            </w:tcBorders>
            <w:shd w:val="clear" w:color="auto" w:fill="CCEDFF"/>
          </w:tcPr>
          <w:p>
            <w:pPr>
              <w:spacing w:after="0"/>
              <w:rPr>
                <w:sz w:val="18"/>
                <w:szCs w:val="18"/>
                <w:color w:val="auto"/>
              </w:rPr>
            </w:pPr>
          </w:p>
        </w:tc>
        <w:tc>
          <w:tcPr>
            <w:tcW w:w="13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840" w:type="dxa"/>
            <w:vAlign w:val="bottom"/>
            <w:tcBorders>
              <w:top w:val="single" w:sz="8" w:color="auto"/>
            </w:tcBorders>
            <w:shd w:val="clear" w:color="auto" w:fill="CCEDFF"/>
          </w:tcPr>
          <w:p>
            <w:pPr>
              <w:spacing w:after="0"/>
              <w:rPr>
                <w:sz w:val="18"/>
                <w:szCs w:val="18"/>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3,300.0 %</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10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108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311.0 %</w:t>
            </w:r>
          </w:p>
        </w:tc>
      </w:tr>
      <w:tr>
        <w:trPr>
          <w:trHeight w:val="223"/>
        </w:trPr>
        <w:tc>
          <w:tcPr>
            <w:tcW w:w="39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7"/>
        </w:trPr>
        <w:tc>
          <w:tcPr>
            <w:tcW w:w="3900" w:type="dxa"/>
            <w:vAlign w:val="bottom"/>
            <w:shd w:val="clear" w:color="auto" w:fill="CCEDFF"/>
          </w:tcPr>
          <w:p>
            <w:pPr>
              <w:spacing w:after="0"/>
              <w:rPr>
                <w:sz w:val="20"/>
                <w:szCs w:val="20"/>
                <w:color w:val="auto"/>
              </w:rPr>
            </w:pPr>
          </w:p>
        </w:tc>
        <w:tc>
          <w:tcPr>
            <w:tcW w:w="1080" w:type="dxa"/>
            <w:vAlign w:val="bottom"/>
            <w:shd w:val="clear" w:color="auto" w:fill="CCEDFF"/>
          </w:tcPr>
          <w:p>
            <w:pPr>
              <w:spacing w:after="0"/>
              <w:rPr>
                <w:sz w:val="20"/>
                <w:szCs w:val="20"/>
                <w:color w:val="auto"/>
              </w:rPr>
            </w:pPr>
          </w:p>
        </w:tc>
        <w:tc>
          <w:tcPr>
            <w:tcW w:w="6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32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00" w:type="dxa"/>
            <w:vAlign w:val="bottom"/>
            <w:shd w:val="clear" w:color="auto" w:fill="CCEDFF"/>
          </w:tcPr>
          <w:p>
            <w:pPr>
              <w:spacing w:after="0"/>
              <w:rPr>
                <w:sz w:val="20"/>
                <w:szCs w:val="20"/>
                <w:color w:val="auto"/>
              </w:rPr>
            </w:pPr>
          </w:p>
        </w:tc>
        <w:tc>
          <w:tcPr>
            <w:tcW w:w="14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080" w:type="dxa"/>
            <w:vAlign w:val="bottom"/>
            <w:shd w:val="clear" w:color="auto" w:fill="CCEDFF"/>
          </w:tcPr>
          <w:p>
            <w:pPr>
              <w:spacing w:after="0"/>
              <w:rPr>
                <w:sz w:val="19"/>
                <w:szCs w:val="19"/>
                <w:color w:val="auto"/>
              </w:rPr>
            </w:pPr>
          </w:p>
        </w:tc>
        <w:tc>
          <w:tcPr>
            <w:tcW w:w="7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90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292.4 %</w:t>
            </w:r>
          </w:p>
        </w:tc>
      </w:tr>
      <w:tr>
        <w:trPr>
          <w:trHeight w:val="223"/>
        </w:trPr>
        <w:tc>
          <w:tcPr>
            <w:tcW w:w="390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8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50"/>
        </w:trPr>
        <w:tc>
          <w:tcPr>
            <w:tcW w:w="3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30"/>
        </w:trPr>
        <w:tc>
          <w:tcPr>
            <w:tcW w:w="39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 loss, net</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9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687.5 %</w:t>
            </w:r>
          </w:p>
        </w:tc>
      </w:tr>
      <w:tr>
        <w:trPr>
          <w:trHeight w:val="230"/>
        </w:trPr>
        <w:tc>
          <w:tcPr>
            <w:tcW w:w="390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23"/>
        </w:trPr>
        <w:tc>
          <w:tcPr>
            <w:tcW w:w="39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390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tcBorders>
              <w:top w:val="single" w:sz="8" w:color="auto"/>
            </w:tcBorders>
            <w:shd w:val="clear" w:color="auto" w:fill="CCEDFF"/>
          </w:tcPr>
          <w:p>
            <w:pPr>
              <w:spacing w:after="0"/>
              <w:rPr>
                <w:sz w:val="19"/>
                <w:szCs w:val="19"/>
                <w:color w:val="auto"/>
              </w:rPr>
            </w:pPr>
          </w:p>
        </w:tc>
        <w:tc>
          <w:tcPr>
            <w:tcW w:w="6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40" w:type="dxa"/>
            <w:vAlign w:val="bottom"/>
            <w:tcBorders>
              <w:top w:val="single" w:sz="8" w:color="CCEDFF"/>
            </w:tcBorders>
            <w:shd w:val="clear" w:color="auto" w:fill="CCEDFF"/>
          </w:tcPr>
          <w:p>
            <w:pPr>
              <w:spacing w:after="0"/>
              <w:rPr>
                <w:sz w:val="19"/>
                <w:szCs w:val="19"/>
                <w:color w:val="auto"/>
              </w:rPr>
            </w:pPr>
          </w:p>
        </w:tc>
        <w:tc>
          <w:tcPr>
            <w:tcW w:w="380" w:type="dxa"/>
            <w:vAlign w:val="bottom"/>
            <w:tcBorders>
              <w:top w:val="single" w:sz="8" w:color="auto"/>
            </w:tcBorders>
            <w:shd w:val="clear" w:color="auto" w:fill="CCEDFF"/>
          </w:tcPr>
          <w:p>
            <w:pPr>
              <w:spacing w:after="0"/>
              <w:rPr>
                <w:sz w:val="19"/>
                <w:szCs w:val="19"/>
                <w:color w:val="auto"/>
              </w:rPr>
            </w:pPr>
          </w:p>
        </w:tc>
        <w:tc>
          <w:tcPr>
            <w:tcW w:w="13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tcBorders>
              <w:top w:val="single" w:sz="8" w:color="CCEDFF"/>
            </w:tcBorders>
            <w:shd w:val="clear" w:color="auto" w:fill="CCEDFF"/>
          </w:tcPr>
          <w:p>
            <w:pPr>
              <w:spacing w:after="0"/>
              <w:rPr>
                <w:sz w:val="19"/>
                <w:szCs w:val="19"/>
                <w:color w:val="auto"/>
              </w:rPr>
            </w:pPr>
          </w:p>
        </w:tc>
        <w:tc>
          <w:tcPr>
            <w:tcW w:w="18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390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w:t>
            </w:r>
          </w:p>
        </w:tc>
      </w:tr>
      <w:tr>
        <w:trPr>
          <w:trHeight w:val="248"/>
        </w:trPr>
        <w:tc>
          <w:tcPr>
            <w:tcW w:w="39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080" w:type="dxa"/>
            <w:vAlign w:val="bottom"/>
            <w:tcBorders>
              <w:bottom w:val="single" w:sz="8" w:color="auto"/>
            </w:tcBorders>
            <w:shd w:val="clear" w:color="auto" w:fill="CCED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4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auto"/>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CEDFF"/>
            </w:tcBorders>
            <w:shd w:val="clear" w:color="auto" w:fill="CCEDFF"/>
          </w:tcPr>
          <w:p>
            <w:pPr>
              <w:spacing w:after="0"/>
              <w:rPr>
                <w:sz w:val="21"/>
                <w:szCs w:val="21"/>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0"/>
        </w:trPr>
        <w:tc>
          <w:tcPr>
            <w:tcW w:w="3900" w:type="dxa"/>
            <w:vAlign w:val="bottom"/>
            <w:tcBorders>
              <w:top w:val="single" w:sz="8" w:color="CCEDFF"/>
            </w:tcBorders>
          </w:tcPr>
          <w:p>
            <w:pPr>
              <w:spacing w:after="0" w:line="20" w:lineRule="exact"/>
              <w:rPr>
                <w:sz w:val="1"/>
                <w:szCs w:val="1"/>
                <w:color w:val="auto"/>
              </w:rPr>
            </w:pPr>
          </w:p>
        </w:tc>
        <w:tc>
          <w:tcPr>
            <w:tcW w:w="1080" w:type="dxa"/>
            <w:vAlign w:val="bottom"/>
            <w:tcBorders>
              <w:top w:val="single" w:sz="8" w:color="CCEDFF"/>
              <w:bottom w:val="single" w:sz="8" w:color="auto"/>
            </w:tcBorders>
          </w:tcPr>
          <w:p>
            <w:pPr>
              <w:spacing w:after="0" w:line="20" w:lineRule="exact"/>
              <w:rPr>
                <w:sz w:val="1"/>
                <w:szCs w:val="1"/>
                <w:color w:val="auto"/>
              </w:rPr>
            </w:pPr>
          </w:p>
        </w:tc>
        <w:tc>
          <w:tcPr>
            <w:tcW w:w="6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bottom w:val="single" w:sz="8" w:color="auto"/>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840" w:type="dxa"/>
            <w:vAlign w:val="bottom"/>
            <w:tcBorders>
              <w:top w:val="single" w:sz="8" w:color="CCED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total revenues were $4.3 million and $7.3 million, respectively, representing a period-over-period decrease of 40.9%, which was primarily due to a decrease in consolidated fund revenues resulting from the deconsolidation of TCC, which was deconsolidated during the three months ended June 30, 2025.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total expenses were $7.0 million and $9.9 million, respectively, representing a period-over-period decrease of 28.7%. The decrease was primarily due to the decrease in consolidated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22631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90"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following entities were consolidated as part of the 2025 Riverwalk consolidation: Riverwalk 1 HoldCo, LLC; Riverwalk 2 HoldCo, LLC; Riverwalk</w:t>
      </w:r>
    </w:p>
    <w:p>
      <w:pPr>
        <w:spacing w:after="0" w:line="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3 HoldCo, LLC; Riverwalk 4 HoldCo, LLC; Riverwalk 5 HoldCo, LLC; Riverwalk 6 HoldCo, LLC; and Riverwalk 7 HoldCo, LLC.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resulting from the deconsolidation TCC, which was deconsolidated during the three months ended June 30, 2025, offset by an increase in other expenses from the addition of Commons.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unrealized loss on digital assets was $1.9 million. During the three months ended March 31, 2026, we had investments in digital assets resulting in an unrealized loss. There was no comparable activity during the same period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Platform (Unconsolidated) Results of Operations for the Three Months Ended March 31, 2026 and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results of operations of the Platform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6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90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tcBorders>
              <w:top w:val="single" w:sz="8" w:color="auto"/>
            </w:tcBorders>
            <w:shd w:val="clear" w:color="auto" w:fill="CCEDFF"/>
          </w:tcPr>
          <w:p>
            <w:pPr>
              <w:spacing w:after="0"/>
              <w:rPr>
                <w:sz w:val="18"/>
                <w:szCs w:val="18"/>
                <w:color w:val="auto"/>
              </w:rPr>
            </w:pPr>
          </w:p>
        </w:tc>
        <w:tc>
          <w:tcPr>
            <w:tcW w:w="6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80" w:type="dxa"/>
            <w:vAlign w:val="bottom"/>
            <w:tcBorders>
              <w:top w:val="single" w:sz="8" w:color="auto"/>
            </w:tcBorders>
            <w:shd w:val="clear" w:color="auto" w:fill="CCEDFF"/>
          </w:tcPr>
          <w:p>
            <w:pPr>
              <w:spacing w:after="0"/>
              <w:rPr>
                <w:sz w:val="18"/>
                <w:szCs w:val="18"/>
                <w:color w:val="auto"/>
              </w:rPr>
            </w:pPr>
          </w:p>
        </w:tc>
        <w:tc>
          <w:tcPr>
            <w:tcW w:w="13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840" w:type="dxa"/>
            <w:vAlign w:val="bottom"/>
            <w:tcBorders>
              <w:top w:val="single" w:sz="8" w:color="auto"/>
            </w:tcBorders>
            <w:shd w:val="clear" w:color="auto" w:fill="CCEDFF"/>
          </w:tcPr>
          <w:p>
            <w:pPr>
              <w:spacing w:after="0"/>
              <w:rPr>
                <w:sz w:val="18"/>
                <w:szCs w:val="18"/>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8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385.7 %</w:t>
            </w:r>
          </w:p>
        </w:tc>
      </w:tr>
      <w:tr>
        <w:trPr>
          <w:trHeight w:val="223"/>
        </w:trPr>
        <w:tc>
          <w:tcPr>
            <w:tcW w:w="39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37"/>
        </w:trPr>
        <w:tc>
          <w:tcPr>
            <w:tcW w:w="3900" w:type="dxa"/>
            <w:vAlign w:val="bottom"/>
            <w:shd w:val="clear" w:color="auto" w:fill="CCEDFF"/>
          </w:tcPr>
          <w:p>
            <w:pPr>
              <w:spacing w:after="0"/>
              <w:rPr>
                <w:sz w:val="20"/>
                <w:szCs w:val="20"/>
                <w:color w:val="auto"/>
              </w:rPr>
            </w:pPr>
          </w:p>
        </w:tc>
        <w:tc>
          <w:tcPr>
            <w:tcW w:w="1080" w:type="dxa"/>
            <w:vAlign w:val="bottom"/>
            <w:shd w:val="clear" w:color="auto" w:fill="CCEDFF"/>
          </w:tcPr>
          <w:p>
            <w:pPr>
              <w:spacing w:after="0"/>
              <w:rPr>
                <w:sz w:val="20"/>
                <w:szCs w:val="20"/>
                <w:color w:val="auto"/>
              </w:rPr>
            </w:pPr>
          </w:p>
        </w:tc>
        <w:tc>
          <w:tcPr>
            <w:tcW w:w="6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32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00" w:type="dxa"/>
            <w:vAlign w:val="bottom"/>
            <w:shd w:val="clear" w:color="auto" w:fill="CCEDFF"/>
          </w:tcPr>
          <w:p>
            <w:pPr>
              <w:spacing w:after="0"/>
              <w:rPr>
                <w:sz w:val="20"/>
                <w:szCs w:val="20"/>
                <w:color w:val="auto"/>
              </w:rPr>
            </w:pPr>
          </w:p>
        </w:tc>
        <w:tc>
          <w:tcPr>
            <w:tcW w:w="14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9"/>
        </w:trPr>
        <w:tc>
          <w:tcPr>
            <w:tcW w:w="390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3"/>
        </w:trPr>
        <w:tc>
          <w:tcPr>
            <w:tcW w:w="390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8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3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30"/>
        </w:trPr>
        <w:tc>
          <w:tcPr>
            <w:tcW w:w="39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183.3 %</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9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663.6 %</w:t>
            </w:r>
          </w:p>
        </w:tc>
      </w:tr>
      <w:tr>
        <w:trPr>
          <w:trHeight w:val="229"/>
        </w:trPr>
        <w:tc>
          <w:tcPr>
            <w:tcW w:w="390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23"/>
        </w:trPr>
        <w:tc>
          <w:tcPr>
            <w:tcW w:w="39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8"/>
        </w:trPr>
        <w:tc>
          <w:tcPr>
            <w:tcW w:w="390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80" w:type="dxa"/>
            <w:vAlign w:val="bottom"/>
            <w:tcBorders>
              <w:top w:val="single" w:sz="8" w:color="auto"/>
              <w:bottom w:val="single" w:sz="8" w:color="auto"/>
            </w:tcBorders>
            <w:shd w:val="clear" w:color="auto" w:fill="CCED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380" w:type="dxa"/>
            <w:vAlign w:val="bottom"/>
            <w:tcBorders>
              <w:top w:val="single" w:sz="8" w:color="auto"/>
              <w:bottom w:val="single" w:sz="8" w:color="auto"/>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18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3900" w:type="dxa"/>
            <w:vAlign w:val="bottom"/>
            <w:tcBorders>
              <w:top w:val="single" w:sz="8" w:color="CCEDFF"/>
            </w:tcBorders>
          </w:tcPr>
          <w:p>
            <w:pPr>
              <w:spacing w:after="0" w:line="20" w:lineRule="exact"/>
              <w:rPr>
                <w:sz w:val="1"/>
                <w:szCs w:val="1"/>
                <w:color w:val="auto"/>
              </w:rPr>
            </w:pPr>
          </w:p>
        </w:tc>
        <w:tc>
          <w:tcPr>
            <w:tcW w:w="1080" w:type="dxa"/>
            <w:vAlign w:val="bottom"/>
            <w:tcBorders>
              <w:top w:val="single" w:sz="8" w:color="CCEDFF"/>
              <w:bottom w:val="single" w:sz="8" w:color="auto"/>
            </w:tcBorders>
          </w:tcPr>
          <w:p>
            <w:pPr>
              <w:spacing w:after="0" w:line="20" w:lineRule="exact"/>
              <w:rPr>
                <w:sz w:val="1"/>
                <w:szCs w:val="1"/>
                <w:color w:val="auto"/>
              </w:rPr>
            </w:pPr>
          </w:p>
        </w:tc>
        <w:tc>
          <w:tcPr>
            <w:tcW w:w="6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bottom w:val="single" w:sz="8" w:color="auto"/>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840" w:type="dxa"/>
            <w:vAlign w:val="bottom"/>
            <w:tcBorders>
              <w:top w:val="single" w:sz="8" w:color="CCED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total revenues were $4.1 million and $3.5 million, respectively, representing a period-over-period increase of 15.7%. The table below (in thousands) compares the revenues earned for providing services under our asset management Platform as described in the Revenue Recognition section of Note 2 – Summary of Significant Accounting Policies for the three months ended March 31, 2026, to the revenues earned for the same period in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39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1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463.5 %</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79.6 %</w:t>
            </w:r>
          </w:p>
        </w:tc>
      </w:tr>
      <w:tr>
        <w:trPr>
          <w:trHeight w:val="223"/>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385.7 %</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unconsolidated Platform revenue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 management fees remained relatively constant during the three months ended March 31, 2026, as compared to the same period in 2025. Fund management fees are based on 1.0% to 1.5% of the unreturned capital contributions in each fund and a fund management fee of 0.7% of CHT’s enterprise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financing fees is primarily due to fees earned from unconsolidated entities related to one loan modification and one line of credit during the three months ended March 31, 2026, with no comparable activity during the same period in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total expenses were $5.4 million and $6.1 million, respectively, representing a period-over-period decrease of 10.8%. The decrease was primarily due to a decrease in payroll expense due to a decrease in employee headcount.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change in fair value of digital assets resulted in losses of $1.9 million, consisting of $1.7 million of unrealized losses and $0.2 million of realized losses. There was no comparable activity during the corresponding period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Balance Sheets - </w:t>
      </w:r>
      <w:r>
        <w:rPr>
          <w:rFonts w:ascii="Times New Roman" w:cs="Times New Roman" w:eastAsia="Times New Roman" w:hAnsi="Times New Roman"/>
          <w:sz w:val="18"/>
          <w:szCs w:val="18"/>
          <w:b w:val="1"/>
          <w:bCs w:val="1"/>
          <w:i w:val="1"/>
          <w:iCs w:val="1"/>
          <w:color w:val="000000"/>
        </w:rPr>
        <w:t>Platform (Unconsolidated)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balance sheets of the asset management Platform as of March 31, 2026 and December 31, 2025.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 liabilities and equity of the consolidated funds which are items that are not available to a shareholder of CWD. See the Non-GAAP Measures section below for reconciliations of the unconsolidated results to the most comparable U.S. GAAP measure.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0" w:type="dxa"/>
            <w:vAlign w:val="bottom"/>
          </w:tcPr>
          <w:p>
            <w:pPr>
              <w:spacing w:after="0"/>
              <w:rPr>
                <w:sz w:val="1"/>
                <w:szCs w:val="1"/>
                <w:color w:val="auto"/>
              </w:rPr>
            </w:pPr>
          </w:p>
        </w:tc>
      </w:tr>
      <w:tr>
        <w:trPr>
          <w:trHeight w:val="229"/>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96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6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23"/>
        </w:trPr>
        <w:tc>
          <w:tcPr>
            <w:tcW w:w="48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67,026</w:t>
            </w:r>
          </w:p>
        </w:tc>
        <w:tc>
          <w:tcPr>
            <w:tcW w:w="16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69,987</w:t>
            </w:r>
          </w:p>
        </w:tc>
        <w:tc>
          <w:tcPr>
            <w:tcW w:w="0" w:type="dxa"/>
            <w:vAlign w:val="bottom"/>
          </w:tcPr>
          <w:p>
            <w:pPr>
              <w:spacing w:after="0"/>
              <w:rPr>
                <w:sz w:val="1"/>
                <w:szCs w:val="1"/>
                <w:color w:val="auto"/>
              </w:rPr>
            </w:pPr>
          </w:p>
        </w:tc>
      </w:tr>
      <w:tr>
        <w:trPr>
          <w:trHeight w:val="236"/>
        </w:trPr>
        <w:tc>
          <w:tcPr>
            <w:tcW w:w="4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46,347</w:t>
            </w:r>
          </w:p>
        </w:tc>
        <w:tc>
          <w:tcPr>
            <w:tcW w:w="0" w:type="dxa"/>
            <w:vAlign w:val="bottom"/>
          </w:tcPr>
          <w:p>
            <w:pPr>
              <w:spacing w:after="0"/>
              <w:rPr>
                <w:sz w:val="1"/>
                <w:szCs w:val="1"/>
                <w:color w:val="auto"/>
              </w:rPr>
            </w:pPr>
          </w:p>
        </w:tc>
      </w:tr>
      <w:tr>
        <w:trPr>
          <w:trHeight w:val="229"/>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29"/>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96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96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61,918</w:t>
            </w:r>
          </w:p>
        </w:tc>
        <w:tc>
          <w:tcPr>
            <w:tcW w:w="16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63,941</w:t>
            </w:r>
          </w:p>
        </w:tc>
        <w:tc>
          <w:tcPr>
            <w:tcW w:w="0" w:type="dxa"/>
            <w:vAlign w:val="bottom"/>
          </w:tcPr>
          <w:p>
            <w:pPr>
              <w:spacing w:after="0"/>
              <w:rPr>
                <w:sz w:val="1"/>
                <w:szCs w:val="1"/>
                <w:color w:val="auto"/>
              </w:rPr>
            </w:pPr>
          </w:p>
        </w:tc>
      </w:tr>
      <w:tr>
        <w:trPr>
          <w:trHeight w:val="236"/>
        </w:trPr>
        <w:tc>
          <w:tcPr>
            <w:tcW w:w="4840" w:type="dxa"/>
            <w:vAlign w:val="bottom"/>
            <w:shd w:val="clear" w:color="auto" w:fill="CCEDFF"/>
          </w:tcPr>
          <w:p>
            <w:pPr>
              <w:spacing w:after="0"/>
              <w:rPr>
                <w:sz w:val="20"/>
                <w:szCs w:val="20"/>
                <w:color w:val="auto"/>
              </w:rPr>
            </w:pPr>
          </w:p>
        </w:tc>
        <w:tc>
          <w:tcPr>
            <w:tcW w:w="1960" w:type="dxa"/>
            <w:vAlign w:val="bottom"/>
            <w:shd w:val="clear" w:color="auto" w:fill="CCEDFF"/>
          </w:tcPr>
          <w:p>
            <w:pPr>
              <w:spacing w:after="0"/>
              <w:rPr>
                <w:sz w:val="20"/>
                <w:szCs w:val="20"/>
                <w:color w:val="auto"/>
              </w:rPr>
            </w:pPr>
          </w:p>
        </w:tc>
        <w:tc>
          <w:tcPr>
            <w:tcW w:w="30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c>
          <w:tcPr>
            <w:tcW w:w="16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920" w:type="dxa"/>
            <w:vAlign w:val="bottom"/>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Preferred stock - Series A</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20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 Series B</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Preferred stock - Series AAA</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20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196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83,547</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77,263</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96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(78,448)</w:t>
            </w:r>
          </w:p>
        </w:tc>
        <w:tc>
          <w:tcPr>
            <w:tcW w:w="16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(71,224)</w:t>
            </w:r>
          </w:p>
        </w:tc>
        <w:tc>
          <w:tcPr>
            <w:tcW w:w="0" w:type="dxa"/>
            <w:vAlign w:val="bottom"/>
          </w:tcPr>
          <w:p>
            <w:pPr>
              <w:spacing w:after="0"/>
              <w:rPr>
                <w:sz w:val="1"/>
                <w:szCs w:val="1"/>
                <w:color w:val="auto"/>
              </w:rPr>
            </w:pPr>
          </w:p>
        </w:tc>
      </w:tr>
      <w:tr>
        <w:trPr>
          <w:trHeight w:val="223"/>
        </w:trPr>
        <w:tc>
          <w:tcPr>
            <w:tcW w:w="48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6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6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2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9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96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8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unique feature of our funds is the discretion given to our management team to decide when to sell assets and when to hold them. We believe this discretion allows us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AUM refers to the assets we manage or sponsor. We monitor two types of information with regard to our AUM:</w:t>
      </w:r>
    </w:p>
    <w:p>
      <w:pPr>
        <w:spacing w:after="0" w:line="185" w:lineRule="exact"/>
        <w:rPr>
          <w:sz w:val="20"/>
          <w:szCs w:val="20"/>
          <w:color w:val="auto"/>
        </w:rPr>
      </w:pPr>
    </w:p>
    <w:p>
      <w:pPr>
        <w:jc w:val="both"/>
        <w:ind w:left="660" w:hanging="328"/>
        <w:spacing w:after="0" w:line="256" w:lineRule="auto"/>
        <w:tabs>
          <w:tab w:leader="none" w:pos="6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our management to further calculate and predict future earnings.</w:t>
      </w:r>
    </w:p>
    <w:p>
      <w:pPr>
        <w:spacing w:after="0" w:line="16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March 31, 2026, we had total FV AUM of approximately $736.4 million.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Although we believe we are utilizing generally accepted methodologies for our calculation of Managed Capital and FV AUM, it may differ from our competitors, thereby making these metrics non-comparable to our competitors.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Capital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of the managed capital for the three months ended March 31, 2026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Managed Capital</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517,186</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4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4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822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Investment write-offs</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489,584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36" w:lineRule="exact"/>
        <w:rPr>
          <w:sz w:val="20"/>
          <w:szCs w:val="20"/>
          <w:color w:val="auto"/>
        </w:rPr>
      </w:pPr>
    </w:p>
    <w:p>
      <w:pPr>
        <w:ind w:left="340" w:right="200" w:hanging="332"/>
        <w:spacing w:after="0" w:line="22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Decrease driven by the sale of assets by our investment funds, as well as the recording of an impairment reserve related to an investment held by one of our diversified funds while recoverability is being evaluated.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of the managed capital for the three months ended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Managed Capital</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492,542</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4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48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495,217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managed capital for our investment fund portfolios as of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49,289</w:t>
            </w:r>
          </w:p>
        </w:tc>
      </w:tr>
      <w:tr>
        <w:trPr>
          <w:trHeight w:val="230"/>
        </w:trPr>
        <w:tc>
          <w:tcPr>
            <w:tcW w:w="68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Caliber Hospitality Trust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97,037</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103,961</w:t>
            </w: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182,687</w:t>
            </w: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180,569</w:t>
            </w:r>
          </w:p>
        </w:tc>
      </w:tr>
      <w:tr>
        <w:trPr>
          <w:trHeight w:val="223"/>
        </w:trPr>
        <w:tc>
          <w:tcPr>
            <w:tcW w:w="6820" w:type="dxa"/>
            <w:vAlign w:val="bottom"/>
          </w:tcPr>
          <w:p>
            <w:pPr>
              <w:ind w:left="520"/>
              <w:spacing w:after="0" w:line="223" w:lineRule="exact"/>
              <w:rPr>
                <w:sz w:val="20"/>
                <w:szCs w:val="20"/>
                <w:color w:val="auto"/>
              </w:rPr>
            </w:pPr>
            <w:r>
              <w:rPr>
                <w:rFonts w:ascii="Times New Roman" w:cs="Times New Roman" w:eastAsia="Times New Roman" w:hAnsi="Times New Roman"/>
                <w:sz w:val="18"/>
                <w:szCs w:val="18"/>
                <w:color w:val="auto"/>
              </w:rPr>
              <w:t>Total Real Estate</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430,856</w:t>
            </w:r>
          </w:p>
        </w:tc>
      </w:tr>
      <w:tr>
        <w:trPr>
          <w:trHeight w:val="27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82,163</w:t>
            </w:r>
          </w:p>
        </w:tc>
      </w:tr>
      <w:tr>
        <w:trPr>
          <w:trHeight w:val="27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489,584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9"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earn a fund management fee of 0.70% of CHT’s enterprise value and are reimbursed for certain costs incurred on behalf of CHT.</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include capital raised from our investors through corporate note issuances that was further invested in our funds in Managed Capital. At each of March 31, 2026, and December 31, 2025, we had invested $11.6 million in our funds.</w:t>
      </w:r>
    </w:p>
    <w:p>
      <w:pPr>
        <w:ind w:left="340" w:hanging="332"/>
        <w:spacing w:after="0" w:line="219" w:lineRule="auto"/>
        <w:tabs>
          <w:tab w:leader="none" w:pos="197"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Credit managed capital represents loans made to our investment funds by us and our diversified funds. At each of March 31, 2026 and December 31, 2025, we had loaned $9.8 million and $8.5 million to our funds.</w:t>
      </w:r>
    </w:p>
    <w:p>
      <w:pPr>
        <w:spacing w:after="0" w:line="1" w:lineRule="exact"/>
        <w:rPr>
          <w:rFonts w:ascii="Times New Roman" w:cs="Times New Roman" w:eastAsia="Times New Roman" w:hAnsi="Times New Roman"/>
          <w:sz w:val="23"/>
          <w:szCs w:val="23"/>
          <w:color w:val="auto"/>
          <w:vertAlign w:val="superscript"/>
        </w:rPr>
      </w:pPr>
    </w:p>
    <w:p>
      <w:pPr>
        <w:ind w:left="180" w:hanging="172"/>
        <w:spacing w:after="0" w:line="204" w:lineRule="auto"/>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managed capital represents undeployed capital held in our diversified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capital activity for our hospitality investment funds and CHT was effectively flat for the three months ended March 31, 2026.</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Managed capital for our residential investment funds increased by $2.9 million during the three months ended March 31, 2026, due to: (i) $0.4 million in capital raised into our residential assets, and (ii) $2.5 million contributed by our diversified funds.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Managed capital for our commercial investment funds increased by $2.1 million during the three months ended March 31, 2026, due to: (i) $0.4 million in capital raised into our commercial assets, and (ii) $1.7 million contributed by our diversified funds. The scope of investments included tenant improvements, land development, and acquiring existing operating commercial properties.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credit managed capital decrease was driven by the sale of assets by our investment funds, as well as the recording of an impairment reserve related to an investment held by one of our diversified funds.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FV AUM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table below details the activities that had an impact on our FV AUM, during the three months ended March 31, 2026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FV AUM</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779,730</w:t>
            </w: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acquired</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net of market depreciation</w:t>
            </w:r>
          </w:p>
        </w:tc>
        <w:tc>
          <w:tcPr>
            <w:tcW w:w="6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29"/>
        </w:trPr>
        <w:tc>
          <w:tcPr>
            <w:tcW w:w="82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Assets sold</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r>
      <w:tr>
        <w:trPr>
          <w:trHeight w:val="27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spacing w:after="0"/>
              <w:rPr>
                <w:sz w:val="23"/>
                <w:szCs w:val="23"/>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w:t>
            </w:r>
          </w:p>
        </w:tc>
      </w:tr>
      <w:tr>
        <w:trPr>
          <w:trHeight w:val="270"/>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6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March 31, 2026</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736,351</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table below details the activities that had an impact on our FV AUM, during the </w:t>
      </w:r>
      <w:r>
        <w:rPr>
          <w:rFonts w:ascii="Times New Roman" w:cs="Times New Roman" w:eastAsia="Times New Roman" w:hAnsi="Times New Roman"/>
          <w:sz w:val="18"/>
          <w:szCs w:val="18"/>
          <w:color w:val="000000"/>
        </w:rPr>
        <w:t>three months ended March 31, 2025</w:t>
      </w:r>
      <w:r>
        <w:rPr>
          <w:rFonts w:ascii="Times New Roman" w:cs="Times New Roman" w:eastAsia="Times New Roman" w:hAnsi="Times New Roman"/>
          <w:sz w:val="18"/>
          <w:szCs w:val="18"/>
          <w:color w:val="231F20"/>
        </w:rPr>
        <w:t xml:space="preserv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FV AUM</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794,923</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CHT contribution</w:t>
            </w:r>
          </w:p>
        </w:tc>
        <w:tc>
          <w:tcPr>
            <w:tcW w:w="6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net market appreciation</w:t>
            </w:r>
          </w:p>
        </w:tc>
        <w:tc>
          <w:tcPr>
            <w:tcW w:w="6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w:t>
            </w: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(3)</w:t>
            </w:r>
          </w:p>
        </w:tc>
        <w:tc>
          <w:tcPr>
            <w:tcW w:w="62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7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620" w:type="dxa"/>
            <w:vAlign w:val="bottom"/>
            <w:tcBorders>
              <w:bottom w:val="single" w:sz="8" w:color="auto"/>
            </w:tcBorders>
            <w:shd w:val="clear" w:color="auto" w:fill="CCEEFF"/>
          </w:tcPr>
          <w:p>
            <w:pPr>
              <w:spacing w:after="0"/>
              <w:rPr>
                <w:sz w:val="23"/>
                <w:szCs w:val="23"/>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March 31, 2025</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830,758</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FV AUM of our investment fund portfolios as of March 31, 2026 and December 31, 2025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55,600</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Caliber Hospitality Trust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191,900</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165,900</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280,700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r>
      <w:tr>
        <w:trPr>
          <w:trHeight w:val="223"/>
        </w:trPr>
        <w:tc>
          <w:tcPr>
            <w:tcW w:w="6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Real Estate</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693,400</w:t>
            </w:r>
          </w:p>
        </w:tc>
      </w:tr>
      <w:tr>
        <w:trPr>
          <w:trHeight w:val="230"/>
        </w:trPr>
        <w:tc>
          <w:tcPr>
            <w:tcW w:w="68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82,163</w:t>
            </w:r>
          </w:p>
        </w:tc>
      </w:tr>
      <w:tr>
        <w:trPr>
          <w:trHeight w:val="229"/>
        </w:trPr>
        <w:tc>
          <w:tcPr>
            <w:tcW w:w="68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736,351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779,730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ind w:left="320" w:hanging="312"/>
        <w:spacing w:after="0" w:line="220" w:lineRule="auto"/>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Assets acquired during the three months ended March 31, 2026 include one land parcel intended for hotel development in Colorado.</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Assets sold during the three months ended March 31, 2026 include one multi-family residential asset.</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Credit FV AUM represents loans made to our investment funds by our diversified credit fund.</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FV AUM represents undeployed capital held in our diversified funds.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Development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several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If we complete all AUD at March 31, 2026, up through sale, we estimate we could earn up to $98.9 million in performance allocations. As of March 31, 2026, we are actively developing 1,776 multifamily units, 497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party, is $1.8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w:t>
      </w:r>
      <w:r>
        <w:rPr>
          <w:rFonts w:ascii="Times New Roman" w:cs="Times New Roman" w:eastAsia="Times New Roman" w:hAnsi="Times New Roman"/>
          <w:sz w:val="18"/>
          <w:szCs w:val="18"/>
          <w:color w:val="000000"/>
        </w:rPr>
        <w:t>provide investors a view of the performance attributable to us</w:t>
      </w:r>
      <w:r>
        <w:rPr>
          <w:rFonts w:ascii="Times New Roman" w:cs="Times New Roman" w:eastAsia="Times New Roman" w:hAnsi="Times New Roman"/>
          <w:sz w:val="18"/>
          <w:szCs w:val="18"/>
          <w:color w:val="231F20"/>
        </w:rPr>
        <w:t>.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Platform or Platform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52525"/>
        </w:rPr>
        <w:t>Platform refers to the performance of our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us because it communicates performance of us that would be most useful for understanding the value of CWD.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Earnings and Related Components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Fee-Related Earnings is a supplemental non-GAAP performance measure used to assess our ability to generate profits from fee-based revenues focusing on whether our core revenue streams are sufficient to cover our core operating expenses. Fee-Related Earnings represents our net income (loss) before income taxes adjusted to exclude depreciation and amortization, stock-based compensation, interest expense and extraordinary or non-recurring revenue and expenses, including performance allocation revenue and change in fair value of digital assets,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U.S. GAAP results assessing the amount of earnings available for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P</w:t>
      </w:r>
      <w:r>
        <w:rPr>
          <w:rFonts w:ascii="Times New Roman" w:cs="Times New Roman" w:eastAsia="Times New Roman" w:hAnsi="Times New Roman"/>
          <w:sz w:val="18"/>
          <w:szCs w:val="18"/>
          <w:b w:val="1"/>
          <w:bCs w:val="1"/>
          <w:i w:val="1"/>
          <w:iCs w:val="1"/>
          <w:color w:val="000000"/>
        </w:rPr>
        <w:t>latform Earnings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Platform Earnings represents the performance of our asset management platform segment, which generates revenues and expenses from managing our investment portfolio, excluding any consolidated assets or funds. We evaluate recurring earnings capacity through fee-related earnings, defined as fund management fees, financing fees, development and construction fees, organizational and offering fees, and brokerage fees, less direct operating expenses. We believe this measure provides investors with insight into the recurring operating profile of our asset management platform independent of performance allocation timing.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Platform Earnings per Share is calculated as Platform Earnings divided by weighted average CWD common shares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Adjusted EBITDA</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Adjusted EBITDA represents our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Basic and Diluted Earnings Per Share (“EPS”)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attributable to CaliberCos Inc. to Fee-Related Earnings, Distributable Earnings, Platform </w:t>
      </w:r>
      <w:r>
        <w:rPr>
          <w:rFonts w:ascii="Times New Roman" w:cs="Times New Roman" w:eastAsia="Times New Roman" w:hAnsi="Times New Roman"/>
          <w:sz w:val="18"/>
          <w:szCs w:val="18"/>
          <w:color w:val="231F20"/>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EBITDA, and Consolidated Adjusted EBITDA </w:t>
      </w:r>
      <w:r>
        <w:rPr>
          <w:rFonts w:ascii="Times New Roman" w:cs="Times New Roman" w:eastAsia="Times New Roman" w:hAnsi="Times New Roman"/>
          <w:sz w:val="18"/>
          <w:szCs w:val="18"/>
          <w:color w:val="000000"/>
        </w:rPr>
        <w:t>for the three months ended March 31, 2026 and 2025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(4,407)</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7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(4,554)</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7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(4,554)</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fee-related earnings</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impairment</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7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(1,384)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7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(1,578)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(2,961)</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Caliber Adjusted EBITDA</w:t>
            </w:r>
          </w:p>
        </w:tc>
        <w:tc>
          <w:tcPr>
            <w:tcW w:w="27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 Adjusted EBITDA</w:t>
            </w:r>
          </w:p>
        </w:tc>
        <w:tc>
          <w:tcPr>
            <w:tcW w:w="2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(1,352)</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EBITDA Adjustments</w:t>
            </w:r>
          </w:p>
        </w:tc>
        <w:tc>
          <w:tcPr>
            <w:tcW w:w="27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9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share and per share amounts in the Platform and Consolidated, basic and diluted earnings per share calculations below have been affected for the Reverse Stock Split, retroactively, for all periods presented.</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revenues, expenses and net income to the most comparable U.S. GAAP measure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4"/>
                <w:szCs w:val="1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8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0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29"/>
        </w:trPr>
        <w:tc>
          <w:tcPr>
            <w:tcW w:w="58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58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8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29"/>
        </w:trPr>
        <w:tc>
          <w:tcPr>
            <w:tcW w:w="58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58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3"/>
        </w:trPr>
        <w:tc>
          <w:tcPr>
            <w:tcW w:w="58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8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30"/>
        </w:trPr>
        <w:tc>
          <w:tcPr>
            <w:tcW w:w="5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8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8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32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CCEDFF"/>
            </w:tcBorders>
          </w:tcPr>
          <w:p>
            <w:pPr>
              <w:spacing w:after="0" w:line="20" w:lineRule="exact"/>
              <w:rPr>
                <w:sz w:val="1"/>
                <w:szCs w:val="1"/>
                <w:color w:val="auto"/>
              </w:rPr>
            </w:pPr>
          </w:p>
        </w:tc>
        <w:tc>
          <w:tcPr>
            <w:tcW w:w="1440" w:type="dxa"/>
            <w:vAlign w:val="bottom"/>
            <w:tcBorders>
              <w:bottom w:val="single" w:sz="8" w:color="CCEDFF"/>
            </w:tcBorders>
          </w:tcPr>
          <w:p>
            <w:pPr>
              <w:spacing w:after="0" w:line="20" w:lineRule="exact"/>
              <w:rPr>
                <w:sz w:val="1"/>
                <w:szCs w:val="1"/>
                <w:color w:val="auto"/>
              </w:rPr>
            </w:pPr>
          </w:p>
        </w:tc>
        <w:tc>
          <w:tcPr>
            <w:tcW w:w="10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DFF"/>
          </w:tcPr>
          <w:p>
            <w:pPr>
              <w:spacing w:after="0"/>
              <w:rPr>
                <w:sz w:val="17"/>
                <w:szCs w:val="17"/>
                <w:color w:val="auto"/>
              </w:rPr>
            </w:pPr>
          </w:p>
        </w:tc>
        <w:tc>
          <w:tcPr>
            <w:tcW w:w="14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300" w:type="dxa"/>
            <w:vAlign w:val="bottom"/>
            <w:shd w:val="clear" w:color="auto" w:fill="CCEDFF"/>
          </w:tcPr>
          <w:p>
            <w:pPr>
              <w:spacing w:after="0"/>
              <w:rPr>
                <w:sz w:val="17"/>
                <w:szCs w:val="17"/>
                <w:color w:val="auto"/>
              </w:rPr>
            </w:pPr>
          </w:p>
        </w:tc>
        <w:tc>
          <w:tcPr>
            <w:tcW w:w="144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50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1280" w:type="dxa"/>
            <w:vAlign w:val="bottom"/>
            <w:tcBorders>
              <w:top w:val="single" w:sz="8" w:color="0000FF"/>
            </w:tcBorders>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D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50"/>
        </w:trPr>
        <w:tc>
          <w:tcPr>
            <w:tcW w:w="1280" w:type="dxa"/>
            <w:vAlign w:val="bottom"/>
            <w:shd w:val="clear" w:color="auto" w:fill="CCEDFF"/>
          </w:tcPr>
          <w:p>
            <w:pPr>
              <w:spacing w:after="0"/>
              <w:rPr>
                <w:sz w:val="21"/>
                <w:szCs w:val="21"/>
                <w:color w:val="auto"/>
              </w:rPr>
            </w:pPr>
          </w:p>
        </w:tc>
        <w:tc>
          <w:tcPr>
            <w:tcW w:w="450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D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DFF"/>
            </w:tcBorders>
          </w:tcPr>
          <w:p>
            <w:pPr>
              <w:spacing w:after="0" w:line="20" w:lineRule="exact"/>
              <w:rPr>
                <w:sz w:val="1"/>
                <w:szCs w:val="1"/>
                <w:color w:val="auto"/>
              </w:rPr>
            </w:pPr>
          </w:p>
        </w:tc>
        <w:tc>
          <w:tcPr>
            <w:tcW w:w="450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tcBorders>
              <w:bottom w:val="single" w:sz="8" w:color="CCEDFF"/>
            </w:tcBorders>
            <w:gridSpan w:val="2"/>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Borders>
              <w:bottom w:val="single" w:sz="8" w:color="auto"/>
            </w:tcBorders>
            <w:shd w:val="clear" w:color="auto" w:fill="CCED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DFF"/>
            </w:tcBorders>
            <w:shd w:val="clear" w:color="auto" w:fill="CCEDFF"/>
          </w:tcPr>
          <w:p>
            <w:pPr>
              <w:spacing w:after="0"/>
              <w:rPr>
                <w:sz w:val="18"/>
                <w:szCs w:val="18"/>
                <w:color w:val="auto"/>
              </w:rPr>
            </w:pPr>
          </w:p>
        </w:tc>
        <w:tc>
          <w:tcPr>
            <w:tcW w:w="300" w:type="dxa"/>
            <w:vAlign w:val="bottom"/>
            <w:tcBorders>
              <w:bottom w:val="single" w:sz="8" w:color="CCEDFF"/>
            </w:tcBorders>
            <w:shd w:val="clear" w:color="auto" w:fill="CCEDFF"/>
          </w:tcPr>
          <w:p>
            <w:pPr>
              <w:spacing w:after="0"/>
              <w:rPr>
                <w:sz w:val="18"/>
                <w:szCs w:val="18"/>
                <w:color w:val="auto"/>
              </w:rPr>
            </w:pPr>
          </w:p>
        </w:tc>
        <w:tc>
          <w:tcPr>
            <w:tcW w:w="1440" w:type="dxa"/>
            <w:vAlign w:val="bottom"/>
            <w:tcBorders>
              <w:bottom w:val="single" w:sz="8" w:color="CCEDFF"/>
            </w:tcBorders>
            <w:shd w:val="clear" w:color="auto" w:fill="CCEDFF"/>
          </w:tcPr>
          <w:p>
            <w:pPr>
              <w:spacing w:after="0"/>
              <w:rPr>
                <w:sz w:val="18"/>
                <w:szCs w:val="18"/>
                <w:color w:val="auto"/>
              </w:rPr>
            </w:pPr>
          </w:p>
        </w:tc>
        <w:tc>
          <w:tcPr>
            <w:tcW w:w="140" w:type="dxa"/>
            <w:vAlign w:val="bottom"/>
            <w:tcBorders>
              <w:bottom w:val="single" w:sz="8" w:color="CCEDFF"/>
            </w:tcBorders>
            <w:shd w:val="clear" w:color="auto" w:fill="CCEDFF"/>
          </w:tcPr>
          <w:p>
            <w:pPr>
              <w:spacing w:after="0"/>
              <w:rPr>
                <w:sz w:val="18"/>
                <w:szCs w:val="18"/>
                <w:color w:val="auto"/>
              </w:rPr>
            </w:pPr>
          </w:p>
        </w:tc>
        <w:tc>
          <w:tcPr>
            <w:tcW w:w="220" w:type="dxa"/>
            <w:vAlign w:val="bottom"/>
            <w:tcBorders>
              <w:bottom w:val="single" w:sz="8" w:color="auto"/>
            </w:tcBorders>
            <w:shd w:val="clear" w:color="auto" w:fill="CCED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DFF"/>
              <w:bottom w:val="single" w:sz="8" w:color="CCED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DFF"/>
          </w:tcPr>
          <w:p>
            <w:pPr>
              <w:spacing w:after="0"/>
              <w:rPr>
                <w:sz w:val="21"/>
                <w:szCs w:val="21"/>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spacing w:after="0"/>
              <w:rPr>
                <w:sz w:val="21"/>
                <w:szCs w:val="21"/>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DFF"/>
            </w:tcBorders>
          </w:tcPr>
          <w:p>
            <w:pPr>
              <w:spacing w:after="0" w:line="20" w:lineRule="exact"/>
              <w:rPr>
                <w:sz w:val="1"/>
                <w:szCs w:val="1"/>
                <w:color w:val="auto"/>
              </w:rPr>
            </w:pPr>
          </w:p>
        </w:tc>
        <w:tc>
          <w:tcPr>
            <w:tcW w:w="450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the Company’s corporate note portfolio consisted of 148 unsecured notes with an aggregate principal balance of $26.2 million, compared to 178 unsecured notes with an aggregate principal balance of $29.6 million at December 31, 2025 and 196 unsecured notes with an aggregate principal balance of $33.2 million at March 31, 2025, a 21.1% decrease year over year. The notes generally have either a 12-month or 36-month term, with the 12-month note holders having the option to extend for an additional 12-month term. As of May 13, 2026, an aggregate of $21.1 million of corporate and convertible notes mature within the 12-month period subsequent to when these condensed consolidated financial statements were issued.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operating losses and negative cash flow from operations, and may experience additional operating losses and negative cash flow in the near term. The Company does not have sufficient cash and other liquid assets on-hand to satisfy these maturities in full. These conditions and events raise substantial doubt about the Company’s ability to continue as a going concern. In response to these conditions, management considered the impact of the Company’s near-term maturities and the status of related plans intended to address them.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satisfy the maturity of these corporate notes, the Company intends to continue executing on the following strategies, which the Company has been actively pursuing during 2025 and the first quarter of 2026:</w:t>
      </w:r>
    </w:p>
    <w:p>
      <w:pPr>
        <w:spacing w:after="0" w:line="131" w:lineRule="exact"/>
        <w:rPr>
          <w:sz w:val="20"/>
          <w:szCs w:val="20"/>
          <w:color w:val="auto"/>
        </w:rPr>
      </w:pPr>
    </w:p>
    <w:p>
      <w:pPr>
        <w:jc w:val="both"/>
        <w:ind w:left="660" w:hanging="328"/>
        <w:spacing w:after="0" w:line="268" w:lineRule="auto"/>
        <w:tabs>
          <w:tab w:leader="none" w:pos="64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 A+ Series AA Preferred Stock Offering. </w:t>
      </w:r>
      <w:r>
        <w:rPr>
          <w:rFonts w:ascii="Times New Roman" w:cs="Times New Roman" w:eastAsia="Times New Roman" w:hAnsi="Times New Roman"/>
          <w:sz w:val="18"/>
          <w:szCs w:val="18"/>
          <w:color w:val="auto"/>
        </w:rPr>
        <w:t>Raise up to $20.0 million of Series AA Preferred Stock through the Company’s Reg A+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was qualified on March 12, 2025. From program inception through May 13, 2026, the Company has raised $8.7 million in proceeds from its Series AA Preferred Stock.</w:t>
      </w:r>
    </w:p>
    <w:p>
      <w:pPr>
        <w:spacing w:after="0" w:line="130"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 Refinancing into 36-Month Term Program. </w:t>
      </w:r>
      <w:r>
        <w:rPr>
          <w:rFonts w:ascii="Times New Roman" w:cs="Times New Roman" w:eastAsia="Times New Roman" w:hAnsi="Times New Roman"/>
          <w:sz w:val="18"/>
          <w:szCs w:val="18"/>
          <w:color w:val="auto"/>
        </w:rPr>
        <w:t>Refinance existing 12-month term corporate notes into the Company’s 36-month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note program. From program inception through May 13, 2026, the Company has refinanced $6.4 million of 12-month term corporate notes into the 36-month term program.</w:t>
      </w:r>
    </w:p>
    <w:p>
      <w:pPr>
        <w:spacing w:after="0" w:line="130"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 Conversion Program. </w:t>
      </w:r>
      <w:r>
        <w:rPr>
          <w:rFonts w:ascii="Times New Roman" w:cs="Times New Roman" w:eastAsia="Times New Roman" w:hAnsi="Times New Roman"/>
          <w:sz w:val="18"/>
          <w:szCs w:val="18"/>
          <w:color w:val="auto"/>
        </w:rPr>
        <w:t>Convert corporate notes into shares of Caliber Class A common stock or Series AAA Convertible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Company’s note conversion program (the “Program”), launched in October 2025. Under the Program, holders of outstanding promissory notes may elect to convert all or part of their notes into Class A common stock at a per share conversion price equaling the lower of (i) the average closing price of the Company’s Class A common stock over the five trading days prior to the execution, or (ii) the closing bid price of the Company’s Class A common stock the business day preceding execution, or, alternatively into shares of Series AAA Convertible Preferred Stock. From program inception through May 13, 2026, the Company has successfully converted $3.8 million of corporate notes into 22,726 shares of Class A common stock at conversion prices ranging from $1.06 to $3.72 per share, and an additional $1.5 million of corporate notes into 1,529 shares of Series AAA Convertible Preferred Stock subsequent to March 31, 2026.</w:t>
      </w:r>
    </w:p>
    <w:p>
      <w:pPr>
        <w:spacing w:after="0" w:line="157"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4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Issuances Through ELOC and ATM Facilities. </w:t>
      </w:r>
      <w:r>
        <w:rPr>
          <w:rFonts w:ascii="Times New Roman" w:cs="Times New Roman" w:eastAsia="Times New Roman" w:hAnsi="Times New Roman"/>
          <w:sz w:val="18"/>
          <w:szCs w:val="18"/>
          <w:color w:val="auto"/>
        </w:rPr>
        <w:t>Raise additional equity through the Company’s existing equity line of credit (“ELOC”)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at-the-market (“ATM”) facilities, with a portion of the proceeds allocated to general corporate purposes. From program inception through May 13, 2026, the Company generated $38.7 million in net cash from equity issuances across all sources.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financing actions noted, management continues to execute various plans implemented to address operating losses and near-term maturities or demands for repayment of its notes. Consistent with actions taken in prior reporting periods, these plans include: i) further reducing operating costs, including the workforce reductions implemented in 2025 that are expected to generate annualized cost savings of $3.9 million in compensation and employee benefit expenses in 2026; ii) collecting all or part of the Company’s $11.2 million in accounts receivable; iii) collecting all or part of its $11.6 million in investments from its managed funds, iv) continuing to expand fundraising channels and managed capital; v) selling or accepting outside investment into the Company’s corporate headquarters; vi) placing debt on unencumbered assets; and vii) generating planned cash flow from operations through the execution of the Company’s existing project pipeline.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executed against these plans and, among other things: (i) collected $4.4 million in notes receivable from related parties; (ii) collected $3.7 million in accounts receivable; (iii) issued $0.7 million of Series AA Preferred Stock under its Regulation A+ offering; and (iv) entered into binding agreements to convert $3.5 million of corporate notes into Class A common stock and Series AAA Convertible Preferred Stock. As a result of these and prior period actions, the Company’s aggregate corporate note balance decreased from $29.6 million at December 31, 2025 to $26.2 million at March 31, 2026.</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consideration of the implemented and planned actions, management concluded these plans depend on actions of third parties; including noteholders, investors, lenders, and counterparties, and accordingly cannot be deemed probable of being effectively implemented under ASC 205-40. As a result, the Company has concluded that management’s plans do not alleviate substantial doubt about the Company’s ability to continue as a going concern.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continues to pursue these plans and advance its existing project pipeline to address the near-term funding gap; however, no assurance can be provided that such plans will be successful or implemented in a timely manner sufficient to alleviate substantial doubt about the Company’s ability to continue as a going concern.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us for services performed by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Debt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have issued and outstanding unsecured promissory notes of $26.2 million with an average outstanding principal balance of $0.2 million, a weighted average interest rate of 11.06%, and maturity dates ranging from January 2024 to March 2028. The purpose of this financing program is to provide us with flexible, short-term capital to be used to grow its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management and assist funds in a fast-moving acquisition or investment, as well as general corporate purposes. Additionally, the program provides customers of our funds access to a short-term lending opportunity. Management actively manages each relationship to determine if the respective customer would like to redeem upon maturity or extend for an additional period of time. This outstanding debt resulted in interest expense of $0.8 million and $0.9 million for the three months ended March 31, 2026 and 2025,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below discusses in more detail our primary sources and uses of cash and primary drivers of cash flows within the our condensed consolidated statements of cash flows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58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(897)</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6"/>
              </w:rPr>
              <w:t>500</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(873)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of our consolidated funds, on a gross basis, can be substantially larger than the assets of our core business and, accordingly could have a substantial effect on the accompanying statements of cash flows. The table below summarizes our condensed consolidated statements of cash flow by activity attributable to us and to our consolidated funds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the consolidated funds' operating activities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consolidated funds'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the consolidated funds' financing activities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0"/>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cash flows from operating activities are generally comprised of asset management revenues and performance allocations, less cash used for operating expenses, including interest paid on our debt obligations. Net cash flows used in operating activities of the Company decreased during the three months ended March 31, 2026 as compared to the same period in 2025, which was primarily related to decreases in payroll and payroll related expenses paid and interest expense paid, and an increase in revenues. Net cash flows used in operating activities of the consolidated funds increased during the three months ended March 31, 2026, as compared to net cash flows provided by operating activities during the same period in 2025, which was primarily related to the consolidation of VIEs.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investing activities of the Company increased during the three months ended March 31, 2026, as compared to the same period in 2025, which was primarily related to an increase in net funding of related party notes receivable. The increase in net cash flows provided by investing activities of the consolidated funds during the three months ended March 31, 2026, as compared to the same period in 2025, is primarily due to the consolidation of VIEs.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flows provided by financing activities of the Company decreased during the three months ended March 31, 2026 as compared to the same period in 2025. The decrease was primarily due to an decrease in the net proceeds from notes payable, offset by an increase in net proceeds from the issuance of redeemable preferred stock. The increase in net cash flows provided by financing activities of the consolidated funds during the three months ended March 31, 2026, as compared to the net cash flows used in financing activities during the same period in 2025, is primarily due to an increase in contributions from noncontrolling interest holders and a decrease in distributions to noncontrolling interest 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 of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our more significant estimates and judgments used in the preparation of our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our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its anticipated performance and all information that is reasonably available to us. Revenues are recognized when control of the promised services is transferred to customers in an amount that reflects the consideration we expect to be entitled to in exchange for those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we earn from providing services under our asset management Platform: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CHT, we earn a fund management fee of 0.7% of CHT’s enterprise value and are reimbursed for certain costs incurred on behalf of CHT. These revenues are included in asset management revenues in the accompanying condensed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These revenues are included in asset management revenues in the accompanying condensed consolidated statements of operations.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condensed consolidated statements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condensed consolidated statements of operations.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w:t>
      </w:r>
    </w:p>
    <w:p>
      <w:pPr>
        <w:spacing w:after="0" w:line="1" w:lineRule="exact"/>
        <w:rPr>
          <w:sz w:val="20"/>
          <w:szCs w:val="20"/>
          <w:color w:val="auto"/>
        </w:rPr>
      </w:pPr>
    </w:p>
    <w:p>
      <w:pPr>
        <w:jc w:val="both"/>
        <w:ind w:firstLine="8"/>
        <w:spacing w:after="0" w:line="252" w:lineRule="auto"/>
        <w:tabs>
          <w:tab w:leader="none" w:pos="2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digital assets in accordance with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ASU 2023-08 requires in-scope crypto assets (including our LINK holdings) to be measured at fair value in the statement of financial position, with gains and losses from changes in the fair value of such crypto assets recognized in net income (loss) each reporting period. ASU 2023-08 also requires certain interim and annual disclosures for crypto assets within the scope of the standard. We adopted this guidance effective September 9, 2025, upon the completion of our initial purchase of LINK as part of the inauguration of its digital asset treasury strategy.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initially record our LINK purchases at cost, with any subsequent changes in fair value recognized as incurred in the accompanying condensed consolidated statements of operations. The fair value of our LINK is adjusted and disclosed within the accompanying condensed consolidated balance sheets at the end of each reporting period. We determine the fair value of our LINK holdings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based on quoted (unadjusted) prices on the Coinbase exchange, the active exchange that we have determined is our principal market for LINK (Level 1 inputs). In the event of a sale, we will calculate the gain or loss to be recognized as the difference between the sales price, net of transaction costs, and the carrying value of the LINK tokens sold immediately prior to sale. We use the first-in, first-out cost basis method when calculating the gain or loss on 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under the asset and liability method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enactment date. Valuation allowances are provided against deferred tax assets when it is more-likely-than-not that some portion or all of the deferred tax assets will not be realized.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required to reduce the balance of a deferred tax asset if it is determined that it is more-likely-than-not that all or some portion of the deferred tax asset will not be realized due to the lack of sufficient taxable income or other limitation on our ability to utilize the loss carryforward.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impact of an income tax position, if that position is more-likely-than-not of being sustained on audit, based on the technical merits of the position. Related interest and penalties are classified as income taxes in the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of Consolidated Funds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consolidated funds’ more significant estimates and judgments used in the preparation of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the Company deconsolidated DoubleTree by Hilton Tucson Convention Center (“TCC”), which was the only consolidated fund with hospitality revenues. Accordingly, following the deconsolidation of TCC, the Company no longer has hospitality revenue. The below policy applies to hospitality revenue recognized prior to the deconsolidation of TCC.</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primarily consists of rental revenue of $0.6 million and $0.1 million for the three months ended March 31, 2026 and 2025, respectively. Rental revenue includes the revenues generated primarily by the rental operations of the residential and commercial properties of our consolidated funds.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the consolidated funds, gain on extinguishment of debt, insurance expenses, professional fees and other costs associated with administering and supporting those funds.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risk associated with financial instruments and derivative financial instruments is the risk of loss from adverse changes in market prices or interest rates. Our market risk arises primarily from volatility in the digital asset market relating to LINK tokens and interest rate risk relating to variable-rate borrowings.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digital asset markets have experienced significant price volatility, limited liquidity and trading volumes relative to sovereign currency markets, a developing regulatory environment, and risks related to market abuse, manipulation, and compliance or internal control failures at exchanges. These risks are heightened by the electronic and decentralized nature of digital assets. During periods of market instability, we may be unable to sell our LINK tokens at favorable prices, or at all.</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LINK held with custodians or transacted through trading partners are not subject to the protections available for cash or securities held with institutions regulated by the FDIC or the Securities Investor Protection Corporation. We may also be unable to obtain term loans or complete other capital-raising transactions using our unencumbered LINK holdings as collateral, particularly during periods of market stress or following significant declines in the price of LINK. If we are unable to transact in LINK, raise capital using LINK as collateral, or otherwise generate liquidity from our LINK holdings— and especially if we are required to sell LINK at a substantial loss to meet working capital requirements—our business and financial condition could be materially and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LINK digital asset treasury strategy,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time-to-time,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debt included fixed-rate debt with a fair value and carrying value of $56.4 million and $61.6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debt included variable-rate debt with a fair value and carrying value of $49.0 million. The sensitivity analysis related to our variable-rate debt assumes an immediate 100 basis point move in interest rates from their March 31, 2026 levels, with all other variables held constant. A 100 basis point increase or decrease in variable interest rates on our variable-rate debt would increase or decrease our interest expense by $0.5 million annually.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our revenues are generated from the management, ownership and/or operations of real estate assets located across the United States. We mitigate the associated risk by:</w:t>
      </w:r>
    </w:p>
    <w:p>
      <w:pPr>
        <w:spacing w:after="0" w:line="121"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March 31, 2026 and determined that the disclosure controls and procedures were effective at a reasonable assurance level as of that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occurred in our internal control over financial reporting (as defined in Rules 13a-15(f) and 15d -15(f) of the Exchange Act) during the three months ended March 31, 2026 that has materially affected, or is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 Legal Proceedings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risk factors previously disclosed in the Risk Factors section in our annual report on Form 10-K filed with the SEC on March 26, 2026. In addition to the risks set forth in our Annual Report on Form 10-K for the year ended December 31, 2025, additional risks and uncertainties not currently known to us or that we currently deem to be immaterial may also materially and adversely affect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20, 2026, the Company issued 63,472 shares of Class A common stock to an institutional investor upon the investor’s exercise of its option to convert 15,868 shares of Series B Preferred Stock into common stock. In September 2025, the Company entered into a securities purchase agreement with the investor, pursuant to which the Company issued 15,868 shares of Series B Preferred Stock to the investor. The shares of Series B Preferred Stock are convertible, at the holder’s option, at the conversion rate set forth in the securities purchase agreement. The issuance of the Series B Preferred Stock was not registered under the Securities Act of 1933, as amended, or any state securities laws, and was effected in reliance on the exemption from registration provided by Section 4(a)(2) of the Securities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Trading Plans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(as defined in Rule 16a-1(f) of the Exchange Act) of the Company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7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Third Amended and Restated Certificate of Incorporation of CaliberCos Inc. (incorporated by reference to Exhibit 3.1 of</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CaliberCos Inc.’s Form 8-K filed with the SEC on May 19, 2023</w:t>
              </w:r>
            </w:hyperlink>
          </w:p>
        </w:tc>
        <w:tc>
          <w:tcPr>
            <w:tcW w:w="4020" w:type="dxa"/>
            <w:vAlign w:val="bottom"/>
            <w:tcBorders>
              <w:top w:val="single" w:sz="8" w:color="0000FF"/>
            </w:tcBorders>
            <w:gridSpan w:val="10"/>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Bylaws of CaliberCos Inc. (incorporated by reference to Exhibit 3.2 of CaliberCos Inc.’s Form 8-K filed</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4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with the SEC on May 19,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Designation, Preferences and Rights relating to the Series A Convertible Preferred Stock, dated November 26, 2024</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(incorporated by reference to Exhibit 3.1 of CaliberCos Inc.’s Form 8-K filed with the SEC on December 4, 2024)</w:t>
              </w:r>
            </w:hyperlink>
          </w:p>
        </w:tc>
        <w:tc>
          <w:tcPr>
            <w:tcW w:w="116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9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Certificate of Designation, Preferences and Rights relating to the Series AA Cumulative Redeemable Preferred Stock, dated</w:t>
              </w:r>
            </w:hyperlink>
          </w:p>
        </w:tc>
        <w:tc>
          <w:tcPr>
            <w:tcW w:w="58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6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March 5, 20245 (incorporated by reference to Exhibit 3.1 of CaliberCos Inc.’s Form 8-K filed with the SEC on March 11, 2025)</w:t>
              </w:r>
            </w:hyperlink>
          </w:p>
        </w:tc>
        <w:tc>
          <w:tcPr>
            <w:tcW w:w="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Certificate of Amendment to the Third Amended and Restated Certificate of Incorporation filed on April 23, 2025 (incorporated</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by reference to Exhibit 3.1 of CaliberCos Inc.’s Form 8-K filed with the SEC on April 25, 2025)</w:t>
              </w:r>
            </w:hyperlink>
          </w:p>
        </w:tc>
        <w:tc>
          <w:tcPr>
            <w:tcW w:w="23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6</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Certificate of Adoption of Bylaw Amendment (incorporated by reference to Exhibit 3.1 of CaliberCos Inc.’s Form 8-K filed with</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3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the SEC on June 20, 2025)</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7</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Certificate of Designation, Preferences and Rights relating to the Series B Convertible Preferred Stock, dated September 11, 2025</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34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(incorporated by reference to Exhibit 3.1 of CaliberCos Inc.’s Form 8-K filed with the SEC on September 17, 2025)</w:t>
              </w:r>
            </w:hyperlink>
          </w:p>
        </w:tc>
        <w:tc>
          <w:tcPr>
            <w:tcW w:w="10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8</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Certificate of Amendment of Certificate of Incorporation (incorporated by reference to Exhibit 3.1 of CaliberCos Inc.’s Form 8-K</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filed with the SEC on February 5, 2026)</w:t>
              </w:r>
            </w:hyperlink>
          </w:p>
        </w:tc>
        <w:tc>
          <w:tcPr>
            <w:tcW w:w="6460" w:type="dxa"/>
            <w:vAlign w:val="bottom"/>
            <w:tcBorders>
              <w:top w:val="single" w:sz="8" w:color="0000FF"/>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9</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Certificate of Amendment to the Certificate of Designation for the Company’s Series A Convertible Preferred Stock (incorporated</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by reference to Exhibit 3.1 of CaliberCos Inc.’s Form 8-K filed with the SEC on April 14, 2026)</w:t>
              </w:r>
            </w:hyperlink>
          </w:p>
        </w:tc>
        <w:tc>
          <w:tcPr>
            <w:tcW w:w="250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99">
              <w:r>
                <w:rPr>
                  <w:rFonts w:ascii="Times New Roman" w:cs="Times New Roman" w:eastAsia="Times New Roman" w:hAnsi="Times New Roman"/>
                  <w:sz w:val="18"/>
                  <w:szCs w:val="18"/>
                  <w:color w:val="0000FF"/>
                  <w:w w:val="88"/>
                </w:rPr>
                <w:t>3.</w:t>
              </w:r>
            </w:hyperlink>
            <w:r>
              <w:rPr>
                <w:rFonts w:ascii="Times New Roman" w:cs="Times New Roman" w:eastAsia="Times New Roman" w:hAnsi="Times New Roman"/>
                <w:sz w:val="18"/>
                <w:szCs w:val="18"/>
                <w:u w:val="single" w:color="auto"/>
                <w:color w:val="0000FF"/>
                <w:w w:val="88"/>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Certificate of Designation, Preferences and Rights relating to the Series AAA Convertible Preferred Stock, dated April 9, 2026</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1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(incorporated by reference to Exhibit 3.2 of CaliberCos Inc.’s Form 8-K filed with the SEC on April 14, 2026)</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Description of Securities (incorporated by reference to Exhibit 4.1 of CaliberCos Inc.’s Form 10-K filed with the SEC on March</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31, 2025)</w:t>
              </w:r>
            </w:hyperlink>
          </w:p>
        </w:tc>
        <w:tc>
          <w:tcPr>
            <w:tcW w:w="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10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Class A common stock Certificate (incorporated by reference to Exhibit 4.1 to the Registrant’s Registration Statement on</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4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Form S-1/A, filed with the SEC on October 28, 2022 (File No. 333-267657))</w:t>
              </w:r>
            </w:hyperlink>
          </w:p>
        </w:tc>
        <w:tc>
          <w:tcPr>
            <w:tcW w:w="38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Amended and Restated Stockholders’ Agreement dated March 22, 2023, by and among the Company, John C. Loeffler, Jennifer</w:t>
              </w:r>
            </w:hyperlink>
          </w:p>
        </w:tc>
        <w:tc>
          <w:tcPr>
            <w:tcW w:w="2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500" w:type="dxa"/>
            <w:vAlign w:val="bottom"/>
            <w:gridSpan w:val="40"/>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Schrader and Donnie Schrader (incorporated by reference to Exhibit 4.2 to the Registrant’s Registration Statement on Form S-1/A,</w:t>
              </w:r>
            </w:hyperlink>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4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filed with the SEC on March 22, 2023 (File No. 333-267657))</w:t>
              </w:r>
            </w:hyperlink>
          </w:p>
        </w:tc>
        <w:tc>
          <w:tcPr>
            <w:tcW w:w="498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Stock Purchase Agreement dated September 21, 2018, by and among the Company and Donnie Schrader (incorporated by</w:t>
              </w:r>
            </w:hyperlink>
          </w:p>
        </w:tc>
        <w:tc>
          <w:tcPr>
            <w:tcW w:w="0" w:type="dxa"/>
            <w:vAlign w:val="bottom"/>
          </w:tcPr>
          <w:p>
            <w:pPr>
              <w:spacing w:after="0"/>
              <w:rPr>
                <w:sz w:val="1"/>
                <w:szCs w:val="1"/>
                <w:color w:val="auto"/>
              </w:rPr>
            </w:pPr>
          </w:p>
        </w:tc>
      </w:tr>
      <w:tr>
        <w:trPr>
          <w:trHeight w:val="169"/>
        </w:trPr>
        <w:tc>
          <w:tcPr>
            <w:tcW w:w="440" w:type="dxa"/>
            <w:vAlign w:val="bottom"/>
            <w:gridSpan w:val="4"/>
            <w:vMerge w:val="restart"/>
          </w:tcPr>
          <w:p>
            <w:pPr>
              <w:ind w:left="20"/>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3.1</w:t>
              </w:r>
            </w:hyperlink>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7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reference to Exhibit 3.2 of CaliberCos Inc.’s offering statement on Form 1-A (File No.024-11016), filed with the SEC on</w:t>
              </w:r>
            </w:hyperlink>
          </w:p>
        </w:tc>
        <w:tc>
          <w:tcPr>
            <w:tcW w:w="720" w:type="dxa"/>
            <w:vAlign w:val="bottom"/>
            <w:gridSpan w:val="19"/>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June 13,</w:t>
              </w:r>
            </w:hyperlink>
          </w:p>
        </w:tc>
        <w:tc>
          <w:tcPr>
            <w:tcW w:w="0" w:type="dxa"/>
            <w:vAlign w:val="bottom"/>
          </w:tcPr>
          <w:p>
            <w:pPr>
              <w:spacing w:after="0"/>
              <w:rPr>
                <w:sz w:val="1"/>
                <w:szCs w:val="1"/>
                <w:color w:val="auto"/>
              </w:rPr>
            </w:pPr>
          </w:p>
        </w:tc>
      </w:tr>
      <w:tr>
        <w:trPr>
          <w:trHeight w:val="156"/>
        </w:trPr>
        <w:tc>
          <w:tcPr>
            <w:tcW w:w="4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2019)</w:t>
              </w:r>
            </w:hyperlink>
          </w:p>
        </w:tc>
        <w:tc>
          <w:tcPr>
            <w:tcW w:w="1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Form of Warrant (incorporated by reference to Exhibit 4.1 of CaliberCos Inc.’s Form 8-K filed with the SEC on April 14, 2025)</w:t>
              </w:r>
            </w:hyperlink>
          </w:p>
        </w:tc>
        <w:tc>
          <w:tcPr>
            <w:tcW w:w="3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Note (incorporated by reference to Exhibit 4.2 of CaliberCos Inc.’s Form 8-K filed with the SEC on April 14, 2025)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2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Representative’s Warrants (incorporated by reference to Exhibit 4.1 of CaliberCos Inc.’s Form 8-K filed with the SEC on April 17,</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06">
              <w:r>
                <w:rPr>
                  <w:rFonts w:ascii="Times New Roman" w:cs="Times New Roman" w:eastAsia="Times New Roman" w:hAnsi="Times New Roman"/>
                  <w:sz w:val="18"/>
                  <w:szCs w:val="18"/>
                  <w:color w:val="0000FF"/>
                  <w:w w:val="95"/>
                </w:rPr>
                <w:t>2025)</w:t>
              </w:r>
            </w:hyperlink>
          </w:p>
        </w:tc>
        <w:tc>
          <w:tcPr>
            <w:tcW w:w="26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Rights Agreement, dated April 17, 2025, between the Company and Continental Stock Transfer &amp; Trust Company, as rights agent</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2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(incorporated by reference to Exhibit 4.2 of CaliberCos Inc.’s Form 8-K filed with the SEC on April 17, 2025)</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8">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Amendment of CaliberCos Inc. 2024 Equity Incentive Plan (incorporated by reference to Exhibit 10.1 of CaliberCos Inc.’s Form</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8-K filed with the SEC on February 5, 2026)</w:t>
              </w:r>
            </w:hyperlink>
          </w:p>
        </w:tc>
        <w:tc>
          <w:tcPr>
            <w:tcW w:w="6060" w:type="dxa"/>
            <w:vAlign w:val="bottom"/>
            <w:tcBorders>
              <w:top w:val="single" w:sz="8" w:color="0000FF"/>
            </w:tcBorders>
            <w:gridSpan w:val="23"/>
          </w:tcPr>
          <w:p>
            <w:pPr>
              <w:spacing w:after="0"/>
              <w:rPr>
                <w:sz w:val="14"/>
                <w:szCs w:val="14"/>
                <w:color w:val="auto"/>
              </w:rPr>
            </w:pPr>
          </w:p>
        </w:tc>
        <w:tc>
          <w:tcPr>
            <w:tcW w:w="20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9">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2</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Subscription Agreement for Class A common stock (incorporated by reference to Exhibit 10.1 of CaliberCos Inc.’s Form 8-K filed</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with the SEC on April 14, 2026)</w:t>
              </w:r>
            </w:hyperlink>
          </w:p>
        </w:tc>
        <w:tc>
          <w:tcPr>
            <w:tcW w:w="714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10">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3</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Subscription Agreement for Series AAA Convertible Preferred Stock (incorporated by reference to Exhibit 10.2 of CaliberCos</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Inc.’s Form 8-K filed with the SEC on April 14, 2026)</w:t>
              </w:r>
            </w:hyperlink>
          </w:p>
        </w:tc>
        <w:tc>
          <w:tcPr>
            <w:tcW w:w="5180" w:type="dxa"/>
            <w:vAlign w:val="bottom"/>
            <w:tcBorders>
              <w:top w:val="single" w:sz="8" w:color="0000FF"/>
            </w:tcBorders>
            <w:gridSpan w:val="16"/>
          </w:tcPr>
          <w:p>
            <w:pPr>
              <w:spacing w:after="0"/>
              <w:rPr>
                <w:sz w:val="14"/>
                <w:szCs w:val="14"/>
                <w:color w:val="auto"/>
              </w:rPr>
            </w:pPr>
          </w:p>
        </w:tc>
        <w:tc>
          <w:tcPr>
            <w:tcW w:w="40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w:t>
            </w:r>
          </w:p>
        </w:tc>
        <w:tc>
          <w:tcPr>
            <w:tcW w:w="326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80" w:type="dxa"/>
            <w:vAlign w:val="bottom"/>
            <w:gridSpan w:val="1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2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2**</w:t>
            </w:r>
          </w:p>
        </w:tc>
        <w:tc>
          <w:tcPr>
            <w:tcW w:w="760" w:type="dxa"/>
            <w:vAlign w:val="bottom"/>
            <w:tcBorders>
              <w:bottom w:val="single" w:sz="8" w:color="0000FF"/>
            </w:tcBorders>
          </w:tcPr>
          <w:p>
            <w:pPr>
              <w:spacing w:after="0"/>
              <w:rPr>
                <w:sz w:val="18"/>
                <w:szCs w:val="18"/>
                <w:color w:val="auto"/>
              </w:rPr>
            </w:pPr>
          </w:p>
        </w:tc>
        <w:tc>
          <w:tcPr>
            <w:tcW w:w="520" w:type="dxa"/>
            <w:vAlign w:val="bottom"/>
            <w:tcBorders>
              <w:bottom w:val="single" w:sz="8" w:color="0000FF"/>
            </w:tcBorders>
          </w:tcPr>
          <w:p>
            <w:pPr>
              <w:spacing w:after="0"/>
              <w:rPr>
                <w:sz w:val="18"/>
                <w:szCs w:val="18"/>
                <w:color w:val="auto"/>
              </w:rPr>
            </w:pPr>
          </w:p>
        </w:tc>
        <w:tc>
          <w:tcPr>
            <w:tcW w:w="56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w:t>
            </w:r>
          </w:p>
        </w:tc>
        <w:tc>
          <w:tcPr>
            <w:tcW w:w="40" w:type="dxa"/>
            <w:vAlign w:val="bottom"/>
            <w:tcBorders>
              <w:top w:val="single" w:sz="8" w:color="0000FF"/>
            </w:tcBorders>
          </w:tcPr>
          <w:p>
            <w:pPr>
              <w:spacing w:after="0"/>
              <w:rPr>
                <w:sz w:val="18"/>
                <w:szCs w:val="18"/>
                <w:color w:val="auto"/>
              </w:rPr>
            </w:pPr>
          </w:p>
        </w:tc>
        <w:tc>
          <w:tcPr>
            <w:tcW w:w="378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gridSpan w:val="9"/>
          </w:tcPr>
          <w:p>
            <w:pPr>
              <w:ind w:left="374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400" w:type="dxa"/>
            <w:vAlign w:val="bottom"/>
          </w:tcPr>
          <w:p>
            <w:pPr>
              <w:spacing w:after="0"/>
              <w:rPr>
                <w:sz w:val="17"/>
                <w:szCs w:val="17"/>
                <w:color w:val="auto"/>
              </w:rPr>
            </w:pPr>
          </w:p>
        </w:tc>
      </w:tr>
      <w:tr>
        <w:trPr>
          <w:trHeight w:val="704"/>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60" w:type="dxa"/>
            <w:vAlign w:val="bottom"/>
          </w:tcPr>
          <w:p>
            <w:pPr>
              <w:spacing w:after="0"/>
              <w:rPr>
                <w:sz w:val="24"/>
                <w:szCs w:val="24"/>
                <w:color w:val="auto"/>
              </w:rPr>
            </w:pPr>
          </w:p>
        </w:tc>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2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2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231140</wp:posOffset>
            </wp:positionV>
            <wp:extent cx="67551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353" w:lineRule="exact"/>
        <w:rPr>
          <w:sz w:val="20"/>
          <w:szCs w:val="20"/>
          <w:color w:val="auto"/>
        </w:rPr>
      </w:pPr>
    </w:p>
    <w:p>
      <w:pPr>
        <w:ind w:left="820" w:hanging="49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820" w:hanging="497"/>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50" w:lineRule="exact"/>
        <w:rPr>
          <w:sz w:val="20"/>
          <w:szCs w:val="20"/>
          <w:color w:val="auto"/>
        </w:rPr>
      </w:pPr>
    </w:p>
    <w:p>
      <w:pPr>
        <w:ind w:left="820" w:hanging="49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Quarterly Report on Form 10-Q to be signed on its behalf by the undersigned, thereunto duly authorized, in Scottsdale, Arizona, on May 13, 2026.</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under the Securities Act of 1933, this Quarterly Report on Form 10-Q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66"/>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2026</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c>
          <w:tcPr>
            <w:tcW w:w="100" w:type="dxa"/>
            <w:vAlign w:val="bottom"/>
          </w:tcPr>
          <w:p>
            <w:pPr>
              <w:spacing w:after="0"/>
              <w:rPr>
                <w:sz w:val="19"/>
                <w:szCs w:val="19"/>
                <w:color w:val="auto"/>
              </w:rPr>
            </w:pPr>
          </w:p>
        </w:tc>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0" w:type="dxa"/>
            <w:vAlign w:val="bottom"/>
          </w:tcPr>
          <w:p>
            <w:pPr>
              <w:spacing w:after="0"/>
              <w:rPr>
                <w:sz w:val="19"/>
                <w:szCs w:val="19"/>
                <w:color w:val="auto"/>
              </w:rPr>
            </w:pPr>
          </w:p>
        </w:tc>
      </w:tr>
      <w:tr>
        <w:trPr>
          <w:trHeight w:val="481"/>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Jade Leung</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2026</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1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81"/>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Schrader</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Vice-Chairperson</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2026</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900"/>
        </w:trPr>
        <w:tc>
          <w:tcPr>
            <w:tcW w:w="2980" w:type="dxa"/>
            <w:vAlign w:val="bottom"/>
          </w:tcPr>
          <w:p>
            <w:pPr>
              <w:spacing w:after="0"/>
              <w:rPr>
                <w:sz w:val="24"/>
                <w:szCs w:val="24"/>
                <w:color w:val="auto"/>
              </w:rPr>
            </w:pPr>
          </w:p>
        </w:tc>
        <w:tc>
          <w:tcPr>
            <w:tcW w:w="6160" w:type="dxa"/>
            <w:vAlign w:val="bottom"/>
            <w:gridSpan w:val="2"/>
          </w:tcPr>
          <w:p>
            <w:pPr>
              <w:jc w:val="right"/>
              <w:ind w:right="33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Loeffler, II, certify that:</w:t>
      </w:r>
    </w:p>
    <w:p>
      <w:pPr>
        <w:spacing w:after="0" w:line="23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18415</wp:posOffset>
            </wp:positionV>
            <wp:extent cx="25457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Jade Leung, certify that:</w:t>
      </w:r>
    </w:p>
    <w:p>
      <w:pPr>
        <w:spacing w:after="0" w:line="23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March 31, 2026,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March 31, 2026,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Roman"/>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lowerRoman"/>
      <w:start w:val="2"/>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90" Type="http://schemas.openxmlformats.org/officeDocument/2006/relationships/hyperlink" Target="https://www.sec.gov/Archives/edgar/data/1627282/000110465923062737/tm2316200d1_ex3-1.htm" TargetMode="External"/><Relationship Id="rId91" Type="http://schemas.openxmlformats.org/officeDocument/2006/relationships/hyperlink" Target="https://www.sec.gov/Archives/edgar/data/1627282/000110465923062737/tm2316200d1_ex3-2.htm" TargetMode="External"/><Relationship Id="rId92" Type="http://schemas.openxmlformats.org/officeDocument/2006/relationships/hyperlink" Target="https://www.sec.gov/ix?doc=/Archives/edgar/data/0001627282/000162728224000136/cwd-20241126.htm" TargetMode="External"/><Relationship Id="rId93" Type="http://schemas.openxmlformats.org/officeDocument/2006/relationships/hyperlink" Target="https://www.sec.gov/ix?doc=/Archives/edgar/data/0001627282/000162728225000007/cwd-20250305.htm" TargetMode="External"/><Relationship Id="rId94" Type="http://schemas.openxmlformats.org/officeDocument/2006/relationships/hyperlink" Target="https://www.sec.gov/Archives/edgar/data/1627282/000162728225000048/cert_ofxamendmentxrevers.htm" TargetMode="External"/><Relationship Id="rId95" Type="http://schemas.openxmlformats.org/officeDocument/2006/relationships/hyperlink" Target="https://www.sec.gov/Archives/edgar/data/1627282/000162728225000079/ex_31x061625certificateofa.htm" TargetMode="External"/><Relationship Id="rId96" Type="http://schemas.openxmlformats.org/officeDocument/2006/relationships/hyperlink" Target="https://www.sec.gov/Archives/edgar/data/1627282/000110465925090624/tm2526187d1_ex3-1.htm" TargetMode="External"/><Relationship Id="rId97" Type="http://schemas.openxmlformats.org/officeDocument/2006/relationships/hyperlink" Target="https://www.sec.gov/Archives/edgar/data/1627282/000110465926011049/tm265412d1_ex3-1.htm" TargetMode="External"/><Relationship Id="rId98" Type="http://schemas.openxmlformats.org/officeDocument/2006/relationships/hyperlink" Target="https://www.sec.gov/Archives/edgar/data/1627282/000121390026043618/ea028624201ex3-1.htm" TargetMode="External"/><Relationship Id="rId99" Type="http://schemas.openxmlformats.org/officeDocument/2006/relationships/hyperlink" Target="https://www.sec.gov/Archives/edgar/data/1627282/000121390026043618/ea028624201ex3-2.htm" TargetMode="External"/><Relationship Id="rId100" Type="http://schemas.openxmlformats.org/officeDocument/2006/relationships/hyperlink" Target="https://www.sec.gov/Archives/edgar/data/1627282/000162728225000028/exhibit41-descriptionofsec.htm" TargetMode="External"/><Relationship Id="rId101" Type="http://schemas.openxmlformats.org/officeDocument/2006/relationships/hyperlink" Target="https://www.sec.gov/Archives/edgar/data/1627282/000110465922112555/tm2228946d1_ex4-1.htm" TargetMode="External"/><Relationship Id="rId102" Type="http://schemas.openxmlformats.org/officeDocument/2006/relationships/hyperlink" Target="https://www.sec.gov/Archives/edgar/data/1627282/000110465923035668/tm2230806d13_ex4-2.htm" TargetMode="External"/><Relationship Id="rId103" Type="http://schemas.openxmlformats.org/officeDocument/2006/relationships/hyperlink" Target="https://www.sec.gov/Archives/edgar/data/1627282/000114420419030743/tv515450_ex3-2.htm" TargetMode="External"/><Relationship Id="rId104" Type="http://schemas.openxmlformats.org/officeDocument/2006/relationships/hyperlink" Target="https://www.sec.gov/Archives/edgar/data/1627282/000110465925034317/tm2512134d1_ex4-1.htm" TargetMode="External"/><Relationship Id="rId105" Type="http://schemas.openxmlformats.org/officeDocument/2006/relationships/hyperlink" Target="https://www.sec.gov/Archives/edgar/data/1627282/000110465925034317/tm2512134d1_ex4-2.htm" TargetMode="External"/><Relationship Id="rId106" Type="http://schemas.openxmlformats.org/officeDocument/2006/relationships/hyperlink" Target="https://www.sec.gov/Archives/edgar/data/1627282/000110465925035972/tm2512544d2_ex4-1.htm" TargetMode="External"/><Relationship Id="rId107" Type="http://schemas.openxmlformats.org/officeDocument/2006/relationships/hyperlink" Target="https://www.sec.gov/Archives/edgar/data/1627282/000110465925035972/tm2512544d2_ex4-2.htm" TargetMode="External"/><Relationship Id="rId108" Type="http://schemas.openxmlformats.org/officeDocument/2006/relationships/hyperlink" Target="https://www.sec.gov/Archives/edgar/data/1627282/000110465926011049/tm265412d1_ex10-1.htm" TargetMode="External"/><Relationship Id="rId109" Type="http://schemas.openxmlformats.org/officeDocument/2006/relationships/hyperlink" Target="https://www.sec.gov/Archives/edgar/data/1627282/000121390026043618/ea028624201ex10-1.htm" TargetMode="External"/><Relationship Id="rId110" Type="http://schemas.openxmlformats.org/officeDocument/2006/relationships/hyperlink" Target="https://www.sec.gov/Archives/edgar/data/1627282/000121390026043618/ea028624201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2026-05-14T05:16:28Z</dcterms:created>
  <dcterms:modified xsi:type="dcterms:W3CDTF">2026-05-14T05:16:28Z</dcterms:modified>
</cp:coreProperties>
</file>