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225425</wp:posOffset>
            </wp:positionH>
            <wp:positionV relativeFrom="page">
              <wp:posOffset>603250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629285</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20" w:right="1720" w:hanging="3794"/>
        <w:spacing w:after="0" w:line="367" w:lineRule="auto"/>
        <w:tabs>
          <w:tab w:leader="none" w:pos="399"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001-41703</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CALIBERCOS INC.</w:t>
      </w:r>
    </w:p>
    <w:p>
      <w:pPr>
        <w:spacing w:after="0" w:line="1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8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47-2426901</w:t>
            </w:r>
          </w:p>
        </w:tc>
      </w:tr>
      <w:tr>
        <w:trPr>
          <w:trHeight w:val="27"/>
        </w:trPr>
        <w:tc>
          <w:tcPr>
            <w:tcW w:w="5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05"/>
        </w:trPr>
        <w:tc>
          <w:tcPr>
            <w:tcW w:w="5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8901 E. Mountain View Rd. Ste. 150, Scottsdale, AZ</w:t>
            </w:r>
          </w:p>
        </w:tc>
        <w:tc>
          <w:tcPr>
            <w:tcW w:w="200" w:type="dxa"/>
            <w:vAlign w:val="bottom"/>
          </w:tcPr>
          <w:p>
            <w:pPr>
              <w:spacing w:after="0"/>
              <w:rPr>
                <w:sz w:val="24"/>
                <w:szCs w:val="24"/>
                <w:color w:val="auto"/>
              </w:rPr>
            </w:pPr>
          </w:p>
        </w:tc>
        <w:tc>
          <w:tcPr>
            <w:tcW w:w="5380" w:type="dxa"/>
            <w:vAlign w:val="bottom"/>
            <w:tcBorders>
              <w:bottom w:val="single" w:sz="8" w:color="auto"/>
            </w:tcBorders>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85258</w:t>
            </w:r>
          </w:p>
        </w:tc>
      </w:tr>
      <w:tr>
        <w:trPr>
          <w:trHeight w:val="237"/>
        </w:trPr>
        <w:tc>
          <w:tcPr>
            <w:tcW w:w="5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(480) 295-7600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19685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CWD</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84"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60" w:type="dxa"/>
            <w:vAlign w:val="bottom"/>
          </w:tcPr>
          <w:p>
            <w:pPr>
              <w:ind w:left="1540"/>
              <w:spacing w:after="0"/>
              <w:rPr>
                <w:sz w:val="20"/>
                <w:szCs w:val="20"/>
                <w:color w:val="auto"/>
              </w:rPr>
            </w:pPr>
            <w:r>
              <w:rPr>
                <w:rFonts w:ascii="Wingdings" w:cs="Wingdings" w:eastAsia="Wingdings" w:hAnsi="Wingdings"/>
                <w:sz w:val="18"/>
                <w:szCs w:val="18"/>
                <w:b w:val="1"/>
                <w:bCs w:val="1"/>
                <w:color w:val="auto"/>
              </w:rPr>
              <w:t>o</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540" w:type="dxa"/>
            <w:vAlign w:val="bottom"/>
          </w:tcPr>
          <w:p>
            <w:pPr>
              <w:ind w:left="1340"/>
              <w:spacing w:after="0"/>
              <w:rPr>
                <w:sz w:val="20"/>
                <w:szCs w:val="20"/>
                <w:color w:val="auto"/>
              </w:rPr>
            </w:pPr>
            <w:r>
              <w:rPr>
                <w:rFonts w:ascii="Wingdings" w:cs="Wingdings" w:eastAsia="Wingdings" w:hAnsi="Wingdings"/>
                <w:sz w:val="18"/>
                <w:szCs w:val="18"/>
                <w:b w:val="1"/>
                <w:bCs w:val="1"/>
                <w:color w:val="auto"/>
              </w:rPr>
              <w:t>o</w:t>
            </w: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60" w:type="dxa"/>
            <w:vAlign w:val="bottom"/>
          </w:tcPr>
          <w:p>
            <w:pPr>
              <w:ind w:left="1540"/>
              <w:spacing w:after="0"/>
              <w:rPr>
                <w:sz w:val="20"/>
                <w:szCs w:val="20"/>
                <w:color w:val="auto"/>
              </w:rPr>
            </w:pPr>
            <w:r>
              <w:rPr>
                <w:rFonts w:ascii="Wingdings" w:cs="Wingdings" w:eastAsia="Wingdings" w:hAnsi="Wingdings"/>
                <w:sz w:val="18"/>
                <w:szCs w:val="18"/>
                <w:b w:val="1"/>
                <w:bCs w:val="1"/>
                <w:color w:val="auto"/>
              </w:rPr>
              <w:t>x</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540" w:type="dxa"/>
            <w:vAlign w:val="bottom"/>
          </w:tcPr>
          <w:p>
            <w:pPr>
              <w:ind w:left="1340"/>
              <w:spacing w:after="0"/>
              <w:rPr>
                <w:sz w:val="20"/>
                <w:szCs w:val="20"/>
                <w:color w:val="auto"/>
              </w:rPr>
            </w:pPr>
            <w:r>
              <w:rPr>
                <w:rFonts w:ascii="Wingdings" w:cs="Wingdings" w:eastAsia="Wingdings" w:hAnsi="Wingdings"/>
                <w:sz w:val="18"/>
                <w:szCs w:val="18"/>
                <w:b w:val="1"/>
                <w:bCs w:val="1"/>
                <w:color w:val="auto"/>
                <w:w w:val="94"/>
              </w:rPr>
              <w:t>x</w:t>
            </w:r>
          </w:p>
        </w:tc>
      </w:tr>
      <w:tr>
        <w:trPr>
          <w:trHeight w:val="234"/>
        </w:trPr>
        <w:tc>
          <w:tcPr>
            <w:tcW w:w="3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540" w:type="dxa"/>
            <w:vAlign w:val="bottom"/>
          </w:tcPr>
          <w:p>
            <w:pPr>
              <w:ind w:left="134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71"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tabs>
          <w:tab w:leader="none" w:pos="7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5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21,827,102 shares of common stock, comprised of 14,410,688 shares of Class A Common Stock and 7,416,414 shares of Class B Common Stock of CaliberCos Inc. as of May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80010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105410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1" w:name="page2"/>
    <w:bookmarkEnd w:id="1"/>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4" w:lineRule="exact"/>
        <w:rPr>
          <w:sz w:val="20"/>
          <w:szCs w:val="20"/>
          <w:color w:val="auto"/>
        </w:rPr>
      </w:pPr>
    </w:p>
    <w:p>
      <w:pPr>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 this report, the term “Company” refers to CaliberCos Inc. and its wholly-owned subsidiaries. The “Consolidated Funds” refers to the Companies consolidated variable interest entities. The “Consolidated Company”, “Caliber”, “we”, “us”, and “our” refers to the Company and the Consolidated Funds collectively.</w:t>
      </w:r>
    </w:p>
    <w:p>
      <w:pPr>
        <w:spacing w:after="0" w:line="18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spacing w:after="0" w:line="21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size of our market opportunities;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markets, manage our growth expansion and comply with any applicable laws and regulations;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from our market competitors;</w:t>
      </w:r>
    </w:p>
    <w:p>
      <w:pPr>
        <w:ind w:left="660" w:hanging="328"/>
        <w:spacing w:after="0" w:line="23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or breach in security of, our information technology systems and resultant interruptions in service and any related impact on our reputation;</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government regulation affecting our business;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economic conditions;</w:t>
      </w:r>
    </w:p>
    <w:p>
      <w:pPr>
        <w:ind w:left="660" w:hanging="328"/>
        <w:spacing w:after="0" w:line="21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to meet our liquidity needs and service our indebtedness;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legal or administrative proceedings.</w:t>
      </w:r>
    </w:p>
    <w:p>
      <w:pPr>
        <w:spacing w:after="0" w:line="219" w:lineRule="exact"/>
        <w:rPr>
          <w:sz w:val="20"/>
          <w:szCs w:val="20"/>
          <w:color w:val="auto"/>
        </w:rPr>
      </w:pPr>
    </w:p>
    <w:p>
      <w:pPr>
        <w:jc w:val="both"/>
        <w:ind w:right="20" w:firstLine="324"/>
        <w:spacing w:after="0" w:line="245" w:lineRule="auto"/>
        <w:rPr>
          <w:sz w:val="20"/>
          <w:szCs w:val="20"/>
          <w:color w:val="auto"/>
        </w:rPr>
      </w:pPr>
      <w:r>
        <w:rPr>
          <w:rFonts w:ascii="Times New Roman" w:cs="Times New Roman" w:eastAsia="Times New Roman" w:hAnsi="Times New Roman"/>
          <w:sz w:val="18"/>
          <w:szCs w:val="18"/>
          <w:color w:val="auto"/>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spacing w:after="0" w:line="208"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20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771525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540" w:type="dxa"/>
            <w:vAlign w:val="bottom"/>
            <w:tcBorders>
              <w:bottom w:val="single" w:sz="8" w:color="CFF0FC"/>
            </w:tcBorders>
          </w:tcPr>
          <w:p>
            <w:pPr>
              <w:spacing w:after="0"/>
              <w:rPr>
                <w:sz w:val="2"/>
                <w:szCs w:val="2"/>
                <w:color w:val="auto"/>
              </w:rPr>
            </w:pPr>
          </w:p>
        </w:tc>
        <w:tc>
          <w:tcPr>
            <w:tcW w:w="38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520" w:type="dxa"/>
            <w:vAlign w:val="bottom"/>
            <w:tcBorders>
              <w:bottom w:val="single" w:sz="8" w:color="CFF0FC"/>
            </w:tcBorders>
          </w:tcPr>
          <w:p>
            <w:pPr>
              <w:spacing w:after="0"/>
              <w:rPr>
                <w:sz w:val="2"/>
                <w:szCs w:val="2"/>
                <w:color w:val="auto"/>
              </w:rPr>
            </w:pPr>
          </w:p>
        </w:tc>
        <w:tc>
          <w:tcPr>
            <w:tcW w:w="620" w:type="dxa"/>
            <w:vAlign w:val="bottom"/>
            <w:tcBorders>
              <w:bottom w:val="single" w:sz="8" w:color="CFF0FC"/>
            </w:tcBorders>
          </w:tcPr>
          <w:p>
            <w:pPr>
              <w:spacing w:after="0"/>
              <w:rPr>
                <w:sz w:val="2"/>
                <w:szCs w:val="2"/>
                <w:color w:val="auto"/>
              </w:rPr>
            </w:pPr>
          </w:p>
        </w:tc>
        <w:tc>
          <w:tcPr>
            <w:tcW w:w="138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1500" w:type="dxa"/>
            <w:vAlign w:val="bottom"/>
            <w:tcBorders>
              <w:bottom w:val="single" w:sz="8" w:color="CFF0FC"/>
            </w:tcBorders>
          </w:tcPr>
          <w:p>
            <w:pPr>
              <w:spacing w:after="0"/>
              <w:rPr>
                <w:sz w:val="2"/>
                <w:szCs w:val="2"/>
                <w:color w:val="auto"/>
              </w:rPr>
            </w:pPr>
          </w:p>
        </w:tc>
        <w:tc>
          <w:tcPr>
            <w:tcW w:w="18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FF0FC"/>
          </w:tcPr>
          <w:p>
            <w:pPr>
              <w:spacing w:after="0"/>
              <w:rPr>
                <w:sz w:val="15"/>
                <w:szCs w:val="15"/>
                <w:color w:val="auto"/>
              </w:rPr>
            </w:pPr>
          </w:p>
        </w:tc>
        <w:tc>
          <w:tcPr>
            <w:tcW w:w="2320" w:type="dxa"/>
            <w:vAlign w:val="bottom"/>
            <w:gridSpan w:val="9"/>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340" w:type="dxa"/>
            <w:vAlign w:val="bottom"/>
            <w:gridSpan w:val="12"/>
            <w:shd w:val="clear" w:color="auto" w:fill="CFF0FC"/>
          </w:tcPr>
          <w:p>
            <w:pPr>
              <w:spacing w:after="0"/>
              <w:rPr>
                <w:sz w:val="15"/>
                <w:szCs w:val="15"/>
                <w:color w:val="auto"/>
              </w:rPr>
            </w:pPr>
          </w:p>
        </w:tc>
        <w:tc>
          <w:tcPr>
            <w:tcW w:w="560" w:type="dxa"/>
            <w:vAlign w:val="bottom"/>
            <w:gridSpan w:val="4"/>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4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5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20" w:type="dxa"/>
            <w:vAlign w:val="bottom"/>
            <w:gridSpan w:val="19"/>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March 31, 2024 and December 31, 2023</w:t>
            </w:r>
          </w:p>
        </w:tc>
        <w:tc>
          <w:tcPr>
            <w:tcW w:w="560" w:type="dxa"/>
            <w:vAlign w:val="bottom"/>
            <w:gridSpan w:val="4"/>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54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520" w:type="dxa"/>
            <w:vAlign w:val="bottom"/>
            <w:tcBorders>
              <w:top w:val="single" w:sz="8" w:color="0000FF"/>
            </w:tcBorders>
            <w:shd w:val="clear" w:color="auto" w:fill="CFF0FC"/>
          </w:tcPr>
          <w:p>
            <w:pPr>
              <w:spacing w:after="0" w:line="20" w:lineRule="exact"/>
              <w:rPr>
                <w:sz w:val="1"/>
                <w:szCs w:val="1"/>
                <w:color w:val="auto"/>
              </w:rPr>
            </w:pPr>
          </w:p>
        </w:tc>
        <w:tc>
          <w:tcPr>
            <w:tcW w:w="620" w:type="dxa"/>
            <w:vAlign w:val="bottom"/>
            <w:tcBorders>
              <w:top w:val="single" w:sz="8" w:color="0000FF"/>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2024 and 2023</w:t>
            </w:r>
          </w:p>
        </w:tc>
        <w:tc>
          <w:tcPr>
            <w:tcW w:w="5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380" w:type="dxa"/>
            <w:vAlign w:val="bottom"/>
            <w:gridSpan w:val="18"/>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Three Months Ended March 31, 2024 and 2023</w:t>
            </w:r>
          </w:p>
        </w:tc>
        <w:tc>
          <w:tcPr>
            <w:tcW w:w="1840" w:type="dxa"/>
            <w:vAlign w:val="bottom"/>
            <w:shd w:val="clear" w:color="auto" w:fill="CFF0FC"/>
          </w:tcPr>
          <w:p>
            <w:pPr>
              <w:spacing w:after="0"/>
              <w:rPr>
                <w:sz w:val="16"/>
                <w:szCs w:val="16"/>
                <w:color w:val="auto"/>
              </w:rPr>
            </w:pPr>
          </w:p>
        </w:tc>
        <w:tc>
          <w:tcPr>
            <w:tcW w:w="560" w:type="dxa"/>
            <w:vAlign w:val="bottom"/>
            <w:gridSpan w:val="4"/>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54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520" w:type="dxa"/>
            <w:vAlign w:val="bottom"/>
            <w:tcBorders>
              <w:top w:val="single" w:sz="8" w:color="0000FF"/>
            </w:tcBorders>
            <w:shd w:val="clear" w:color="auto" w:fill="CFF0FC"/>
          </w:tcPr>
          <w:p>
            <w:pPr>
              <w:spacing w:after="0" w:line="20" w:lineRule="exact"/>
              <w:rPr>
                <w:sz w:val="1"/>
                <w:szCs w:val="1"/>
                <w:color w:val="auto"/>
              </w:rPr>
            </w:pPr>
          </w:p>
        </w:tc>
        <w:tc>
          <w:tcPr>
            <w:tcW w:w="620" w:type="dxa"/>
            <w:vAlign w:val="bottom"/>
            <w:tcBorders>
              <w:top w:val="single" w:sz="8" w:color="0000FF"/>
            </w:tcBorders>
            <w:shd w:val="clear" w:color="auto" w:fill="CFF0FC"/>
          </w:tcPr>
          <w:p>
            <w:pPr>
              <w:spacing w:after="0" w:line="20" w:lineRule="exact"/>
              <w:rPr>
                <w:sz w:val="1"/>
                <w:szCs w:val="1"/>
                <w:color w:val="auto"/>
              </w:rPr>
            </w:pPr>
          </w:p>
        </w:tc>
        <w:tc>
          <w:tcPr>
            <w:tcW w:w="13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500" w:type="dxa"/>
            <w:vAlign w:val="bottom"/>
            <w:tcBorders>
              <w:top w:val="single" w:sz="8" w:color="0000FF"/>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3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2024 and 2023</w:t>
            </w:r>
          </w:p>
        </w:tc>
        <w:tc>
          <w:tcPr>
            <w:tcW w:w="1840" w:type="dxa"/>
            <w:vAlign w:val="bottom"/>
          </w:tcPr>
          <w:p>
            <w:pPr>
              <w:spacing w:after="0"/>
              <w:rPr>
                <w:sz w:val="16"/>
                <w:szCs w:val="16"/>
                <w:color w:val="auto"/>
              </w:rPr>
            </w:pPr>
          </w:p>
        </w:tc>
        <w:tc>
          <w:tcPr>
            <w:tcW w:w="5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20" w:type="dxa"/>
            <w:vAlign w:val="bottom"/>
            <w:gridSpan w:val="19"/>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4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shd w:val="clear" w:color="auto" w:fill="CFF0FC"/>
          </w:tcPr>
          <w:p>
            <w:pPr>
              <w:spacing w:after="0"/>
              <w:rPr>
                <w:sz w:val="16"/>
                <w:szCs w:val="16"/>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54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4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340" w:type="dxa"/>
            <w:vAlign w:val="bottom"/>
            <w:gridSpan w:val="20"/>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54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rPr>
              <w:t>58</w:t>
            </w:r>
          </w:p>
        </w:tc>
        <w:tc>
          <w:tcPr>
            <w:tcW w:w="20" w:type="dxa"/>
            <w:vAlign w:val="bottom"/>
            <w:shd w:val="clear" w:color="auto" w:fill="CFF0FC"/>
          </w:tcPr>
          <w:p>
            <w:pPr>
              <w:spacing w:after="0"/>
              <w:rPr>
                <w:sz w:val="18"/>
                <w:szCs w:val="18"/>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4920" w:type="dxa"/>
            <w:vAlign w:val="bottom"/>
            <w:tcBorders>
              <w:top w:val="single" w:sz="8" w:color="0000FF"/>
            </w:tcBorders>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5420" w:type="dxa"/>
            <w:vAlign w:val="bottom"/>
            <w:tcBorders>
              <w:top w:val="single" w:sz="8" w:color="CFF0FC"/>
            </w:tcBorders>
            <w:gridSpan w:val="6"/>
          </w:tcPr>
          <w:p>
            <w:pPr>
              <w:spacing w:after="0"/>
              <w:rPr>
                <w:sz w:val="16"/>
                <w:szCs w:val="16"/>
                <w:color w:val="auto"/>
              </w:rPr>
            </w:pPr>
          </w:p>
        </w:tc>
        <w:tc>
          <w:tcPr>
            <w:tcW w:w="360" w:type="dxa"/>
            <w:vAlign w:val="bottom"/>
            <w:tcBorders>
              <w:top w:val="single" w:sz="8" w:color="CFF0FC"/>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Borders>
              <w:top w:val="single" w:sz="8" w:color="CFF0FC"/>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660" w:type="dxa"/>
            <w:vAlign w:val="bottom"/>
            <w:gridSpan w:val="21"/>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54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rPr>
              <w:t>60</w:t>
            </w:r>
          </w:p>
        </w:tc>
        <w:tc>
          <w:tcPr>
            <w:tcW w:w="20" w:type="dxa"/>
            <w:vAlign w:val="bottom"/>
            <w:shd w:val="clear" w:color="auto" w:fill="CFF0FC"/>
          </w:tcPr>
          <w:p>
            <w:pPr>
              <w:spacing w:after="0"/>
              <w:rPr>
                <w:sz w:val="16"/>
                <w:szCs w:val="16"/>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4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5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0000FF"/>
            </w:tcBorders>
            <w:gridSpan w:val="4"/>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Item 1A. Risk Factors</w:t>
            </w:r>
          </w:p>
        </w:tc>
        <w:tc>
          <w:tcPr>
            <w:tcW w:w="8740" w:type="dxa"/>
            <w:vAlign w:val="bottom"/>
            <w:tcBorders>
              <w:bottom w:val="single" w:sz="8" w:color="CFF0FC"/>
            </w:tcBorders>
            <w:gridSpan w:val="16"/>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0000FF"/>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Borders>
              <w:bottom w:val="single" w:sz="8" w:color="CFF0FC"/>
            </w:tcBorders>
            <w:shd w:val="clear" w:color="auto" w:fill="CFF0FC"/>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4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w:t>
            </w:r>
          </w:p>
        </w:tc>
        <w:tc>
          <w:tcPr>
            <w:tcW w:w="5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340" w:type="dxa"/>
            <w:vAlign w:val="bottom"/>
            <w:gridSpan w:val="20"/>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4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rPr>
              <w:t>60</w:t>
            </w:r>
          </w:p>
        </w:tc>
        <w:tc>
          <w:tcPr>
            <w:tcW w:w="20" w:type="dxa"/>
            <w:vAlign w:val="bottom"/>
            <w:shd w:val="clear" w:color="auto" w:fill="CFF0FC"/>
          </w:tcPr>
          <w:p>
            <w:pPr>
              <w:spacing w:after="0"/>
              <w:rPr>
                <w:sz w:val="18"/>
                <w:szCs w:val="18"/>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2880" w:type="dxa"/>
            <w:vAlign w:val="bottom"/>
            <w:tcBorders>
              <w:top w:val="single" w:sz="8" w:color="0000FF"/>
            </w:tcBorders>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7460" w:type="dxa"/>
            <w:vAlign w:val="bottom"/>
            <w:tcBorders>
              <w:top w:val="single" w:sz="8" w:color="CFF0FC"/>
            </w:tcBorders>
            <w:gridSpan w:val="9"/>
          </w:tcPr>
          <w:p>
            <w:pPr>
              <w:spacing w:after="0"/>
              <w:rPr>
                <w:sz w:val="16"/>
                <w:szCs w:val="16"/>
                <w:color w:val="auto"/>
              </w:rPr>
            </w:pPr>
          </w:p>
        </w:tc>
        <w:tc>
          <w:tcPr>
            <w:tcW w:w="360" w:type="dxa"/>
            <w:vAlign w:val="bottom"/>
            <w:tcBorders>
              <w:top w:val="single" w:sz="8" w:color="CFF0FC"/>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Borders>
              <w:top w:val="single" w:sz="8" w:color="CFF0FC"/>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0000FF"/>
            </w:tcBorders>
            <w:gridSpan w:val="6"/>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Item 5. Other Information</w:t>
            </w:r>
          </w:p>
        </w:tc>
        <w:tc>
          <w:tcPr>
            <w:tcW w:w="8460" w:type="dxa"/>
            <w:vAlign w:val="bottom"/>
            <w:tcBorders>
              <w:bottom w:val="single" w:sz="8" w:color="CFF0FC"/>
            </w:tcBorders>
            <w:gridSpan w:val="14"/>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0000FF"/>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Borders>
              <w:bottom w:val="single" w:sz="8" w:color="CFF0FC"/>
            </w:tcBorders>
            <w:shd w:val="clear" w:color="auto" w:fill="CFF0FC"/>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4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6. Exhibit Index</w:t>
            </w:r>
          </w:p>
        </w:tc>
        <w:tc>
          <w:tcPr>
            <w:tcW w:w="5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10660" w:type="dxa"/>
            <w:vAlign w:val="bottom"/>
            <w:gridSpan w:val="21"/>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54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0000FF"/>
              </w:rPr>
              <w:t>62</w:t>
            </w:r>
          </w:p>
        </w:tc>
        <w:tc>
          <w:tcPr>
            <w:tcW w:w="20" w:type="dxa"/>
            <w:vAlign w:val="bottom"/>
            <w:shd w:val="clear" w:color="auto" w:fill="CFF0FC"/>
          </w:tcPr>
          <w:p>
            <w:pPr>
              <w:spacing w:after="0"/>
              <w:rPr>
                <w:sz w:val="18"/>
                <w:szCs w:val="18"/>
                <w:color w:val="auto"/>
              </w:rPr>
            </w:pPr>
          </w:p>
        </w:tc>
      </w:tr>
      <w:tr>
        <w:trPr>
          <w:trHeight w:val="858"/>
        </w:trPr>
        <w:tc>
          <w:tcPr>
            <w:tcW w:w="20" w:type="dxa"/>
            <w:vAlign w:val="bottom"/>
            <w:tcBorders>
              <w:top w:val="single" w:sz="8" w:color="CFF0FC"/>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10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540" w:type="dxa"/>
            <w:vAlign w:val="bottom"/>
            <w:tcBorders>
              <w:top w:val="single" w:sz="8" w:color="CFF0FC"/>
              <w:bottom w:val="single" w:sz="8" w:color="9A9A9A"/>
            </w:tcBorders>
          </w:tcPr>
          <w:p>
            <w:pPr>
              <w:spacing w:after="0"/>
              <w:rPr>
                <w:sz w:val="24"/>
                <w:szCs w:val="24"/>
                <w:color w:val="auto"/>
              </w:rPr>
            </w:pPr>
          </w:p>
        </w:tc>
        <w:tc>
          <w:tcPr>
            <w:tcW w:w="38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1520" w:type="dxa"/>
            <w:vAlign w:val="bottom"/>
            <w:tcBorders>
              <w:top w:val="single" w:sz="8" w:color="CFF0FC"/>
              <w:bottom w:val="single" w:sz="8" w:color="9A9A9A"/>
            </w:tcBorders>
          </w:tcPr>
          <w:p>
            <w:pPr>
              <w:spacing w:after="0"/>
              <w:rPr>
                <w:sz w:val="24"/>
                <w:szCs w:val="24"/>
                <w:color w:val="auto"/>
              </w:rPr>
            </w:pPr>
          </w:p>
        </w:tc>
        <w:tc>
          <w:tcPr>
            <w:tcW w:w="620" w:type="dxa"/>
            <w:vAlign w:val="bottom"/>
            <w:tcBorders>
              <w:top w:val="single" w:sz="8" w:color="CFF0FC"/>
              <w:bottom w:val="single" w:sz="8" w:color="9A9A9A"/>
            </w:tcBorders>
          </w:tcPr>
          <w:p>
            <w:pPr>
              <w:spacing w:after="0"/>
              <w:rPr>
                <w:sz w:val="24"/>
                <w:szCs w:val="24"/>
                <w:color w:val="auto"/>
              </w:rPr>
            </w:pPr>
          </w:p>
        </w:tc>
        <w:tc>
          <w:tcPr>
            <w:tcW w:w="138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1500" w:type="dxa"/>
            <w:vAlign w:val="bottom"/>
            <w:tcBorders>
              <w:top w:val="single" w:sz="8" w:color="CFF0FC"/>
              <w:bottom w:val="single" w:sz="8" w:color="9A9A9A"/>
            </w:tcBorders>
          </w:tcPr>
          <w:p>
            <w:pPr>
              <w:spacing w:after="0"/>
              <w:rPr>
                <w:sz w:val="24"/>
                <w:szCs w:val="24"/>
                <w:color w:val="auto"/>
              </w:rPr>
            </w:pPr>
          </w:p>
        </w:tc>
        <w:tc>
          <w:tcPr>
            <w:tcW w:w="1840" w:type="dxa"/>
            <w:vAlign w:val="bottom"/>
            <w:tcBorders>
              <w:top w:val="single" w:sz="8" w:color="CFF0FC"/>
              <w:bottom w:val="single" w:sz="8" w:color="9A9A9A"/>
            </w:tcBorders>
          </w:tcPr>
          <w:p>
            <w:pPr>
              <w:spacing w:after="0"/>
              <w:rPr>
                <w:sz w:val="24"/>
                <w:szCs w:val="24"/>
                <w:color w:val="auto"/>
              </w:rPr>
            </w:pPr>
          </w:p>
        </w:tc>
        <w:tc>
          <w:tcPr>
            <w:tcW w:w="36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1D1C1D"/>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 Unaudited Financial Statements</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CALIBERCOS INC. AND SUBSIDIARIES CONSOLIDATED BALANCE SHEETS (UNAUDITED) (AMOUNTS IN THOUSANDS, EXCEPT FOR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6900" w:type="dxa"/>
            <w:vAlign w:val="bottom"/>
            <w:tcBorders>
              <w:top w:val="single" w:sz="8" w:color="CCEEFF"/>
            </w:tcBorders>
            <w:shd w:val="clear" w:color="auto" w:fill="CCEEFF"/>
          </w:tcPr>
          <w:p>
            <w:pPr>
              <w:ind w:left="3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21,492</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29"/>
        </w:trPr>
        <w:tc>
          <w:tcPr>
            <w:tcW w:w="690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Assets of consolidated funds</w:t>
            </w: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11,266</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185,636</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280" w:type="dxa"/>
            <w:vAlign w:val="bottom"/>
          </w:tcPr>
          <w:p>
            <w:pPr>
              <w:spacing w:after="0"/>
              <w:rPr>
                <w:sz w:val="19"/>
                <w:szCs w:val="19"/>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r>
      <w:tr>
        <w:trPr>
          <w:trHeight w:val="223"/>
        </w:trPr>
        <w:tc>
          <w:tcPr>
            <w:tcW w:w="6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201,462</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299,432</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24"/>
        </w:trPr>
        <w:tc>
          <w:tcPr>
            <w:tcW w:w="6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690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53,799</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8,886</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690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Liabilities of consolidated funds</w:t>
            </w: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net</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129,684</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280" w:type="dxa"/>
            <w:vAlign w:val="bottom"/>
          </w:tcPr>
          <w:p>
            <w:pPr>
              <w:spacing w:after="0"/>
              <w:rPr>
                <w:sz w:val="19"/>
                <w:szCs w:val="19"/>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11,736</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w:t>
            </w:r>
          </w:p>
        </w:tc>
      </w:tr>
      <w:tr>
        <w:trPr>
          <w:trHeight w:val="23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23"/>
        </w:trPr>
        <w:tc>
          <w:tcPr>
            <w:tcW w:w="6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233,414</w:t>
            </w:r>
          </w:p>
        </w:tc>
      </w:tr>
    </w:tbl>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4" w:name="page5"/>
    <w:bookmarkEnd w:id="4"/>
    <w:p>
      <w:pPr>
        <w:jc w:val="center"/>
        <w:ind w:left="460" w:right="2280"/>
        <w:spacing w:after="0" w:line="268" w:lineRule="auto"/>
        <w:rPr>
          <w:sz w:val="20"/>
          <w:szCs w:val="20"/>
          <w:color w:val="auto"/>
        </w:rPr>
      </w:pPr>
      <w:r>
        <w:rPr>
          <w:rFonts w:ascii="Times New Roman" w:cs="Times New Roman" w:eastAsia="Times New Roman" w:hAnsi="Times New Roman"/>
          <w:sz w:val="18"/>
          <w:szCs w:val="18"/>
          <w:b w:val="1"/>
          <w:bCs w:val="1"/>
          <w:color w:val="auto"/>
        </w:rPr>
        <w:t>CALIBERCOS INC. AND SUBSIDIARIES CONSOLIDATED BALANCE SHEETS (UNAUDITED) (AMOUNTS IN THOUSANDS, EXCEPT FOR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55"/>
        </w:trPr>
        <w:tc>
          <w:tcPr>
            <w:tcW w:w="70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Common stock Class A, $0.001 par value; 100,000,000 shares authorized, 14,311,355 and</w:t>
            </w:r>
          </w:p>
        </w:tc>
        <w:tc>
          <w:tcPr>
            <w:tcW w:w="26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780" w:type="dxa"/>
            <w:vAlign w:val="bottom"/>
            <w:tcBorders>
              <w:top w:val="single" w:sz="8" w:color="auto"/>
            </w:tcBorders>
            <w:shd w:val="clear" w:color="auto" w:fill="CCEEFF"/>
          </w:tcPr>
          <w:p>
            <w:pPr>
              <w:spacing w:after="0"/>
              <w:rPr>
                <w:sz w:val="13"/>
                <w:szCs w:val="13"/>
                <w:color w:val="auto"/>
              </w:rPr>
            </w:pPr>
          </w:p>
        </w:tc>
      </w:tr>
      <w:tr>
        <w:trPr>
          <w:trHeight w:val="176"/>
        </w:trPr>
        <w:tc>
          <w:tcPr>
            <w:tcW w:w="7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13,872,671 shares issued and outstanding as of March 31, 2024 and December 31, 2023,</w:t>
            </w:r>
          </w:p>
        </w:tc>
        <w:tc>
          <w:tcPr>
            <w:tcW w:w="2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176"/>
        </w:trPr>
        <w:tc>
          <w:tcPr>
            <w:tcW w:w="7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Class B, $0.001 par value; 15,000,000 shares authorized, 7,416,414 shares issued</w:t>
            </w: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as March 31, 2024 and December 31, 2023</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39,432</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(36,830)</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 attributable to CaliberCos Inc.</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Stockholders’ equity attributable to noncontrolling interests</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87,235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63,395</w:t>
            </w:r>
          </w:p>
        </w:tc>
      </w:tr>
      <w:tr>
        <w:trPr>
          <w:trHeight w:val="223"/>
        </w:trPr>
        <w:tc>
          <w:tcPr>
            <w:tcW w:w="7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66,018</w:t>
            </w:r>
          </w:p>
        </w:tc>
      </w:tr>
      <w:tr>
        <w:trPr>
          <w:trHeight w:val="223"/>
        </w:trPr>
        <w:tc>
          <w:tcPr>
            <w:tcW w:w="7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201,462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299,432</w:t>
            </w:r>
          </w:p>
        </w:tc>
      </w:tr>
      <w:tr>
        <w:trPr>
          <w:trHeight w:val="21"/>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41" w:right="479" w:bottom="1440" w:gutter="0" w:footer="0" w:header="0"/>
        </w:sectPr>
      </w:pPr>
    </w:p>
    <w:bookmarkStart w:id="5" w:name="page6"/>
    <w:bookmarkEnd w:id="5"/>
    <w:p>
      <w:pPr>
        <w:ind w:left="3940"/>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340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23,209</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23"/>
        </w:trPr>
        <w:tc>
          <w:tcPr>
            <w:tcW w:w="7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29,522</w:t>
            </w:r>
          </w:p>
        </w:tc>
      </w:tr>
      <w:tr>
        <w:trPr>
          <w:trHeight w:val="237"/>
        </w:trPr>
        <w:tc>
          <w:tcPr>
            <w:tcW w:w="78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20,283</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r>
      <w:tr>
        <w:trPr>
          <w:trHeight w:val="223"/>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29,013</w:t>
            </w:r>
          </w:p>
        </w:tc>
      </w:tr>
      <w:tr>
        <w:trPr>
          <w:trHeight w:val="237"/>
        </w:trPr>
        <w:tc>
          <w:tcPr>
            <w:tcW w:w="7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0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per share attributable to common stockholders</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net loss per share attributable to common stockholders</w:t>
            </w:r>
          </w:p>
        </w:tc>
        <w:tc>
          <w:tcPr>
            <w:tcW w:w="1020" w:type="dxa"/>
            <w:vAlign w:val="bottom"/>
            <w:tcBorders>
              <w:bottom w:val="single" w:sz="8" w:color="auto"/>
            </w:tcBorders>
          </w:tcPr>
          <w:p>
            <w:pPr>
              <w:jc w:val="right"/>
              <w:ind w:right="8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(0.07)</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7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18,182</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8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81"/>
        </w:trPr>
        <w:tc>
          <w:tcPr>
            <w:tcW w:w="20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40" w:type="dxa"/>
            <w:vAlign w:val="bottom"/>
            <w:gridSpan w:val="6"/>
            <w:vMerge w:val="restart"/>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00" w:type="dxa"/>
            <w:vAlign w:val="bottom"/>
            <w:gridSpan w:val="2"/>
            <w:vMerge w:val="restart"/>
          </w:tcPr>
          <w:p>
            <w:pPr>
              <w:spacing w:after="0"/>
              <w:rPr>
                <w:sz w:val="7"/>
                <w:szCs w:val="7"/>
                <w:color w:val="auto"/>
              </w:rPr>
            </w:pPr>
          </w:p>
        </w:tc>
        <w:tc>
          <w:tcPr>
            <w:tcW w:w="20" w:type="dxa"/>
            <w:vAlign w:val="bottom"/>
          </w:tcPr>
          <w:p>
            <w:pPr>
              <w:spacing w:after="0"/>
              <w:rPr>
                <w:sz w:val="7"/>
                <w:szCs w:val="7"/>
                <w:color w:val="auto"/>
              </w:rPr>
            </w:pPr>
          </w:p>
        </w:tc>
        <w:tc>
          <w:tcPr>
            <w:tcW w:w="1440" w:type="dxa"/>
            <w:vAlign w:val="bottom"/>
            <w:gridSpan w:val="6"/>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80" w:type="dxa"/>
            <w:vAlign w:val="bottom"/>
            <w:gridSpan w:val="2"/>
            <w:vMerge w:val="restart"/>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6"/>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6"/>
            <w:vMerge w:val="continue"/>
          </w:tcPr>
          <w:p>
            <w:pPr>
              <w:spacing w:after="0"/>
              <w:rPr>
                <w:sz w:val="8"/>
                <w:szCs w:val="8"/>
                <w:color w:val="auto"/>
              </w:rPr>
            </w:pPr>
          </w:p>
        </w:tc>
        <w:tc>
          <w:tcPr>
            <w:tcW w:w="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3"/>
          </w:tcPr>
          <w:p>
            <w:pPr>
              <w:ind w:left="60"/>
              <w:spacing w:after="0" w:line="102" w:lineRule="exact"/>
              <w:rPr>
                <w:sz w:val="20"/>
                <w:szCs w:val="20"/>
                <w:color w:val="auto"/>
              </w:rPr>
            </w:pPr>
            <w:r>
              <w:rPr>
                <w:rFonts w:ascii="Times New Roman" w:cs="Times New Roman" w:eastAsia="Times New Roman" w:hAnsi="Times New Roman"/>
                <w:sz w:val="10"/>
                <w:szCs w:val="10"/>
                <w:b w:val="1"/>
                <w:bCs w:val="1"/>
                <w:color w:val="auto"/>
              </w:rPr>
              <w:t>Paid in</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3"/>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40" w:type="dxa"/>
            <w:vAlign w:val="bottom"/>
          </w:tcPr>
          <w:p>
            <w:pPr>
              <w:spacing w:after="0"/>
              <w:rPr>
                <w:sz w:val="8"/>
                <w:szCs w:val="8"/>
                <w:color w:val="auto"/>
              </w:rPr>
            </w:pPr>
          </w:p>
        </w:tc>
        <w:tc>
          <w:tcPr>
            <w:tcW w:w="880" w:type="dxa"/>
            <w:vAlign w:val="bottom"/>
            <w:gridSpan w:val="4"/>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40" w:type="dxa"/>
            <w:vAlign w:val="bottom"/>
          </w:tcPr>
          <w:p>
            <w:pPr>
              <w:spacing w:after="0"/>
              <w:rPr>
                <w:sz w:val="8"/>
                <w:szCs w:val="8"/>
                <w:color w:val="auto"/>
              </w:rPr>
            </w:pPr>
          </w:p>
        </w:tc>
        <w:tc>
          <w:tcPr>
            <w:tcW w:w="920" w:type="dxa"/>
            <w:vAlign w:val="bottom"/>
            <w:gridSpan w:val="4"/>
          </w:tcPr>
          <w:p>
            <w:pPr>
              <w:spacing w:after="0" w:line="102"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20" w:type="dxa"/>
            <w:vAlign w:val="bottom"/>
          </w:tcPr>
          <w:p>
            <w:pPr>
              <w:spacing w:after="0"/>
              <w:rPr>
                <w:sz w:val="8"/>
                <w:szCs w:val="8"/>
                <w:color w:val="auto"/>
              </w:rPr>
            </w:pPr>
          </w:p>
        </w:tc>
        <w:tc>
          <w:tcPr>
            <w:tcW w:w="860" w:type="dxa"/>
            <w:vAlign w:val="bottom"/>
            <w:gridSpan w:val="2"/>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3"/>
        </w:trPr>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0" w:type="dxa"/>
            <w:vAlign w:val="bottom"/>
          </w:tcPr>
          <w:p>
            <w:pPr>
              <w:spacing w:after="0"/>
              <w:rPr>
                <w:sz w:val="15"/>
                <w:szCs w:val="15"/>
                <w:color w:val="auto"/>
              </w:rPr>
            </w:pPr>
          </w:p>
        </w:tc>
        <w:tc>
          <w:tcPr>
            <w:tcW w:w="6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0" w:type="dxa"/>
            <w:vAlign w:val="bottom"/>
          </w:tcPr>
          <w:p>
            <w:pPr>
              <w:spacing w:after="0"/>
              <w:rPr>
                <w:sz w:val="15"/>
                <w:szCs w:val="15"/>
                <w:color w:val="auto"/>
              </w:rPr>
            </w:pPr>
          </w:p>
        </w:tc>
        <w:tc>
          <w:tcPr>
            <w:tcW w:w="6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6"/>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as of December 31, 2023</w:t>
            </w:r>
          </w:p>
        </w:tc>
        <w:tc>
          <w:tcPr>
            <w:tcW w:w="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13,873</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7,416</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39,432</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(36,830)</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63,395</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66,018</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common stock</w:t>
            </w:r>
          </w:p>
        </w:tc>
        <w:tc>
          <w:tcPr>
            <w:tcW w:w="4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based compensation</w:t>
            </w:r>
          </w:p>
        </w:tc>
        <w:tc>
          <w:tcPr>
            <w:tcW w:w="4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0" w:type="dxa"/>
            <w:vAlign w:val="bottom"/>
          </w:tcPr>
          <w:p>
            <w:pPr>
              <w:spacing w:after="0"/>
              <w:rPr>
                <w:sz w:val="1"/>
                <w:szCs w:val="1"/>
                <w:color w:val="auto"/>
              </w:rPr>
            </w:pPr>
          </w:p>
        </w:tc>
      </w:tr>
      <w:tr>
        <w:trPr>
          <w:trHeight w:val="122"/>
        </w:trPr>
        <w:tc>
          <w:tcPr>
            <w:tcW w:w="20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Contributions from noncontrolling</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40" w:type="dxa"/>
            <w:vAlign w:val="bottom"/>
          </w:tcPr>
          <w:p>
            <w:pPr>
              <w:spacing w:after="0"/>
              <w:rPr>
                <w:sz w:val="15"/>
                <w:szCs w:val="15"/>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6,388</w:t>
            </w:r>
          </w:p>
        </w:tc>
        <w:tc>
          <w:tcPr>
            <w:tcW w:w="0" w:type="dxa"/>
            <w:vAlign w:val="bottom"/>
          </w:tcPr>
          <w:p>
            <w:pPr>
              <w:spacing w:after="0"/>
              <w:rPr>
                <w:sz w:val="1"/>
                <w:szCs w:val="1"/>
                <w:color w:val="auto"/>
              </w:rPr>
            </w:pPr>
          </w:p>
        </w:tc>
      </w:tr>
      <w:tr>
        <w:trPr>
          <w:trHeight w:val="130"/>
        </w:trPr>
        <w:tc>
          <w:tcPr>
            <w:tcW w:w="200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Redemptions of noncontrolling</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0" w:type="dxa"/>
            <w:vAlign w:val="bottom"/>
          </w:tcPr>
          <w:p>
            <w:pPr>
              <w:spacing w:after="0"/>
              <w:rPr>
                <w:sz w:val="1"/>
                <w:szCs w:val="1"/>
                <w:color w:val="auto"/>
              </w:rPr>
            </w:pPr>
          </w:p>
        </w:tc>
      </w:tr>
      <w:tr>
        <w:trPr>
          <w:trHeight w:val="122"/>
        </w:trPr>
        <w:tc>
          <w:tcPr>
            <w:tcW w:w="20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40" w:type="dxa"/>
            <w:vAlign w:val="bottom"/>
          </w:tcPr>
          <w:p>
            <w:pPr>
              <w:spacing w:after="0"/>
              <w:rPr>
                <w:sz w:val="15"/>
                <w:szCs w:val="15"/>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(1,604)</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Deconsolidation of VIEs</w:t>
            </w:r>
          </w:p>
        </w:tc>
        <w:tc>
          <w:tcPr>
            <w:tcW w:w="4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21,183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21,183</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4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(5,262)</w:t>
            </w:r>
          </w:p>
        </w:tc>
        <w:tc>
          <w:tcPr>
            <w:tcW w:w="0" w:type="dxa"/>
            <w:vAlign w:val="bottom"/>
          </w:tcPr>
          <w:p>
            <w:pPr>
              <w:spacing w:after="0"/>
              <w:rPr>
                <w:sz w:val="1"/>
                <w:szCs w:val="1"/>
                <w:color w:val="auto"/>
              </w:rPr>
            </w:pPr>
          </w:p>
        </w:tc>
      </w:tr>
      <w:tr>
        <w:trPr>
          <w:trHeight w:val="200"/>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as of March 31, 2024</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14,311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7,416</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39,869</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(40,635)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87,235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86,490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as of December 31, 2022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33,108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(13,626)</w:t>
            </w:r>
          </w:p>
        </w:tc>
        <w:tc>
          <w:tcPr>
            <w:tcW w:w="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(22,709)</w:t>
            </w: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80,398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77,189</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4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7"/>
              </w:rPr>
              <w:t>Equity based compensation expense</w:t>
            </w:r>
          </w:p>
        </w:tc>
        <w:tc>
          <w:tcPr>
            <w:tcW w:w="4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0" w:type="dxa"/>
            <w:vAlign w:val="bottom"/>
          </w:tcPr>
          <w:p>
            <w:pPr>
              <w:spacing w:after="0"/>
              <w:rPr>
                <w:sz w:val="1"/>
                <w:szCs w:val="1"/>
                <w:color w:val="auto"/>
              </w:rPr>
            </w:pPr>
          </w:p>
        </w:tc>
      </w:tr>
      <w:tr>
        <w:trPr>
          <w:trHeight w:val="130"/>
        </w:trPr>
        <w:tc>
          <w:tcPr>
            <w:tcW w:w="200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Contributions from noncontrolling</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4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7,629</w:t>
            </w:r>
          </w:p>
        </w:tc>
        <w:tc>
          <w:tcPr>
            <w:tcW w:w="0" w:type="dxa"/>
            <w:vAlign w:val="bottom"/>
          </w:tcPr>
          <w:p>
            <w:pPr>
              <w:spacing w:after="0"/>
              <w:rPr>
                <w:sz w:val="1"/>
                <w:szCs w:val="1"/>
                <w:color w:val="auto"/>
              </w:rPr>
            </w:pPr>
          </w:p>
        </w:tc>
      </w:tr>
      <w:tr>
        <w:trPr>
          <w:trHeight w:val="138"/>
        </w:trPr>
        <w:tc>
          <w:tcPr>
            <w:tcW w:w="200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3"/>
                <w:szCs w:val="13"/>
                <w:color w:val="auto"/>
              </w:rPr>
              <w:t>Redemptions of noncontrolling</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4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130"/>
        </w:trPr>
        <w:tc>
          <w:tcPr>
            <w:tcW w:w="200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interest holders</w:t>
            </w:r>
          </w:p>
        </w:tc>
        <w:tc>
          <w:tcPr>
            <w:tcW w:w="4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(1,752)</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Consolidation of VIEs</w:t>
            </w:r>
          </w:p>
        </w:tc>
        <w:tc>
          <w:tcPr>
            <w:tcW w:w="4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(20,805)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(20,805)</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Deconsolidation of VIEs</w:t>
            </w:r>
          </w:p>
        </w:tc>
        <w:tc>
          <w:tcPr>
            <w:tcW w:w="4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9,539</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Retirement of treasury stock</w:t>
            </w:r>
          </w:p>
        </w:tc>
        <w:tc>
          <w:tcPr>
            <w:tcW w:w="4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(1,418)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 income</w:t>
            </w:r>
          </w:p>
        </w:tc>
        <w:tc>
          <w:tcPr>
            <w:tcW w:w="4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(1,207)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200"/>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as of March 31, 2023</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10,749</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7,416</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33,810</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(12,208)</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(25,334)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76,216</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72,502</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348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 w:type="dxa"/>
            <w:vAlign w:val="bottom"/>
          </w:tcPr>
          <w:p>
            <w:pPr>
              <w:spacing w:after="0"/>
              <w:rPr>
                <w:sz w:val="19"/>
                <w:szCs w:val="19"/>
                <w:color w:val="auto"/>
              </w:rPr>
            </w:pPr>
          </w:p>
        </w:tc>
        <w:tc>
          <w:tcPr>
            <w:tcW w:w="768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209"/>
        </w:trPr>
        <w:tc>
          <w:tcPr>
            <w:tcW w:w="8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income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income to net cash from operating activities: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 and gain on lease extinguishment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performance allocations</w:t>
            </w:r>
          </w:p>
        </w:tc>
        <w:tc>
          <w:tcPr>
            <w:tcW w:w="10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above-market/below market leases and straight-line rent, net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right-of-use assets and other assets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to related parties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liabilities and other liabilities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60" w:type="dxa"/>
            <w:vAlign w:val="bottom"/>
          </w:tcPr>
          <w:p>
            <w:pPr>
              <w:spacing w:after="0"/>
              <w:rPr>
                <w:sz w:val="19"/>
                <w:szCs w:val="19"/>
                <w:color w:val="auto"/>
              </w:rPr>
            </w:pPr>
          </w:p>
        </w:tc>
      </w:tr>
      <w:tr>
        <w:trPr>
          <w:trHeight w:val="184"/>
        </w:trPr>
        <w:tc>
          <w:tcPr>
            <w:tcW w:w="80" w:type="dxa"/>
            <w:vAlign w:val="bottom"/>
          </w:tcPr>
          <w:p>
            <w:pPr>
              <w:spacing w:after="0"/>
              <w:rPr>
                <w:sz w:val="16"/>
                <w:szCs w:val="16"/>
                <w:color w:val="auto"/>
              </w:rPr>
            </w:pPr>
          </w:p>
        </w:tc>
        <w:tc>
          <w:tcPr>
            <w:tcW w:w="76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Adjustments to reconcile net (loss) income to net cash from operating activities of consolidated</w:t>
            </w: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80" w:type="dxa"/>
            <w:vAlign w:val="bottom"/>
          </w:tcPr>
          <w:p>
            <w:pPr>
              <w:spacing w:after="0"/>
              <w:rPr>
                <w:sz w:val="20"/>
                <w:szCs w:val="20"/>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funds:</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80" w:type="dxa"/>
            <w:vAlign w:val="bottom"/>
          </w:tcPr>
          <w:p>
            <w:pPr>
              <w:spacing w:after="0"/>
              <w:rPr>
                <w:sz w:val="19"/>
                <w:szCs w:val="19"/>
                <w:color w:val="auto"/>
              </w:rPr>
            </w:pPr>
          </w:p>
        </w:tc>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lease expense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the disposition of real estate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advanced key money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above-market/below market leases and straight-line rent,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 of consolidated funds: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right-of use assets and other assets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to related parties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liabilities and other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7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the Company's operating activities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60" w:type="dxa"/>
            <w:vAlign w:val="bottom"/>
          </w:tcPr>
          <w:p>
            <w:pPr>
              <w:spacing w:after="0"/>
              <w:rPr>
                <w:sz w:val="19"/>
                <w:szCs w:val="19"/>
                <w:color w:val="auto"/>
              </w:rPr>
            </w:pPr>
          </w:p>
        </w:tc>
      </w:tr>
      <w:tr>
        <w:trPr>
          <w:trHeight w:val="237"/>
        </w:trPr>
        <w:tc>
          <w:tcPr>
            <w:tcW w:w="80" w:type="dxa"/>
            <w:vAlign w:val="bottom"/>
          </w:tcPr>
          <w:p>
            <w:pPr>
              <w:spacing w:after="0"/>
              <w:rPr>
                <w:sz w:val="20"/>
                <w:szCs w:val="20"/>
                <w:color w:val="auto"/>
              </w:rPr>
            </w:pPr>
          </w:p>
        </w:tc>
        <w:tc>
          <w:tcPr>
            <w:tcW w:w="7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8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real estate assets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real estate assets</w:t>
            </w:r>
          </w:p>
        </w:tc>
        <w:tc>
          <w:tcPr>
            <w:tcW w:w="10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(19,472)</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Funding of notes receivable - related parties</w:t>
            </w:r>
          </w:p>
        </w:tc>
        <w:tc>
          <w:tcPr>
            <w:tcW w:w="10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received on notes receivable - related parties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743"/>
        </w:trPr>
        <w:tc>
          <w:tcPr>
            <w:tcW w:w="7760" w:type="dxa"/>
            <w:vAlign w:val="bottom"/>
            <w:gridSpan w:val="2"/>
          </w:tcPr>
          <w:p>
            <w:pPr>
              <w:jc w:val="right"/>
              <w:ind w:right="2010"/>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76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 of consolidated funds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Consolidation of VIEs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12,927</w:t>
            </w: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Deconsolidation of VIEs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w:t>
            </w: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in real estate assets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w:t>
            </w: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real estate assets</w:t>
            </w:r>
          </w:p>
        </w:tc>
        <w:tc>
          <w:tcPr>
            <w:tcW w:w="10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sale of real estate assets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Funding of notes receivable - related parties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r>
      <w:tr>
        <w:trPr>
          <w:trHeight w:val="229"/>
        </w:trPr>
        <w:tc>
          <w:tcPr>
            <w:tcW w:w="7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 received on notes receivable - related parties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23"/>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the Company's investing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(35,981)</w:t>
            </w: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36,873</w:t>
            </w: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notes payable - related parties</w:t>
            </w:r>
          </w:p>
        </w:tc>
        <w:tc>
          <w:tcPr>
            <w:tcW w:w="10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notes payable - related parties</w:t>
            </w:r>
          </w:p>
        </w:tc>
        <w:tc>
          <w:tcPr>
            <w:tcW w:w="10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treasury stock - buyback obligation</w:t>
            </w:r>
          </w:p>
        </w:tc>
        <w:tc>
          <w:tcPr>
            <w:tcW w:w="10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 of consolidated funds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60,157</w:t>
            </w: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(56,899)</w:t>
            </w: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notes payable - related parties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notes payable - related parties</w:t>
            </w:r>
          </w:p>
        </w:tc>
        <w:tc>
          <w:tcPr>
            <w:tcW w:w="10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from noncontrolling interest holders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w:t>
            </w: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Redemptions of noncontrolling interests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to noncontrolling interest holders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r>
      <w:tr>
        <w:trPr>
          <w:trHeight w:val="223"/>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cash provided by the Company's financing activities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42,722</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Restricted Cash</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Beginning of Period</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15,934</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End of Period</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41" w:right="35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at beginning of period</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Restricted cash at beginning of period</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Cash and restricted cash at beginning of period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4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w:t>
            </w:r>
          </w:p>
        </w:tc>
      </w:tr>
      <w:tr>
        <w:trPr>
          <w:trHeight w:val="234"/>
        </w:trPr>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13,835</w:t>
            </w:r>
          </w:p>
        </w:tc>
        <w:tc>
          <w:tcPr>
            <w:tcW w:w="1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8,277</w:t>
            </w:r>
          </w:p>
        </w:tc>
      </w:tr>
      <w:tr>
        <w:trPr>
          <w:trHeight w:val="223"/>
        </w:trPr>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1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15,934</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-624840</wp:posOffset>
            </wp:positionV>
            <wp:extent cx="711517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-334010</wp:posOffset>
            </wp:positionV>
            <wp:extent cx="711517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-16510</wp:posOffset>
            </wp:positionV>
            <wp:extent cx="711517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720"/>
            <w:col w:w="3540"/>
          </w:cols>
          <w:pgMar w:left="320" w:top="941" w:right="359" w:bottom="1440" w:gutter="0" w:footer="0" w:header="0"/>
          <w:type w:val="continuous"/>
        </w:sectPr>
      </w:pP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at end of period</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Restricted cash at end of period</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Cash and restricted cash at end of period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10,673</w:t>
            </w:r>
          </w:p>
        </w:tc>
      </w:tr>
      <w:tr>
        <w:trPr>
          <w:trHeight w:val="234"/>
        </w:trPr>
        <w:tc>
          <w:tcPr>
            <w:tcW w:w="6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13,052</w:t>
            </w:r>
          </w:p>
        </w:tc>
      </w:tr>
      <w:tr>
        <w:trPr>
          <w:trHeight w:val="223"/>
        </w:trPr>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23,725</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-334010</wp:posOffset>
            </wp:positionV>
            <wp:extent cx="711517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720"/>
            <w:col w:w="3540"/>
          </w:cols>
          <w:pgMar w:left="320" w:top="941" w:right="359" w:bottom="1440" w:gutter="0" w:footer="0" w:header="0"/>
          <w:type w:val="continuous"/>
        </w:sectPr>
      </w:pP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CaliberCos Inc., a Delaware corporation, and its wholly-owned subsidiaries (the “Company”), is an alternative asset manager of private syndication and direct investment real estate funds and provider of a full suite of traditional real estate services. The Company was formed in November 2014, and originally began as Caliber Companies, LLC, an Arizona limited liability company, which commenced operations in January 2009. The Company provides various support services to the investments we manage including asset management services, fund set-up services, lending support, construction and development management, and real estate brokerage. As of March 31, 2024, we had operations in Alaska, Arizona, Colorado, and Texas.</w:t>
      </w:r>
    </w:p>
    <w:p>
      <w:pPr>
        <w:spacing w:after="0" w:line="1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general, our private equity real estate funds are organized as operating partnerships, in which multiple unrelated passive investors own partnership interests. In addition, we are designated as the manager and/or general partner of the partnership. Depending on the legal structure and arrangements between us and the funds, we may or may not consolidate the partnerships for financial reporting purposes. For funds in which we are determined to be the controlling party or primary beneficiary for financial reporting purposes, the fund is consolidated, and the passive investors’ ownership is presented as noncontrolling interest in the accompanying consolidated financial statements (“Consolidated Funds”, and collectively with the Company, the “Consolidated Company”, “Caliber”, “we”, “our”, and “us”). For funds in which we are not determined to be the controlling party for financial reporting purposes, the fund is not consolidated, and any fees earned from the fund are included in fund management revenue in the accompanying consolidated financial statements. See Note 2 – Summary of Significant Accounting Policies for more detail.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generally accepted accounting principles applicable to a going concern, which contemplates the realization of assets and the satisfaction of liabilities in the normal course of business.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March 31, 2024, the Company had individual corporate notes aggregating $36.7 million for which the maturity dates of these notes are within the 12-month period subsequent to when these financial statements were issued. Additionally, the Company has incurred operating losses and negative operating cash flows for the three months ended March 31, 2024, and anticipates additional future operating losses and negative operating cash flows. The Company does not have sufficient cash on hand to satisfy such obligations. As such these conditions and events raise substantial doubt about the Company’s ability to continue as a going concern.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response to these conditions, management plans to i) continue to negotiate extensions of such loans or refinance such debt, ii) obtain new financing,</w:t>
      </w:r>
    </w:p>
    <w:p>
      <w:pPr>
        <w:spacing w:after="0" w:line="16" w:lineRule="exact"/>
        <w:rPr>
          <w:sz w:val="20"/>
          <w:szCs w:val="20"/>
          <w:color w:val="auto"/>
        </w:rPr>
      </w:pPr>
    </w:p>
    <w:p>
      <w:pPr>
        <w:jc w:val="both"/>
        <w:ind w:firstLine="8"/>
        <w:spacing w:after="0" w:line="234" w:lineRule="auto"/>
        <w:tabs>
          <w:tab w:leader="none" w:pos="2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operating costs, iv) collect receivables and return investments from the Consolidated Funds, and/or v) increase capital raise through continued expansion of fundraising channels. The Company has commenced discussions with the various lenders in pursuit of extending or refinancing its loans. Subsequent to March 31, 2024, the Company extended the maturity dates of certain corporate and convertible notes. As of May 9, 2024, an aggregate of $36.4 million of corporate and convertible notes mature within the 12-month period subsequent to when these financial statements were issued (see Note 6</w:t>
      </w:r>
    </w:p>
    <w:p>
      <w:pPr>
        <w:spacing w:after="0" w:line="2" w:lineRule="exact"/>
        <w:rPr>
          <w:rFonts w:ascii="Times New Roman" w:cs="Times New Roman" w:eastAsia="Times New Roman" w:hAnsi="Times New Roman"/>
          <w:sz w:val="18"/>
          <w:szCs w:val="18"/>
          <w:color w:val="auto"/>
        </w:rPr>
      </w:pPr>
    </w:p>
    <w:p>
      <w:pPr>
        <w:jc w:val="both"/>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Notes Payable). Management’s plans include timely collection on the Company’s outstanding accounts and notes receivable from affiliated entities for which management has influence and control and implementing strategies to reduce costs. The Company executed a reduction in force of approximately 10% of its employees in May 2024, with an expected annual saving of compensation and benefits expenses of $4.0 million. The Company has also executed on cost reduction plans with estimated annual savings of $2.5 million. In addition, Caliber Hospitality Trust, Inc. (the “Caliber Hospitality Trust”) received a $10.0 million investment commitment into its Series D preferrd equity in May 2024, of which a portion will be used to repay amounts due to the Company. The Company concluded that management’s plans are probable of being achieved to alleviate substantial doubt about the Company’s 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on the accrual basis of accounting in accordance with generally accepted accounting principles in the United States of America (“U.S. GAAP”). The accompanying consolidated financial statements include our accounts, our consolidated subsidiaries, and legal entities in which the Company is deemed to have a direct or indirect controlling financial interest based on either a variable interest model or voting interest model. The equity and net income or loss attributable to noncontrolling interests in subsidiaries is shown separately in the accompanying consolidated balance sheets, statements of operations, and statements of changes in stockholders’ equity. All intercompany balances and transactions have been eliminated in consolidation.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determine if an entity is a variable interest entity (“VIE”) based on several factors, including whether the equity holders, as a group, lack the characteristics of a controlling financial interest. We analyze any investments in VIEs to determine if we are the primary beneficiary. A reporting entity is determined to be the primary beneficiary if it holds a controlling financial interest in a VIE.</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Determining which reporting entity, if any, has a controlling financial interest in a VIE is primarily a qualitative analysis focused on identifying which reporting entity has both (i) the power to direct the activities of the entity that most significantly impact the entity’s economic performance and (ii) the obligation to absorb losses or the right to receive benefits from such entity that could potentially be significant to such entity. Performance of that analysis requires the exercise of judgment. We consolidate any VIEs for which we are the primary beneficiary, and we disclose our maximum exposure to loss related to the consolidated VIEs. See Note 3 – VIEs for more detail.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 Interest Entities</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Entities that do not qualify as VIEs are generally assessed for consolidation as voting interest entities (“VOEs”). For VOEs, we consolidate an entity if we have a controlling financial interest. We have a controlling financial interest in a VOE if (i) for legal entities other than partnerships, we own a majority voting interest in the entity or, for limited partnerships and similar entities, we own a majority of the entity’s kick-out rights through voting limited partnership interests and (ii) non-controlling shareholders or partners do not hold substantive participating rights, and no other conditions exist that would indicate that we do not control the entity.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Unaudited Financial Data</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reflect all adjustments, which are, in our opinion, of a normal recurring nature and necessary for a fair presentation of our financial position, results of operations and cash flows for the interim periods. Interim results of operations are not necessarily indicative of the results to be expected for the full year. These consolidated financial statements, including notes, are unaudited, exclude some of the disclosures required for annual consolidated financial statements, and should be read in conjunction with our audited consolidated financial statements for the year ended December 31,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asset management fees and transaction and advisory fees, previously presented in their own line items for prior periods presented, have been combined into one line item, asset management revenues in the accompanying consolidated statements of operations, to be consistent with the current year presentation. The reclassification does not affect prior period’s total revenues or net income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Accounting Estimates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significantly from those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5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Cash includes cash in bank accounts. The Company deposits cash with several high-quality financial institutions. These deposits are guaranteed by the Federal Deposit Insurance Company (“FDIC”) up to an insurance limit of $250,000. At times, the Company’s cash balances may exceed FDIC limits. Although the Company bears risk on amounts in excess of those insured by the FDIC, it has not experienced and does not anticipate any losses due to the high quality of the institutions where the deposits are held.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Restricted cash consists of held in escrow accounts by contractual agreement with lenders as part of financial loan covenant requirements.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Entities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an entity is not a VIE, our determination of the appropriate accounting method with respect to our investments in limited liability companies and other investments is based on voting control. For our managing member interests in limited liability companies, we are presumed to control (and therefore consolidate) the entity, unless the other limited partners have substantive rights that overcome this presumption of control. These substantive rights allow the limited partners to remove the general partner with or without cause or to participate in significant decisions made in the ordinary course of the entity’s business. We account for our non-controlling investments in these entities under the equity method. Our investments in unconsolidated subsidiaries in which we have the ability to exercise significant influence over operating and financial policies, but do not control, or entities which are VIE in which we are not the primary beneficiary are accounted for under the equity method. The equity method of accounting requires the investment to be initially recorded at cost and subsequently adjusted for the Company’s share of equity in the equity method investment’s earnings and distributions. Our share of the earnings or loss from equity method investments is included in other income (expenses), net on the accompanying consolidated statements of operations.</w:t>
      </w:r>
    </w:p>
    <w:p>
      <w:pPr>
        <w:spacing w:after="0" w:line="2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determination of the appropriate accounting treatment for an investment in a subsidiary requires judgment of several factors including the size and nature of our ownership interest and the other owners’ substantive rights to make decisions for the entity. If we were to make different judgments or conclusions as to the level of our control or influence, it could result in a different accounting treatment. Consolidating an investment generally would have no impact on our net income or stockholders’ deficit attributable to CaliberCos Inc. in any accounting period, but a different treatment would impact individual income statement and balance sheet line items, as consolidation would effectively “gross up” our statement of operations and balance sheet.</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the carrying amount of our investments in unconsolidated entities was $9.7 million and $3.3 million, respectively. During the three months ended March 31, 2024, the Company deconsolidated the Caliber Hospitality Trust and Caliber Hospitality, LP, which included activity from six hospitality funds. At which time, the Company’s investment in the Caliber Hospitality Trust and Caliber Hospitality, LP were no longer eliminated and are included in investments in unconsolidated entities in the accompanying consolidated balance sheet as of March 31, 2024. See Note 3 – VIEs.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certain situations, the Company has invested only a nominal amount of cash, or no cash at all, into a venture. As the manager of the venture, we are entitled to 15.0% – 35.0% of the residual cash flow produced by the venture after the payment of any priority returns. Under the equity method, impairment losses are recognized upon evidence of other-than-temporary losses of value. For the three months ended March 31, 2024 and 2023, the Company had no impairment losses related to its investments in unconsolidated entities.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Depreciation expense includes costs and costs associated with building and building improvements, which are depreciated over the estimated useful life of the respective asset, generally 15 to 40 years. Depreciation expense also includes costs associated with the purchase of furniture and equipment and office leasehold improvements which are recorded at cost. Furniture and equipment costs are depreciated using the straight-line method over the estimated useful life of the asset, generally 3 to 7 years beginning in the first full month the asset is placed in service. Intangible lease assets are amortized using the straight-line method over the shorter of the respective estimated useful life or the lease term.</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each of the three months ended March 31, 2024 and 2023, depreciation expense for the Company was $0.1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Real estate and other long-lived assets to be held and used are stated at cost, less accumulated depreciation and amortization, unless the carrying amount of the asset is determined not to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we recognize an impairment loss to the extent the carrying amount exceeds the estimated fair value of the asset.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2024 and 2023, the Company had no impairment losses related to its real estate and other long-lived assets.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revenues are generated from the management, ownership and/or operations of real estate assets located in Alaska, Arizona, Colorado, and Texas. The Company mitigates the associated risk by:</w:t>
      </w:r>
    </w:p>
    <w:p>
      <w:pPr>
        <w:spacing w:after="0" w:line="189" w:lineRule="exact"/>
        <w:rPr>
          <w:sz w:val="20"/>
          <w:szCs w:val="20"/>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asset types, including hospitality, commercial, single-family, multi-family, and self-storage properties;</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geographic locations including different markets and sub-markets in which our real estate assets are located;</w:t>
      </w: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assets at differing points of stabilization, and in varying states of cash flow optimization; and</w:t>
      </w: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financing relationships with a diversified mix of lenders (differing size and type), including large national banks, local community banks, private equity lenders, and insurance companies.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in Consolidated Real Estate Partnerships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report the unaffiliated partners’ interests in the net assets of our consolidated real estate partnerships as noncontrolling interests within the accompanying consolidated statements of changes in stockholders’ equity. Noncontrolling interests consist of equity interests held by limited partners in consolidated real estate partnerships. We attribute to noncontrolling interests their share of income or loss of the consolidated partnerships based on their proportionate interest in the results of operations of the partnerships, including their share of losses even if such attribution results in a deficit noncontrolling interest balance within our equity and partners’ capital accounts.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terms of the partnership agreements generally require the partnerships to be liquidated following the sale of the underlying real estate assets. As the general partner in these partnerships, we ordinarily control the execution of real estate sales and other events that could lead to the liquidation, redemption or other settlement of noncontrolling interests. The terms of certain partnership agreements outline differing classes of equity ownership, some of which are redeemable by the partnership at the partnership manager’s discretion.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the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management applies the five-step framework in determining the timing and amount of revenue to recognize. This framework requires an entity to: (i) identify the contract(s) with customers, (ii) identify the performance obligations within the</w:t>
      </w:r>
    </w:p>
    <w:p>
      <w:pPr>
        <w:sectPr>
          <w:pgSz w:w="11900" w:h="16838" w:orient="portrait"/>
          <w:cols w:equalWidth="0" w:num="1">
            <w:col w:w="11240"/>
          </w:cols>
          <w:pgMar w:left="320" w:top="121"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(iii) determine the transaction price, (iv) allocate the transaction price to the performance obligations within the contract, and (v) recognize revenue when or as the entity satisfies a performance obligation.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spacing w:after="0" w:line="2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spacing w:after="0" w:line="21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describes the Company’s revenue recognition policy related to the fees the Company earns from providing services under its asset management platform:</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the Company earns a fund management fee of 0.7% of the Caliber Hospitality Trust’s enterprise value and is reimbursed for certain costs incurred on behalf of the Caliber Hospitality Trust. These revenues are included in asset management revenues in the accompanying consolidated statements of operations.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 These revenues are included in asset management revenues in the accompanying consolidated statements of operations.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consolidated statements of operations.</w:t>
      </w:r>
    </w:p>
    <w:p>
      <w:pPr>
        <w:spacing w:after="0" w:line="21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 and are included in asset management revenues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consolidated statements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Lessor</w:t>
      </w:r>
    </w:p>
    <w:p>
      <w:pPr>
        <w:spacing w:after="0" w:line="25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direct financing lease. All other leases are classified as operating leases. The Company did not have any sales-type or direct financing leases as of March 31, 2024 and December 31, 2023.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spacing w:after="0" w:line="2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Lessee</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account for leases for which the Company is the lessee, contracts must be analyzed upon inception to determine if the arrangement is, or contains, a lease. A lease conveys the right to control the use of an identified asset for a period of time in exchange for consideration. Lease classification tests and measurement procedures are performed at the lease commencement date.</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lease liability is initially measured as the present value of the lease payments over the lease term, discounted using the interest rate implicit in the lease, if that rate is readily determinable; otherwise, the lessee’s incremental borrowing rate is used. The incremental borrowing rate is determined based on the estimated rate of interest that the lessee would pay to borrow on a collateralized basis over a similar term at an amount equal to the lease payments in a similar economic environment. The lease term is the noncancelable period of the lease and includes any renewal and termination options the Company is reasonably certain to exercise. The lease liability balance is amortized using the effective interest method. The lease liability is remeasured when the contract is modified, upon the resolution of a contingency such that variable payments become fixed or if the assessment of exercising an extension, termination or purchase option changes.</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right-of-use (“ROU”) asset balance is initially measured as the lease liability amount, adjusted for any lease payments made prior to the commencement date, initial direct costs, estimated costs to dismantle, remove, or restore the underlying asset and incentives received.</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impairment assessment for ROU assets is consistent with the impairment analysis for the Company's other long-lived assets and is reviewed quarterly.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5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Historically, the Company’s operations were organized into three reportable segments, fund management, development, and brokerage. During the three months ended March 31, 2024, the Company reevaluated its reportable segments, considering (i) the evolution of the Company after closing its initial public offering and how the Company’s chief operating decision maker (“CODM”), the Company’s Chief Executive Officer, assesses performance and allocates resources, (ii) changes to the budgeting process and in key personnel driven by the Company’s growth initiatives, and (iii) how management reports ongoing company performance to the Board of Directors. With the evolution and growth of the Company, the Company’s CODM assesses performance and resource allocation on an aggregate basis under the Company’s asset management platform, and no longer reviews operating results for development or brokerage activity separately. As such, management concluded that the Company operates through one operating segment.</w:t>
      </w:r>
    </w:p>
    <w:p>
      <w:pPr>
        <w:spacing w:after="0" w:line="216"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Company’s CODM assesses revenue, operating expenses and key operating statistics to evaluate performance and allocate resources on a basis that eliminates the impact of the consolidated investment funds (intercompany eliminations required by U.S. GAAP) and noncontrolling interests. Management concluded that the consolidated investment funds do not meet the requirements in ASC 280, Segment Reporting, of operating segments, as The Company’s CODM does not review the operating results of these investment funds for the purposes of allocating resources, assessing performance or determining whether additional investments or advances will be made to these funds. The investment funds are consolidated based on the requirement in ASC 810, Consolidation, as the Company was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of Consolidated Funds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Real Estate Investments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Upon the acquisition of real estate properties, a determination is made as to whether the acquisition meets the criteria to be accounted for as an asset acquisition or a business combination. The determination is primarily based on whether the assets acquired, and liabilities assumed meet the definition of a business. The determination of whether the assets acquired, and liabilities assumed meet the definition of a business includes a single or similar asset threshold. In applying the single or similar asset threshold, if substantially all the fair value of the gross assets acquired is concentrated in a single identifiable asset or group of similar identifiable assets, the assets acquired, and liabilities assumed are not considered a business. Most of our consolidated fund acquisitions meet the single or similar asset threshold, due to the fact that substantially all the fair value of the gross assets acquired is attributable to the real estate assets acquired.</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Acquired real estate properties accounted for as asset acquisitions are recorded at cost, including acquisition and closing costs. Our consolidated funds allocate the cost of real estate properties to the tangible and intangible assets and liabilities acquired based on their estimated relative fair values. Our consolidated funds determine the fair value of tangible assets, such as land, building, furniture, fixtures and equipment, using a combination of internal valuation techniques that consider comparable market transactions, replacement costs and other available information and fair value estimates provided by third-party valuation specialists, depending upon the circumstances of the acquisition. Our consolidated funds determine the fair value of identified intangible assets or liabilities, which typically relate to in-place leases, using a combination of internal valuation techniques that consider the terms of the in-place leases, current market data for comparable leases, and fair value estimates provided by third-party valuation specialists, depending upon the circumstances of the acquisition.</w:t>
      </w:r>
    </w:p>
    <w:p>
      <w:pPr>
        <w:spacing w:after="0" w:line="2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 transaction is determined to be a business combination, the assets acquired, liabilities assumed, and any identified intangibles are recorded at their estimated fair values on the transaction date, and transaction costs are expensed in the period incurred.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Capitalization and Depreciation</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consolidated funds capitalize costs, including certain indirect costs, incurred in connection with their development and construction activities. Included in these capitalized costs are payroll costs associated with time spent by site employees in connection with capital addition activities at the asset level. Interest, property taxes and insurance are also capitalized during periods in which redevelopment, development and construction projects are in progress. Capitalization of costs, including certain indirect costs, incurred in connection with our capital addition activities, commence at the point in time when activities necessary to get the assets ready for their intended use are in progress. This includes when assets are undergoing physical construction, as well as when apartment homes are held vacant in advance of planned construction, provided that other activities such as permitting, planning and design are in progress. Our consolidated funds cease the capitalization of costs when the assets are substantially complete and ready for their intended use, which is typically when construction has been completed and apartment homes or other properties are available for occupancy. Cost of ordinary repairs, maintenance and resident turnover are charged to operating expense, as incurred.</w:t>
      </w:r>
    </w:p>
    <w:p>
      <w:pPr>
        <w:spacing w:after="0" w:line="21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for all tangible real estate assets is calculated using the straight-line method over the estimated useful lives of the assets. The estimated useful lives of our real estate assets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 40 years</w:t>
            </w:r>
          </w:p>
        </w:tc>
      </w:tr>
      <w:tr>
        <w:trPr>
          <w:trHeight w:val="23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7 years</w:t>
            </w:r>
          </w:p>
        </w:tc>
      </w:tr>
    </w:tbl>
    <w:p>
      <w:pPr>
        <w:spacing w:after="0" w:line="3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2024 and 2023, depreciation expense was $2.1 million and $2.4 million,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Real estate and other long-lived assets to be held and used are stated at cost, less accumulated depreciation and amortization, unless the carrying amount of the asset is determined to not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our consolidated funds recognize an impairment loss to the extent the carrying amount exceeds the estimated fair value of the asset.</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our consolidated funds did not record an impairment loss related to its real estate and other long-lived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includes cash in bank accounts. The consolidated funds deposit cash with several high-quality financial institutions. These deposits are guaranteed by the FDIC up to an insurance limit of $250,000. At times, cash balances may exceed FDIC limits. Although the consolidated funds bear risk on amounts in excess of those insured by the FDIC, they have not experienced and do not anticipate any losses due to the high quality of the institutions where the deposits are held.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Restricted cash consists of tenant security deposits and cash reserves required by certain loan agreements for capital improvements and repairs. As improvements and repairs are completed, related costs incurred by the consolidated funds are funded from the reserve accounts. Restricted cash also includes cash held in escrow accounts by mortgage companies on behalf of the consolidated funds for payment of property taxes, insurance, and interest.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Revenues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funds – hospitality revenue</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spacing w:after="0" w:line="21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receive deposits for events and rooms. Such deposits are deferred and included in other liabilities on the accompanying consolidated balance sheets. The deposits are credited to consolidated funds – hospitality revenue when the specific event takes place.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funds – other revenue</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Consolidated funds – other revenue includes rental revenue of $0.4 million and $1.0 million, for the three months ended March 31, 2024 and 2023, respectively. Rental revenue includes the revenues generated primarily by the rental operations of the residential (multi-family and single-family) and commercial properties of our consolidated funds.</w:t>
      </w:r>
    </w:p>
    <w:p>
      <w:pPr>
        <w:spacing w:after="0" w:line="20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Upon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effective January 1, 2022, 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direct financing lease. All other leases are classified as operating leases. The consolidated funds did not have any sales-type or direct financing leases as of March 31, 2024.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consolidated funds - other revenue includes interest income of $1.0 million and $0.9 million for the three months ended March 31, 2024 and 2023, respectively, which is generated by a consolidated fund’s lending activity. Interest income is recognized on the accrual basis of accounting in accordance with the lending agreements over the term of the respective loan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Expenses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Accounts receivable primarily consists of amounts due from guests or groups for hotel rooms and services provided by the hotel properties. Accounts receivable also include due, but unpaid, rental payments. Our consolidated funds continually review receivables and determine collectability by taking into consideration the history of past write-offs, collections, current credit conditions, tenant payment history, the financial condition of the tenants, business conditions in the industry in which the tenant operates and economic conditions in the area in which the property is located. If the collectability of a receivable is uncertain, our consolidated funds will record an increase in the allowance for doubtful accounts. Amounts that are determined to be uncollectible with a high degree of certainty are written-off through bad debt expense, which is included in consolidated funds – hospitality expenses and consolidated funds – other expenses on the accompanying consolidated statements of operations. Our consolidated funds had no allowance for doubtful accounts as of March 31, 2024 and December 31,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consolidated funds record all derivative instruments on the consolidated balance sheets at fair value. The accounting for changes in the fair value of the derivative and the effect on the financial statements depends on its hedge designation and whether the hedge is highly effective in achieving offsetting changes in the fair value of cash flows of the asset or liability hedged. If the consolidated fund elects not to apply hedge accounting treatment, any changes in the fair value of the derivative instruments is recognized immediately in consolidated funds - hospitality expenses in the consolidated statements of operations. If the derivative is designated and qualifies for hedge accounting treatment, the change in fair value of the derivative is recorded in other comprehensive income (loss).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financial instruments is disclosed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measurements and disclosures consist of a three-level valuation hierarchy. The valuation hierarchy categorizes assets and liabilities measured at fair value into one of three different levels depending on the ability to observe the inputs employed in the measurement using market participant assumptions at the measurement date. An asset’s or liability’s categorization within the valuation hierarchy is based upon the lowest level of input that is significant to the fair value measurement. The three levels are defined as follows:</w:t>
      </w:r>
    </w:p>
    <w:p>
      <w:pPr>
        <w:spacing w:after="0" w:line="20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quoted prices in active markets for identical assets or liabilities that can be accessed at the measurement date.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include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jc w:val="both"/>
        <w:ind w:left="66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These unobservable inputs reflect assumptions about what market participants would use to price the asset or liability and are developed based on the best information available in the circumstances (which might include the reporting company’s own data)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adopted ASU 2016-13, Financial Instruments – Credit Losses and subsequent amendments (collectively, “Topic 326”), effective January 1, 2023. Topic 326 was intended to improve financial reporting by requiring more timely recognition of credit losses on loans and other financial instruments that are not accounted for at fair value through net income and required that financial assets measured at amortized cost be presented at the net amount expected to be collected, through an allowance for credit losses that was deducted from the amortized cost basis. The amendments in Topic 326 required the Company to measure all expected credit losses based upon historical experience, current conditions, and reasonable and supportable forecasts that affect the collectability of the financial assets and eliminated the “incurred loss” methodology under current U.S. GAAP. Loans and receivables between entities under common control are not within the scope of this guidance. The adoption of this guidance did not have a material impact on the Company’s consolidated financial statements.</w:t>
      </w:r>
    </w:p>
    <w:p>
      <w:pPr>
        <w:spacing w:after="0" w:line="217"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The Company adopted the Financial Accounting Standards Board (“FASB”) issued ASU 2020-06,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470-20) and Derivatives and Hedging – Contracts in Entity’s Own Equity (Subtopic 815-40)</w:t>
      </w:r>
      <w:r>
        <w:rPr>
          <w:rFonts w:ascii="Times New Roman" w:cs="Times New Roman" w:eastAsia="Times New Roman" w:hAnsi="Times New Roman"/>
          <w:sz w:val="18"/>
          <w:szCs w:val="18"/>
          <w:color w:val="auto"/>
        </w:rPr>
        <w:t>, effective January 1, 2024, which simplifies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convertible instruments by reducing the number of accounting models for convertible debt instruments and convertible preferred stock, removes certain settlement conditions that are required for equity contracts to qualify for the derivative scope exception and also simplifies the diluted earnings per share calculation in certain areas. The adoption of this guidance did not have a material impact on the Company’s consolidated financial statements.</w:t>
      </w:r>
    </w:p>
    <w:p>
      <w:pPr>
        <w:spacing w:after="0" w:line="20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serves to improve reportable segment disclosure requirements, primarily through enhanced disclosures about significant segment expenses on both an annual and interim basis. The guidance does not change the definition of a segment, the method for determining segments, or the criteria for aggregating operating segments into reportable segments and is effective for fiscal years beginning after December 15, 2023, and interim periods within fiscal years beginning after December 15, 2024, with early adoption permitted. We are currently evaluating the impact of the adoption of ASU 2023-07 on our consolidated financial statements.</w:t>
      </w:r>
    </w:p>
    <w:p>
      <w:pPr>
        <w:spacing w:after="0" w:line="20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 (Topic 740, Income Taxes)</w:t>
      </w:r>
      <w:r>
        <w:rPr>
          <w:rFonts w:ascii="Times New Roman" w:cs="Times New Roman" w:eastAsia="Times New Roman" w:hAnsi="Times New Roman"/>
          <w:sz w:val="18"/>
          <w:szCs w:val="18"/>
          <w:color w:val="auto"/>
        </w:rPr>
        <w:t>. ASU 2023-09, which serves to enhance income tax disclosures by requiring a tabular rate reconciliation and additional information on income taxes paid. The guidance is effective for annual periods beginning after December 15, 2024, with early adoption permitted. We are currently evaluating the impact of the adoption of ASU 2023-09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VIEs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2023, the Company (i) deconsolidated five hospitality funds that were contributed to Caliber Hospitality, LP, whose sole general partner is the Caliber Hospitality Trust and (ii) consolidated Caliber Hospitality, LP and the Caliber Hospitality Trust, which included activity from the five previously consolidated hospitality funds and one previously unconsolidated fund because the Company was determined to be the primary beneficiary as it had the power to direct the activities and the obligation to absorb their losses through its guarantee of the indebtedness secured by the hospitality assets, which was significant to the Caliber Hospitality Trust and Caliber Hospitality, LP.</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Company consolidated West Frontier Holdco, LLC (“West Frontier”) during the three months ended March 31, 2023, as the Company was determined to be the primary beneficiary as the Company has the power to direct the activities of West Frontier and the obligation to absorb their losses through its guarantee of their indebtedness, which is significant to the fund. No additional VIEs were consolidated during the three months ended March 31, 2024. The consolidation of the Caliber Hospitality Trust, Caliber Hospitality, LP, and West Frontier consisted of the following, excluding intercompany eliminations at the time of consolidation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87,897</w:t>
            </w:r>
          </w:p>
        </w:tc>
      </w:tr>
      <w:tr>
        <w:trPr>
          <w:trHeight w:val="22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r>
      <w:tr>
        <w:trPr>
          <w:trHeight w:val="229"/>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w:t>
            </w:r>
          </w:p>
        </w:tc>
      </w:tr>
      <w:tr>
        <w:trPr>
          <w:trHeight w:val="230"/>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r>
      <w:tr>
        <w:trPr>
          <w:trHeight w:val="229"/>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w:t>
            </w:r>
          </w:p>
        </w:tc>
      </w:tr>
      <w:tr>
        <w:trPr>
          <w:trHeight w:val="230"/>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from related parties</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84,076</w:t>
            </w:r>
          </w:p>
        </w:tc>
      </w:tr>
      <w:tr>
        <w:trPr>
          <w:trHeight w:val="230"/>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r>
      <w:tr>
        <w:trPr>
          <w:trHeight w:val="229"/>
        </w:trPr>
        <w:tc>
          <w:tcPr>
            <w:tcW w:w="9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w:t>
            </w:r>
          </w:p>
        </w:tc>
      </w:tr>
      <w:tr>
        <w:trPr>
          <w:trHeight w:val="248"/>
        </w:trPr>
        <w:tc>
          <w:tcPr>
            <w:tcW w:w="9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net</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80,278</w:t>
            </w:r>
          </w:p>
        </w:tc>
      </w:tr>
      <w:tr>
        <w:trPr>
          <w:trHeight w:val="230"/>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34,786</w:t>
            </w:r>
          </w:p>
        </w:tc>
      </w:tr>
      <w:tr>
        <w:trPr>
          <w:trHeight w:val="229"/>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7,858</w:t>
            </w:r>
          </w:p>
        </w:tc>
      </w:tr>
      <w:tr>
        <w:trPr>
          <w:trHeight w:val="230"/>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w:t>
            </w:r>
          </w:p>
        </w:tc>
      </w:tr>
      <w:tr>
        <w:trPr>
          <w:trHeight w:val="230"/>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w:t>
            </w:r>
          </w:p>
        </w:tc>
      </w:tr>
      <w:tr>
        <w:trPr>
          <w:trHeight w:val="230"/>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23"/>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147,823</w:t>
            </w:r>
          </w:p>
        </w:tc>
      </w:tr>
      <w:tr>
        <w:trPr>
          <w:trHeight w:val="270"/>
        </w:trPr>
        <w:tc>
          <w:tcPr>
            <w:tcW w:w="9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9"/>
        </w:trPr>
        <w:tc>
          <w:tcPr>
            <w:tcW w:w="9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66,604</w:t>
            </w:r>
          </w:p>
        </w:tc>
      </w:tr>
      <w:tr>
        <w:trPr>
          <w:trHeight w:val="248"/>
        </w:trPr>
        <w:tc>
          <w:tcPr>
            <w:tcW w:w="92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7, 2024, L.T.D. Hospitality Group LLC (“L.T.D.”) contributed the first of nine committed hotels from L.T.D.’s portfolio to Caliber Hospitality, LP in exchange for $5.7 million in cash, $9.6 million in operating partnership units, and a new $14.1 million loan facility. Upon this reconsideration event, the Company reconsidered its consolidation conclusion, given the change in economics, and concluded that it was no longer the primary beneficiary, as its potential obligation to absorb the losses, through its guarantee of the indebtedness secured by the hospitality assets, were no longer significant to Caliber Hospitality, LP or the Caliber Hospitality Trust. As such, during the three months ended March 31, 2024, the Company deconsolidated Caliber Hospitality, LP, the Caliber Hospitality Trust, and their consolidated subsidiaries. The Company aggregates and reports the results of operations of these VIEs in consolidated fund revenues and consolidated fund expenses within the accompanying consolidated statements of operations through the date of deconsolidation.</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has determined that the equity holders in our consolidated entities, as a group, lack the power to direct the activities that most significantly impact the entity’s economic performance and/or have disproportionate voting rights relative to their equity. The Company was determined to be the primary beneficiary of each of these entities since it has the power to direct the activities of the entities and the right to absorb losses, generally in the form of guarantees of indebtedness that are significant to the individual entities.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Generally, the assets of the individual consolidated VIEs can be used only to settle liabilities of each respective individual consolidated VIEs and the liabilities of the individual consolidated VIEs are liabilities for which creditors or beneficial interest holders do not have recourse to the general credit of the Company. When the VIE is consolidated, we reflect the assets, liabilities, revenues, expenses and cash flows of the consolidated funds on a gross basis, and the interests in the VIEs are included in non-controlling interest in the consolidated financial statements. The Company has provided financial support to certain consolidated VIEs in the form of short-term financing and guarantees of the debts of certain VIEs. In general, our maximum exposure to loss due to involvement with the consolidated VIEs is limited to the amount of capital investment in the VIE, if any, or the potential obligation to perform on the guarantee of debts.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11 – Commitments and Contingencies for additional information related to the commitments and contingencies of these VIEs.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Real Estate Investments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Investments of the Company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asset acquisitions by the Company during the three months ended March 31, 2024. During the three months ended March 31, 2023, the Company acquired its headquarters office building for an aggregate purchase price of $19.5 million with the acquisition being accounted for as an asset acquisition under U.S. GAAP.</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among the assets acquired at their relative fair value as of the acquisition date, consisted of the following for the three months ended March 31, 2023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Real estate investments,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Land and land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Building and building improvements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Furniture, fixtures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 lease assets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jc w:val="right"/>
        <w:ind w:right="4980"/>
        <w:spacing w:after="0"/>
        <w:rPr>
          <w:sz w:val="20"/>
          <w:szCs w:val="20"/>
          <w:color w:val="auto"/>
        </w:rPr>
      </w:pPr>
      <w:r>
        <w:rPr>
          <w:rFonts w:ascii="Times New Roman" w:cs="Times New Roman" w:eastAsia="Times New Roman" w:hAnsi="Times New Roman"/>
          <w:sz w:val="18"/>
          <w:szCs w:val="18"/>
          <w:color w:val="auto"/>
        </w:rPr>
        <w:t>Total purchase price of assets acquired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jc w:val="center"/>
        <w:spacing w:after="0"/>
        <w:rPr>
          <w:sz w:val="20"/>
          <w:szCs w:val="20"/>
          <w:color w:val="auto"/>
        </w:rPr>
      </w:pPr>
      <w:r>
        <w:rPr>
          <w:rFonts w:ascii="Times New Roman" w:cs="Times New Roman" w:eastAsia="Times New Roman" w:hAnsi="Times New Roman"/>
          <w:sz w:val="18"/>
          <w:szCs w:val="18"/>
          <w:b w:val="1"/>
          <w:bCs w:val="1"/>
          <w:color w:val="auto"/>
        </w:rPr>
        <w:t>31, 2023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r>
      <w:tr>
        <w:trPr>
          <w:trHeight w:val="230"/>
        </w:trPr>
        <w:tc>
          <w:tcPr>
            <w:tcW w:w="9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w:t>
            </w:r>
          </w:p>
        </w:tc>
      </w:tr>
      <w:tr>
        <w:trPr>
          <w:trHeight w:val="230"/>
        </w:trPr>
        <w:tc>
          <w:tcPr>
            <w:tcW w:w="9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29"/>
        </w:trPr>
        <w:tc>
          <w:tcPr>
            <w:tcW w:w="9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4"/>
        </w:trPr>
        <w:tc>
          <w:tcPr>
            <w:tcW w:w="9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3"/>
        </w:trPr>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19,472</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20" w:space="720"/>
            <w:col w:w="2400"/>
          </w:cols>
          <w:pgMar w:left="320" w:top="121" w:right="339" w:bottom="1440" w:gutter="0" w:footer="0" w:header="0"/>
          <w:type w:val="continuous"/>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Investments of the Consolidated Funds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 by Consolidated Funds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asset acquisitions by the consolidated funds during the three months ended March 31, 2024. During the three months ended March 31, 2023, the consolidated funds acquired one multi-family residential property for an aggregate purchase price of $6.6 million with the acquisition being accounted for as an asset acquisition under U.S. GAAP.</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among the assets acquired at their relative fair value as of the acquisition date, consisted of the following for the three months ended March 31, 2023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0" w:type="dxa"/>
            <w:vAlign w:val="bottom"/>
          </w:tcPr>
          <w:p>
            <w:pPr>
              <w:spacing w:after="0"/>
              <w:rPr>
                <w:sz w:val="1"/>
                <w:szCs w:val="1"/>
                <w:color w:val="auto"/>
              </w:rPr>
            </w:pPr>
          </w:p>
        </w:tc>
      </w:tr>
      <w:tr>
        <w:trPr>
          <w:trHeight w:val="241"/>
        </w:trPr>
        <w:tc>
          <w:tcPr>
            <w:tcW w:w="578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0" w:type="dxa"/>
            <w:vAlign w:val="bottom"/>
          </w:tcPr>
          <w:p>
            <w:pPr>
              <w:spacing w:after="0"/>
              <w:rPr>
                <w:sz w:val="1"/>
                <w:szCs w:val="1"/>
                <w:color w:val="auto"/>
              </w:rPr>
            </w:pPr>
          </w:p>
        </w:tc>
      </w:tr>
      <w:tr>
        <w:trPr>
          <w:trHeight w:val="212"/>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investments, at cost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40" w:type="dxa"/>
            <w:vAlign w:val="bottom"/>
          </w:tcPr>
          <w:p>
            <w:pPr>
              <w:spacing w:after="0"/>
              <w:rPr>
                <w:sz w:val="19"/>
                <w:szCs w:val="19"/>
                <w:color w:val="auto"/>
              </w:rPr>
            </w:pPr>
          </w:p>
        </w:tc>
        <w:tc>
          <w:tcPr>
            <w:tcW w:w="1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0" w:type="dxa"/>
            <w:vAlign w:val="bottom"/>
          </w:tcPr>
          <w:p>
            <w:pPr>
              <w:spacing w:after="0"/>
              <w:rPr>
                <w:sz w:val="1"/>
                <w:szCs w:val="1"/>
                <w:color w:val="auto"/>
              </w:rPr>
            </w:pPr>
          </w:p>
        </w:tc>
      </w:tr>
      <w:tr>
        <w:trPr>
          <w:trHeight w:val="223"/>
        </w:trPr>
        <w:tc>
          <w:tcPr>
            <w:tcW w:w="7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purchase price of assets acquired</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0" w:type="dxa"/>
            <w:vAlign w:val="bottom"/>
          </w:tcPr>
          <w:p>
            <w:pPr>
              <w:spacing w:after="0"/>
              <w:rPr>
                <w:sz w:val="1"/>
                <w:szCs w:val="1"/>
                <w:color w:val="auto"/>
              </w:rPr>
            </w:pPr>
          </w:p>
        </w:tc>
      </w:tr>
      <w:tr>
        <w:trPr>
          <w:trHeight w:val="21"/>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Prepaid and Other Assets</w:t>
            </w: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1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Prepaid and Other Assets of the Company</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3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Prepaid and other assets consisted of the following as of March 31, 2024 and December 31, 2023 (in thousands):</w:t>
            </w: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Pursuit costs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3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23"/>
        </w:trPr>
        <w:tc>
          <w:tcPr>
            <w:tcW w:w="7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prepaid and other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578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both"/>
        <w:ind w:left="400" w:right="40" w:hanging="264"/>
        <w:spacing w:after="0" w:line="231" w:lineRule="auto"/>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and Other Assets of the Consolidated Funds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and other assets of the consolidated funds consisted of the following as of March 31, 2024 and December 31, 2023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9"/>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Pursuit costs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franchise fees, net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240" w:type="dxa"/>
            <w:vAlign w:val="bottom"/>
          </w:tcPr>
          <w:p>
            <w:pPr>
              <w:spacing w:after="0"/>
              <w:rPr>
                <w:sz w:val="19"/>
                <w:szCs w:val="19"/>
                <w:color w:val="auto"/>
              </w:rPr>
            </w:pP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7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w:t>
            </w:r>
          </w:p>
        </w:tc>
      </w:tr>
      <w:tr>
        <w:trPr>
          <w:trHeight w:val="248"/>
        </w:trPr>
        <w:tc>
          <w:tcPr>
            <w:tcW w:w="7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prepaid and other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340" w:hanging="332"/>
        <w:spacing w:after="0" w:line="250" w:lineRule="auto"/>
        <w:tabs>
          <w:tab w:leader="none" w:pos="2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2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as of December 31, 2023, primarily represents incremental costs, including professional, legal, consulting, accounting and tax services, directly attributable to Caliber Hospitality Trust that are deferred and will be charged against the gross proceeds of the planned public offering.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Notes Payable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of the Company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 payable consisted of the following as of March 31, 2024 and December 31, 2023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00" w:type="dxa"/>
            <w:vAlign w:val="bottom"/>
          </w:tcPr>
          <w:p>
            <w:pPr>
              <w:spacing w:after="0"/>
              <w:rPr>
                <w:sz w:val="17"/>
                <w:szCs w:val="17"/>
                <w:color w:val="auto"/>
              </w:rPr>
            </w:pPr>
          </w:p>
        </w:tc>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17"/>
                <w:szCs w:val="17"/>
                <w:color w:val="auto"/>
              </w:rPr>
            </w:pPr>
          </w:p>
        </w:tc>
        <w:tc>
          <w:tcPr>
            <w:tcW w:w="1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17"/>
                <w:szCs w:val="17"/>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74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43"/>
        </w:trPr>
        <w:tc>
          <w:tcPr>
            <w:tcW w:w="27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880" w:type="dxa"/>
            <w:vAlign w:val="bottom"/>
            <w:gridSpan w:val="2"/>
          </w:tcPr>
          <w:p>
            <w:pPr>
              <w:jc w:val="center"/>
              <w:ind w:right="140"/>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Interest Rate </w:t>
            </w:r>
            <w:r>
              <w:rPr>
                <w:rFonts w:ascii="Times New Roman" w:cs="Times New Roman" w:eastAsia="Times New Roman" w:hAnsi="Times New Roman"/>
                <w:sz w:val="23"/>
                <w:szCs w:val="23"/>
                <w:b w:val="1"/>
                <w:bCs w:val="1"/>
                <w:color w:val="auto"/>
                <w:w w:val="96"/>
                <w:vertAlign w:val="superscript"/>
              </w:rPr>
              <w:t>(1)</w:t>
            </w:r>
          </w:p>
        </w:tc>
        <w:tc>
          <w:tcPr>
            <w:tcW w:w="2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35,392</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36,442</w:t>
            </w:r>
          </w:p>
        </w:tc>
        <w:tc>
          <w:tcPr>
            <w:tcW w:w="14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11.40 %</w:t>
            </w:r>
          </w:p>
        </w:tc>
        <w:tc>
          <w:tcPr>
            <w:tcW w:w="14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2024 - March 2025</w:t>
            </w: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corporate notes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4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2024</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and other loans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14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2024 - November 2029</w:t>
            </w: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notes payable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54,018</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52,952</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53,799</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 of March 31, 2024.</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Real Estate Loans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terms of the loan agreements described below include, among other things, certain financial covenants, as defined in the respective loan agreements, including key financial ratios and liquidity requirements.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Gateway II HoldCo, LLC</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31, 2023, Caliber assumed a loan which is secured by the Company’s headquarters office building (see Note 4 – Real Estate Investments). The terms of the note require monthly principal and interest payments, with a balloon payment due at maturity. The loan has a fixed interest rate of 4.30% in effect through the maturity date in November 2029. The terms of the loan do not allow the prepayment of the outstanding balance in part or in whole at any time prior to the maturity date. The terms of the loan agreement include covenant clauses, which require certain key financial ratios and liquidity be met. As of March 31, 2024 and December 31, 2023, the outstanding principal balance of the loan was $16.1 million and $16.2 million, respectively. As of March 31, 2024, the debt service coverage ratio required by the loan agreement was not satisfied, which per the terms of the agreement required the Company to transfer funds to a cash management account.</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Notes and Convertible Corporate Notes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entered into multiple general corporate financing arrangements with third parties. The arrangements are generally evidenced in the form of a promissory note and require monthly or quarterly interest-only payments until maturity. Certain corporate notes are secured by the otherwise unencumbered assets of the Company. The loans generally have a 12-month term and may be extended upon the mutual agreement of the lender and the borrower. Management believes it can come to a mutual agreement with each lender to extend the maturities of the notes for an additional 12-month term.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March 31, 2024, there were 220 individual corporate notes outstanding, with an average outstanding principal balance of $0.2 million, interest rates ranging from 8.25% to 12.00%, with weighted average interest rate of 11.40%, and maturity dates ranging from January 2024 to March 2025. During the three months ended March 31, 2024, there were no conversions of debt into common stock. In April 2024, the Company entered into a loan extension agreement with certain corporate note holders to extend the respective maturity dates of multiple individual corporate notes, aggregating $12.3 million, for an additional 13 months, resulting in maturity dates of these corporate notes ranging from May 2025 to April 2026. As of May 9, 2024, an aggregate of $36.4 million of corporate and convertible notes mature within the 12-month period subsequent to when these financial statements were issued.</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222 individual corporate notes outstanding, with an average outstanding principal balance of $0.2 million, interest rates ranging from 8.25% to 12.00%, with a weighted average interest rate of 11.42%, and maturity dates ranging from January 2024 to March 2025.</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issued corporate notes with a conversion feature. The conversion price is $7.57 per share of common stock. The holders of the convertible corporate notes can elect to convert all or any portion of the balance at any time. As of March 31, 2024 and December 31, 2023, the value of the conversion feature was zero.</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Minimum Payments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scheduled principal repayments of our indebtedness as of March 31, 2024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60" w:type="dxa"/>
            <w:vAlign w:val="bottom"/>
          </w:tcPr>
          <w:p>
            <w:pPr>
              <w:spacing w:after="0"/>
              <w:rPr>
                <w:sz w:val="20"/>
                <w:szCs w:val="20"/>
                <w:color w:val="auto"/>
              </w:rPr>
            </w:pP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 December 31, 2024</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23,106</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0"/>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14,692</w:t>
            </w:r>
          </w:p>
        </w:tc>
      </w:tr>
      <w:tr>
        <w:trPr>
          <w:trHeight w:val="248"/>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53,170</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of deferred financing costs for the Company was an immaterial amount and there were no deferred financing cost write-offs during each of the three months ended March 31,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of the Consolidated Funds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 payable of the consolidated funds consisted of the following as of March 31, 2024 and December 31, 2023, respectively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6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22"/>
                <w:szCs w:val="22"/>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2"/>
                <w:szCs w:val="22"/>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 xml:space="preserve">Interest Rate </w:t>
            </w:r>
            <w:r>
              <w:rPr>
                <w:rFonts w:ascii="Times New Roman" w:cs="Times New Roman" w:eastAsia="Times New Roman" w:hAnsi="Times New Roman"/>
                <w:sz w:val="23"/>
                <w:szCs w:val="23"/>
                <w:b w:val="1"/>
                <w:bCs w:val="1"/>
                <w:color w:val="auto"/>
                <w:w w:val="96"/>
                <w:vertAlign w:val="superscript"/>
              </w:rPr>
              <w:t>(1)</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Maturity date </w:t>
            </w:r>
            <w:r>
              <w:rPr>
                <w:rFonts w:ascii="Times New Roman" w:cs="Times New Roman" w:eastAsia="Times New Roman" w:hAnsi="Times New Roman"/>
                <w:sz w:val="23"/>
                <w:szCs w:val="23"/>
                <w:b w:val="1"/>
                <w:bCs w:val="1"/>
                <w:color w:val="auto"/>
                <w:w w:val="96"/>
                <w:vertAlign w:val="superscript"/>
              </w:rPr>
              <w:t>(1)</w:t>
            </w:r>
          </w:p>
        </w:tc>
      </w:tr>
      <w:tr>
        <w:trPr>
          <w:trHeight w:val="223"/>
        </w:trPr>
        <w:tc>
          <w:tcPr>
            <w:tcW w:w="37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 Estate Loans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r>
      <w:tr>
        <w:trPr>
          <w:trHeight w:val="229"/>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Hampton Inn &amp; Suites Hotel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12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40" w:type="dxa"/>
            <w:vAlign w:val="bottom"/>
          </w:tcPr>
          <w:p>
            <w:pPr>
              <w:spacing w:after="0"/>
              <w:rPr>
                <w:sz w:val="19"/>
                <w:szCs w:val="19"/>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0"/>
        </w:trPr>
        <w:tc>
          <w:tcPr>
            <w:tcW w:w="38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Four Points by Sheraton Hotel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7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18.00%</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29"/>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Holiday Inn Ocotillo Hotel</w:t>
            </w:r>
          </w:p>
        </w:tc>
        <w:tc>
          <w:tcPr>
            <w:tcW w:w="160" w:type="dxa"/>
            <w:vAlign w:val="bottom"/>
          </w:tcPr>
          <w:p>
            <w:pPr>
              <w:spacing w:after="0"/>
              <w:rPr>
                <w:sz w:val="19"/>
                <w:szCs w:val="19"/>
                <w:color w:val="auto"/>
              </w:rPr>
            </w:pPr>
          </w:p>
        </w:tc>
        <w:tc>
          <w:tcPr>
            <w:tcW w:w="1780" w:type="dxa"/>
            <w:vAlign w:val="bottom"/>
            <w:gridSpan w:val="2"/>
          </w:tcPr>
          <w:p>
            <w:pPr>
              <w:ind w:left="12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(3)</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40" w:type="dxa"/>
            <w:vAlign w:val="bottom"/>
          </w:tcPr>
          <w:p>
            <w:pPr>
              <w:spacing w:after="0"/>
              <w:rPr>
                <w:sz w:val="19"/>
                <w:szCs w:val="19"/>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0"/>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Airport Hotel Portfolio</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2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(3)</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55,631</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29"/>
        </w:trPr>
        <w:tc>
          <w:tcPr>
            <w:tcW w:w="3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DoubleTree by Hilton Tucson Convention Center</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18,418</w:t>
            </w:r>
          </w:p>
        </w:tc>
        <w:tc>
          <w:tcPr>
            <w:tcW w:w="1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4.22%</w:t>
            </w:r>
          </w:p>
        </w:tc>
        <w:tc>
          <w:tcPr>
            <w:tcW w:w="14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2027</w:t>
            </w:r>
          </w:p>
        </w:tc>
      </w:tr>
      <w:tr>
        <w:trPr>
          <w:trHeight w:val="229"/>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Hilton Tucson East</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2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(3)</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0"/>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DT Mesa Holdco II, LLC</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7.28%</w:t>
            </w:r>
          </w:p>
        </w:tc>
        <w:tc>
          <w:tcPr>
            <w:tcW w:w="14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2024</w:t>
            </w:r>
          </w:p>
        </w:tc>
      </w:tr>
      <w:tr>
        <w:trPr>
          <w:trHeight w:val="229"/>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Southpointe Fundco, LLC</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7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11.99%</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2024</w:t>
            </w:r>
          </w:p>
        </w:tc>
      </w:tr>
      <w:tr>
        <w:trPr>
          <w:trHeight w:val="229"/>
        </w:trPr>
        <w:tc>
          <w:tcPr>
            <w:tcW w:w="38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West Frontier Holdco, LLC</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720" w:type="dxa"/>
            <w:vAlign w:val="bottom"/>
            <w:tcBorders>
              <w:bottom w:val="single" w:sz="8" w:color="CCEEFF"/>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6.35%</w:t>
            </w: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February 2038</w:t>
            </w:r>
          </w:p>
        </w:tc>
      </w:tr>
      <w:tr>
        <w:trPr>
          <w:trHeight w:val="223"/>
        </w:trPr>
        <w:tc>
          <w:tcPr>
            <w:tcW w:w="3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Real Estate Loans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37,692</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120,825</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8.75%</w:t>
            </w:r>
          </w:p>
        </w:tc>
        <w:tc>
          <w:tcPr>
            <w:tcW w:w="14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2024</w:t>
            </w:r>
          </w:p>
        </w:tc>
      </w:tr>
      <w:tr>
        <w:trPr>
          <w:trHeight w:val="230"/>
        </w:trPr>
        <w:tc>
          <w:tcPr>
            <w:tcW w:w="3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Member notes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7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10.00%</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2025</w:t>
            </w:r>
          </w:p>
        </w:tc>
      </w:tr>
      <w:tr>
        <w:trPr>
          <w:trHeight w:val="229"/>
        </w:trPr>
        <w:tc>
          <w:tcPr>
            <w:tcW w:w="38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Economic injury disaster and other loans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720" w:type="dxa"/>
            <w:vAlign w:val="bottom"/>
            <w:tcBorders>
              <w:bottom w:val="single" w:sz="8" w:color="CCEEFF"/>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3.75%</w:t>
            </w: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June 2050</w:t>
            </w:r>
          </w:p>
        </w:tc>
      </w:tr>
      <w:tr>
        <w:trPr>
          <w:trHeight w:val="22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47,942</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131,400</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38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4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r>
      <w:tr>
        <w:trPr>
          <w:trHeight w:val="248"/>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47,654</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129,684</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2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hotel ceased operations as the consolidated fund is converting the property into a multi-family residential asset.</w:t>
      </w:r>
    </w:p>
    <w:p>
      <w:pPr>
        <w:ind w:left="340" w:hanging="332"/>
        <w:spacing w:after="0" w:line="260" w:lineRule="auto"/>
        <w:tabs>
          <w:tab w:leader="none" w:pos="27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the Company deconsolidated Caliber Hospitality, LP and the Caliber Hospitality Trust, which included activity from six hospitality funds.</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Real Estate Loans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terms of the loan agreements described below include, among other things, certain financial covenants, as defined in the respective loan agreements, including key financial ratios and liquidity requirements. Unless otherwise noted below, the consolidated funds were in compliance with the required financial covenants as of March 31, 2024.</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Hampton Inn &amp; Suites Hotel</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2015, the previously consolidated fund entered into a loan agreement which is secured by a deed of trust and assignment of leases and rents of a hotel property in Scottsdale, Arizona. The terms of the note require monthly principal and interest payments, with a balloon payment due at maturity. The loan has a fixed interest rate of 6.12% in effect through the maturity date in July 2025. The loan is guaranteed by an individual who is an affiliate of the Company. During the three months ended March 31, 2024, the Company deconsolidated Hampton Inn &amp; Suites Hotel (as discussed in Note 3 – VIEs).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Four Points by Sheraton Hotel</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June 2018, the consolidated fund entered into a loan agreement which is secured by a deed of trust and assignment of leases and rents of a hotel property in Phoenix, Arizona. The loan requires monthly interest-only payments until maturity. The loan is guaranteed by the Company and matured in September 2023. Per the terms of this agreement, the interest rate on the loan is equal to US Prime Rate plus 2.25%, with a floor rate of 9.65%, until August 31, 2023, at which time, the interest rate increased to 18% until the loan is paid in full or replaced with construction financing from the lender. In April 2024, the consolidated fund paid the loan amount outstanding in full.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2024, the consolidated fund entered into a $19.1 million construction loan agreement, which is secured by a deed of trust of the Four Points by Sheraton Hotel. Per the terms of the agreement, the loan has interest at a variable rate equal to SOFR plus 6.140%, with a floor rate of 12.65% until maturity in October 2025. The loan requires monthly interest-only payments until maturity and the loan may be prepaid in whole or in part without premium or penalty. The loan is guaranteed by an individual who is an affiliate of the Company.</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Holiday Inn Ocotillo Hotel</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July 2018, the previously consolidated fund entered into a loan agreement which is secured by a deed of trust and assignment of leases and rents of a hotel property in Chandler, Arizona. The loan requires monthly interest-only payments. The interest rate on the loan is equal to 1-month LIBOR plus 6.00%, with a floor rate of 11.00% until maturity in May 2023. In May 2023, the loan agreement was amended and restated with the lender, extending the maturity date to November 2023 and amending the interest rate to SOFR plus 600 basis points, with a floor rate of 11.00%. In November 2023, the loan agreement was amended with the lender, extending the maturity date to February 2024. In February 2024, the loan agreement was amended with the lender, extending the maturity date to May 2024. The loan is guaranteed by the Company. During the three months ended March 31, 2024, the Company deconsolidated Holiday Inn Ocotillo Hotel (as discussed in Note 3 – VIEs).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Airport Hotel Portfolio</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2018, the previously consolidated fund entered into a portfolio loan agreement which was secured by a deed of trust and assignment of leases and rents of the Airport Hotel Portfolio. The loan had a variable interest rate equal to one-month LIBOR plus 3.75% and the loan required interest-only payments until maturity. The loan was guaranteed by the Company and individuals who are affiliates of the Company. In January 2023, the consolidated fund paid the loan amount outstanding in full.</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January 2023, the previously consolidated fund entered into a loan agreement which is secured by a deed of trust and assignment of leases and rents of the Airport Hotel Portfolio. Per the terms of the loan agreement, the loan has a variable interest rate equal to SOFR plus 8.75% and matures in January 2025. In connection with the loan, the consolidated fund entered into an interest rate cap agreement, which sets the maximum SOFR rate for the loan at 5.00% through January 2024. The loan requires interest-only payments until maturity. The terms of the loan do not allow the prepayment of the outstanding balance in part prior to the maturity date but can be prepaid in whole subject to certain conditions, terms and fees outlined in the loan agreement. The terms of the loan agreement require an exit fee equal to 1.25% of the original principal amount of the loan and a minimum return equal to 30.0% of the original principal amount of the loan less any interest payments made at the time the loan is repaid in full. The exit fee was accrued upon entering into the loan and recorded as a deferred financing cost to be amortized over the life of the loan. The loan is guaranteed by the Company and individuals who are affiliates of the Company. During the three months ended March 31, 2024, the Company deconsolidated the Airport Hotel Portfolio (as discussed in Note 3 – VIEs).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DoubleTree by Hilton Tucson Convention Center</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2019, the consolidated fund entered into a loan agreement which is secured by a deed of trust and assignment of rents of the DoubleTree by Hilton Tucson Convention Center located in Tucson, Arizona. The loan has a variable interest rate per annum equal to LIBOR plus 2.50%. In connection with the loan, the consolidated fund entered into an interest rate swap agreement, which sets the interest at a fixed rate of 4.22% from September 2022 through August 2027. The loan required interest-only payments until September 2022 and principal and interest payments thereafter until maturity. The terms of the loan allow for the prepayment of the outstanding balance in whole or in part at any time prior to the maturity date. The loan matures in August 2027 and is guaranteed by the Company. In May 2024, the consolidated fund terminated the interest rate swap agreement and received $1.6 million.</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Hilton Tucson East</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2021, the previously consolidated fund entered into a loan agreement which is secured by the deed of trust and assignment of rents of the Hilton Tucson East hotel located in Tucson, AZ. The loan has a fixed interest rate of 6.25% and matures in November 2025. The loan required interest-only payments until June 1, 2023 and principal and interest payments thereafter until maturity. The loan amount may be prepaid prior to maturity subject to certain conditions and terms and a prepayment fee as outlined in the agreement. During the three months ended March 31, 2024, the Company deconsolidated the Hilton Tucson East (as discussed in Note 3 – VIEs).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DT Mesa Holdco II, LLC</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2019, the consolidated fund entered into a loan agreement which is secured by the deed of trust of a commercial building in Mesa, Arizona. The loan requires interest-only payments until maturity and the terms of the loan allow the prepayment of the outstanding balance in part or in whole at any time prior to the maturity date with no prepayment penalty. In December 2022, the terms of the loan agreement were renegotiated, extending the maturity date of the loan to November 2023 and amending the interest rate to the greater of (i) the federal home loan bank rate plus 2.75%% or (ii) 6.50%. In November 2023, the loan agreement was amended with the lender, extending the maturity date to February 2024. In February 2024, the loan agreement was amended with the lender, extending the maturity date to May 7, 2024 and waiving the minimum liquidity covenant default. The Company is within the 30-day grace period and expects to extend the maturity date of the loan by 90 days.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Southpointe Fundco, LLC</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June 2022, the consolidated fund entered into a loan agreement which is secured by a deed of trust and assignment of rents of a residential development property in Phoenix, Arizona. The loan has a fixed rate per annum equal to 9.99%. In May 2023, an extension agreement was executed with the lender, extending the maturity date to December 2023. In November 2023, an extension agreement was executed with the lender, extending the maturity date to March 2024 and amending the interest to a fixed rate of 11.99%. In February 2024, an extension agreement was executed with the lender, extending the maturity date to September 2024. The terms of the loan allow the prepayment of the outstanding balance in part or in whole at any time prior to the maturity date with no prepayment penalty. The loan is guaranteed by an individual who is an affiliate of the Company.</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West Frontier Holdco, LLC</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2023, the consolidated fund entered into a construction loan agreement which is secured by a deed of trust and assignment of rents of a multi-family residential property in Payson, Arizona. Upon completion of the construction project, subject to conditions in the agreement, the loan converts to a term loan. The loan requires interest-only payments until March 2025 and principal and interest payments until March 2028, at a fixed interest rate of 6.35%. In April 2028, the loan requires principal and interest payments until maturity in February 2038, at a rate of the five year Treasury Constant Federal Reserve Index plus 2.50%. The terms of the loan allow the prepayment of the outstanding balance in part or in whole at any time prior to the maturity date with no prepayment penalty. The loan is guaranteed by individuals who are affiliates of the Company.</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Line of Credit</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2019, a consolidated fund entered into a revolving line of credit (“LOC”) with a maximum borrowing amount of $4.5 million. The LOC is secured by the consolidated fund’s assets and is guaranteed by the Company. The LOC has a variable interest rate equal to the greater of (i) Wall Street Journal Prime Rate plus 0.25% per annum or (ii) 4.75%, resulting in a rate of 8.75% as of March 31, 2024. The Company is required to pay a fee of 0.20% of the unused revolving balance. In August 2023, the agreement was amended extending the maturity date of the LOC to October 2024 and removing certain restrictive covenants. The terms of the LOC include certain financial covenants and as of March 31, 2024, the consolidated fund was in compliance with all such covenants.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Member Notes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2022 and the year ended December 31, 2023, the consolidated fund, Southpointe Fundco, LLC, entered into 10.0% unsecured promissory notes with individual investors. The notes mature in June 2025 and may be extended up to two additional 12-month periods by the fund manager. The notes require quarterly interest-only payments. The terms of the notes allow the prepayment of the outstanding balance in part or in whole at any time prior to the maturity date with no prepayment penalty.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Economic Injury Disaster Loans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2020, the consolidated funds were granted Economic Injury Disaster Loans, which are secured by the assets of the respective funds and have a fixed interest rate of 3.75 % and mature in June 2050. At March 31, 2024 and December 31, 2023, the outstanding principal balance was $0.2 million and $0.5 million, respectively. Fixed monthly installment payments began in December 2022 with payments applied first to accrued interest and then the balance, if any, will be applied to principal outstanding. The loans allow for prepayment of principal plus accrued interest prior to maturity. The loan agreements contain certain usual and customary restrictions and covenants relating to, among other things, insurance, and other indebtedness. In addition, the terms of the loans include a cross-default provision whereby the Small Business Administration may, in its discretion, without notice or demand require immediate payment of all amounts outstanding under the loans.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Debt Maturities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2024, the future aggregate principal repayments due on the Company’s notes payable are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80" w:type="dxa"/>
            <w:vAlign w:val="bottom"/>
          </w:tcPr>
          <w:p>
            <w:pPr>
              <w:spacing w:after="0"/>
              <w:rPr>
                <w:sz w:val="20"/>
                <w:szCs w:val="20"/>
                <w:color w:val="auto"/>
              </w:rPr>
            </w:pPr>
          </w:p>
        </w:tc>
        <w:tc>
          <w:tcPr>
            <w:tcW w:w="16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 December 31, 2024</w:t>
            </w: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19,594</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17,046</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9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w:t>
            </w:r>
          </w:p>
        </w:tc>
      </w:tr>
      <w:tr>
        <w:trPr>
          <w:trHeight w:val="248"/>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47,942</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of deferred financing costs was $0.3 million and there were no deferred financing cost write-offs during each of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Party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of the Company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below shows the consolidated revenues earned for providing services under the Company’s asset management platform as described in the Revenue Recognition section of Note 2 – Summary of Significant Accounting Policies for the three months ended March 31,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39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0"/>
                <w:szCs w:val="20"/>
                <w:color w:val="auto"/>
              </w:rPr>
            </w:pPr>
          </w:p>
        </w:tc>
      </w:tr>
      <w:tr>
        <w:trPr>
          <w:trHeight w:val="223"/>
        </w:trPr>
        <w:tc>
          <w:tcPr>
            <w:tcW w:w="65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154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1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9"/>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1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 management</w:t>
            </w:r>
          </w:p>
        </w:tc>
        <w:tc>
          <w:tcPr>
            <w:tcW w:w="1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r>
      <w:tr>
        <w:trPr>
          <w:trHeight w:val="229"/>
        </w:trPr>
        <w:tc>
          <w:tcPr>
            <w:tcW w:w="6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48"/>
        </w:trPr>
        <w:tc>
          <w:tcPr>
            <w:tcW w:w="65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related party revenue</w:t>
            </w: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amounts due to the Company from related parties for services performed under the Company’s asset management platform was $7.5 million and $7.8 million, respectively, which is included in due from related parties on the accompanying consolidated balance sheets.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unsecured promissory notes with related parties. No payments are required prior to the maturity of the notes. The notes may be prepaid in whole, or in part, without penalty.</w:t>
      </w: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notes receivable – related parties as of March 31, 2024 and December 31, 2023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Receivable - Related Parties</w:t>
            </w:r>
          </w:p>
        </w:tc>
        <w:tc>
          <w:tcPr>
            <w:tcW w:w="220" w:type="dxa"/>
            <w:vAlign w:val="bottom"/>
          </w:tcPr>
          <w:p>
            <w:pPr>
              <w:spacing w:after="0"/>
              <w:rPr>
                <w:sz w:val="23"/>
                <w:szCs w:val="23"/>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23"/>
                <w:szCs w:val="23"/>
                <w:color w:val="auto"/>
              </w:rPr>
            </w:pPr>
          </w:p>
        </w:tc>
        <w:tc>
          <w:tcPr>
            <w:tcW w:w="1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3"/>
                <w:szCs w:val="23"/>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 xml:space="preserve">Interest Rate </w:t>
            </w:r>
            <w:r>
              <w:rPr>
                <w:rFonts w:ascii="Times New Roman" w:cs="Times New Roman" w:eastAsia="Times New Roman" w:hAnsi="Times New Roman"/>
                <w:sz w:val="23"/>
                <w:szCs w:val="23"/>
                <w:b w:val="1"/>
                <w:bCs w:val="1"/>
                <w:color w:val="auto"/>
                <w:w w:val="96"/>
                <w:vertAlign w:val="superscript"/>
              </w:rPr>
              <w:t>(1)</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Maturity Date </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36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Caliber Hospitality LP </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2025</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Olathe Behavioral Health</w:t>
            </w:r>
          </w:p>
        </w:tc>
        <w:tc>
          <w:tcPr>
            <w:tcW w:w="2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25</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2025</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DFW Behavioral Health LLC</w:t>
            </w:r>
          </w:p>
        </w:tc>
        <w:tc>
          <w:tcPr>
            <w:tcW w:w="2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25</w:t>
            </w:r>
          </w:p>
        </w:tc>
        <w:tc>
          <w:tcPr>
            <w:tcW w:w="1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May 2025</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Notes Receivable - Related Parties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2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the Company deconsolidated Caliber Hospitality, LP and the Caliber Hospitality Trust, which included activity from six hospitality funds.</w:t>
      </w:r>
    </w:p>
    <w:p>
      <w:pPr>
        <w:spacing w:after="0" w:line="2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earned an immaterial amount of interest in connection with the notes, which is included in interest income on the accompanying consolidated statements of operations. Interest that accrues on certain related party notes receivable can be added to the principal outstanding balance, due at the respective loan maturity date and incurs interest at the respective interest rate. There was an immaterial amount of interest due to the Company as of March 31, 2024 and December 31, 2023 .</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has various amounts due from and/or due to related parties, including affiliate entities and individuals, for various expenses paid for by the Company on their behalf and other charges. These amounts are generally unsecured, interest-free, and due on demand. As of March 31, 2024 and December 31, 2023, other amounts due from related parties was $1.9 million, which is included in due from related parties on the accompanying consolidated balance sheets. As of March 31, 2024 and December 31, 2023, other amounts due to related parties from the Company were $0.2 million and $0.3 million, respectively, which are included in due to related parties on the accompanying consolidated balance sheets.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of the Consolidated Funds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 entered into unsecured promissory notes with related parties. The notes may be repaid in whole, or in part, without penalty. The notes receivable – related parties consisted of the following as of March 31, 2024 and December 31, 2023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Receivable - Related Parties</w:t>
            </w:r>
          </w:p>
        </w:tc>
        <w:tc>
          <w:tcPr>
            <w:tcW w:w="220" w:type="dxa"/>
            <w:vAlign w:val="bottom"/>
          </w:tcPr>
          <w:p>
            <w:pPr>
              <w:spacing w:after="0"/>
              <w:rPr>
                <w:sz w:val="22"/>
                <w:szCs w:val="22"/>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Pr>
          <w:p>
            <w:pPr>
              <w:spacing w:after="0"/>
              <w:rPr>
                <w:sz w:val="22"/>
                <w:szCs w:val="22"/>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2"/>
                <w:szCs w:val="22"/>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Interest Rate</w:t>
            </w:r>
            <w:r>
              <w:rPr>
                <w:rFonts w:ascii="Times New Roman" w:cs="Times New Roman" w:eastAsia="Times New Roman" w:hAnsi="Times New Roman"/>
                <w:sz w:val="23"/>
                <w:szCs w:val="23"/>
                <w:b w:val="1"/>
                <w:bCs w:val="1"/>
                <w:color w:val="auto"/>
                <w:w w:val="96"/>
                <w:vertAlign w:val="superscript"/>
              </w:rPr>
              <w:t>(1)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Maturity Date</w:t>
            </w:r>
            <w:r>
              <w:rPr>
                <w:rFonts w:ascii="Times New Roman" w:cs="Times New Roman" w:eastAsia="Times New Roman" w:hAnsi="Times New Roman"/>
                <w:sz w:val="23"/>
                <w:szCs w:val="23"/>
                <w:b w:val="1"/>
                <w:bCs w:val="1"/>
                <w:color w:val="auto"/>
                <w:w w:val="96"/>
                <w:vertAlign w:val="superscript"/>
              </w:rPr>
              <w:t>(1)</w:t>
            </w: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SF Alaska, LP</w:t>
            </w:r>
          </w:p>
        </w:tc>
        <w:tc>
          <w:tcPr>
            <w:tcW w:w="3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14,976</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2025</w:t>
            </w: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Ketch, LLC</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2024</w:t>
            </w: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Circle Lofts, LLC</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2024</w:t>
            </w: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J-25 Development Group, LLC</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2024</w:t>
            </w: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Caliber Diversified Opportunity Fund II, LP</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Ridge II, LLC</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Ironwood, LLC</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47th Street Phoenix Fund, LLC</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2025</w:t>
            </w: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Southridge, LLC</w:t>
            </w: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2025</w:t>
            </w:r>
          </w:p>
        </w:tc>
      </w:tr>
      <w:tr>
        <w:trPr>
          <w:trHeight w:val="229"/>
        </w:trPr>
        <w:tc>
          <w:tcPr>
            <w:tcW w:w="4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Caliber Hospitality, LP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2025</w:t>
            </w: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 Spruce, LLC</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2026</w:t>
            </w:r>
          </w:p>
        </w:tc>
      </w:tr>
      <w:tr>
        <w:trPr>
          <w:trHeight w:val="22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Notes Receivable - Related Parties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2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the Company deconsolidated Caliber Hospitality, LP and the Caliber Hospitality Trust, which included activity from six hospitality funds.</w:t>
      </w:r>
    </w:p>
    <w:p>
      <w:pPr>
        <w:spacing w:after="0" w:line="2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consolidated fund earned $1.0 million and $0.9 million, respectively, of interest in connection with the notes, which is included in consolidated funds – other revenues on the accompanying consolidated statements of operations. Interest that accrues on certain related party notes receivable, in which the consolidated fund and respective borrower mutually agreed, is added to the principal outstanding balance, due at the respective loan maturity date and incurs interest at the respective interest rate. No interest was due to the Company as of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2023, Caliber Hospitality, LP had aggregate notes payable outstanding of $12.1 million to Caliber Tax Advantage Opportunity Zone Fund, LP and Caliber Tax Advantaged Opportunity Zone Fund II, LLC. During the three months ended March 31, 2024, the Company deconsolidated Caliber Hospitality, LP and the Caliber Hospitality Trust.</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consolidated funds incurred $0.3 million and $0.2 million, respectively, of interest expense in connection with the notes payable – related parties, which is included in consolidated funds – hospitality expenses and consolidated funds – other expenses on the accompanying consolidated statements of operations. As of December 31, 2023, there was $0.1 million of interest expense payable which is included in due to related parties on the accompanying consolidated balance sheets.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consolidated funds have various amounts due from and/or due to related parties, including affiliate entities and individuals, for various expenses paid by the funds on their behalf and other charges. These amounts are generally unsecured, interest-free, and due on demand. As of March 31, 2024 and December 31, 2023, there were an immaterial amount of other amounts due from related parties. As of March 31, 2024 other amounts due to related parties was $0.3 million, which is included in due to related parties on the accompanying consolidated balance sheets. As of December 31, 2023 there was an immaterial amount of other amounts due to related parties.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 Company</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Rental revenue of the Company includes the revenues generated by the rental operations of one commercial office property, which was acquired in January 2023. As of March 31, 2024, the leases have non-cancelable remaining lease terms from 0.9 years to 10.3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March 31, 2024, the Company does not have any material related party leases as a lessor. During the three months ended March 31, 2024, there was $0.4 million and $0.1 million of fixed and variable rental revenue, respectively, which is included in other income (loss), net on the accompanying consolidated statements of operations. During the three months ended March 31, 2023, there was $0.2 million of fixed rental revenue and an immaterial amount of variable rental revenue, which is included in other income (loss), net on the accompanying consolidated statements of operations. Variable rental revenue are primarily costs reimbursed related to common area maintenance.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Future minimum lease payments due to the Company under non-cancellable operating leases over the next five years and thereafter as of March 31, 2024 are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20" w:type="dxa"/>
            <w:vAlign w:val="bottom"/>
          </w:tcPr>
          <w:p>
            <w:pPr>
              <w:spacing w:after="0"/>
              <w:rPr>
                <w:sz w:val="20"/>
                <w:szCs w:val="20"/>
                <w:color w:val="auto"/>
              </w:rPr>
            </w:pPr>
          </w:p>
        </w:tc>
        <w:tc>
          <w:tcPr>
            <w:tcW w:w="18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 December 31, 2024</w:t>
            </w:r>
          </w:p>
        </w:tc>
        <w:tc>
          <w:tcPr>
            <w:tcW w:w="1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19"/>
                <w:szCs w:val="19"/>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19"/>
                <w:szCs w:val="19"/>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r>
      <w:tr>
        <w:trPr>
          <w:trHeight w:val="229"/>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Borders>
              <w:bottom w:val="single" w:sz="8" w:color="CCEEFF"/>
            </w:tcBorders>
          </w:tcPr>
          <w:p>
            <w:pPr>
              <w:spacing w:after="0"/>
              <w:rPr>
                <w:sz w:val="19"/>
                <w:szCs w:val="19"/>
                <w:color w:val="auto"/>
              </w:rPr>
            </w:pPr>
          </w:p>
        </w:tc>
      </w:tr>
      <w:tr>
        <w:trPr>
          <w:trHeight w:val="248"/>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 Consolidated Funds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Rental revenue of the consolidated funds includes the revenues generated primarily by the rental operations of two multi-family residential properties, including Circle Lofts, which was deconsolidated during the year ended December 2023, and two commercial properties, including Northsight Crossing, which was sold in October 2023. As of March 31, 2024, the leases have non-cancelable remaining lease terms from 0.1 years to 9.7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March 31, 2024, the consolidated funds do not have any material related party leases as a lessor. The components of rental revenue for the three months ended March 31, 2024 and 2023 (in thousands) are presented in the table below. Variable rental revenue are primarily costs reimbursed related to common area maintenance.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w:t>
            </w: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lease payments due to the consolidated funds under non-cancellable operating leases over the next five years and thereafter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20" w:type="dxa"/>
            <w:vAlign w:val="bottom"/>
          </w:tcPr>
          <w:p>
            <w:pPr>
              <w:spacing w:after="0"/>
              <w:rPr>
                <w:sz w:val="20"/>
                <w:szCs w:val="20"/>
                <w:color w:val="auto"/>
              </w:rPr>
            </w:pPr>
          </w:p>
        </w:tc>
        <w:tc>
          <w:tcPr>
            <w:tcW w:w="18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 December 31, 2024</w:t>
            </w:r>
          </w:p>
        </w:tc>
        <w:tc>
          <w:tcPr>
            <w:tcW w:w="1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9"/>
                <w:szCs w:val="19"/>
                <w:color w:val="auto"/>
              </w:rPr>
            </w:pPr>
          </w:p>
        </w:tc>
      </w:tr>
      <w:tr>
        <w:trPr>
          <w:trHeight w:val="230"/>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Borders>
              <w:bottom w:val="single" w:sz="8" w:color="CCEEFF"/>
            </w:tcBorders>
          </w:tcPr>
          <w:p>
            <w:pPr>
              <w:spacing w:after="0"/>
              <w:rPr>
                <w:sz w:val="19"/>
                <w:szCs w:val="19"/>
                <w:color w:val="auto"/>
              </w:rPr>
            </w:pPr>
          </w:p>
        </w:tc>
      </w:tr>
      <w:tr>
        <w:trPr>
          <w:trHeight w:val="248"/>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Other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Liabilities of the Company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liabilities consisted of the following as of March 31, 2024 and December 31, 2023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market leases, net</w:t>
            </w:r>
          </w:p>
        </w:tc>
        <w:tc>
          <w:tcPr>
            <w:tcW w:w="158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improvement allowance</w:t>
            </w:r>
          </w:p>
        </w:tc>
        <w:tc>
          <w:tcPr>
            <w:tcW w:w="15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7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Deposits </w:t>
            </w:r>
            <w:r>
              <w:rPr>
                <w:rFonts w:ascii="Times New Roman" w:cs="Times New Roman" w:eastAsia="Times New Roman" w:hAnsi="Times New Roman"/>
                <w:sz w:val="23"/>
                <w:szCs w:val="23"/>
                <w:color w:val="auto"/>
                <w:vertAlign w:val="superscript"/>
              </w:rPr>
              <w:t>(1)</w:t>
            </w: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8"/>
        </w:trPr>
        <w:tc>
          <w:tcPr>
            <w:tcW w:w="7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liabilities</w:t>
            </w:r>
          </w:p>
        </w:tc>
        <w:tc>
          <w:tcPr>
            <w:tcW w:w="1580" w:type="dxa"/>
            <w:vAlign w:val="bottom"/>
            <w:tcBorders>
              <w:bottom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614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tenant security deposits.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Liabilities of the Consolidated Funds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liabilities of the consolidated funds consisted of the following as of March 31, 2024 and December 31, 2023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key money, net</w:t>
            </w:r>
          </w:p>
        </w:tc>
        <w:tc>
          <w:tcPr>
            <w:tcW w:w="158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9"/>
        </w:trPr>
        <w:tc>
          <w:tcPr>
            <w:tcW w:w="7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Deposits </w:t>
            </w:r>
            <w:r>
              <w:rPr>
                <w:rFonts w:ascii="Times New Roman" w:cs="Times New Roman" w:eastAsia="Times New Roman" w:hAnsi="Times New Roman"/>
                <w:sz w:val="23"/>
                <w:szCs w:val="23"/>
                <w:color w:val="auto"/>
                <w:vertAlign w:val="superscript"/>
              </w:rPr>
              <w:t>(1)</w:t>
            </w:r>
          </w:p>
        </w:tc>
        <w:tc>
          <w:tcPr>
            <w:tcW w:w="15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339</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48"/>
        </w:trPr>
        <w:tc>
          <w:tcPr>
            <w:tcW w:w="7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liabilities</w:t>
            </w:r>
          </w:p>
        </w:tc>
        <w:tc>
          <w:tcPr>
            <w:tcW w:w="1580" w:type="dxa"/>
            <w:vAlign w:val="bottom"/>
            <w:tcBorders>
              <w:bottom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736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hotel advance deposits and tenant security and pet deposits.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Supplemental Cash Flow Disclosures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 for the three months ended March 31, 2024 and 2023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3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0" w:type="dxa"/>
            <w:vAlign w:val="bottom"/>
            <w:tcBorders>
              <w:bottom w:val="single" w:sz="8" w:color="auto"/>
            </w:tcBorders>
          </w:tcPr>
          <w:p>
            <w:pPr>
              <w:spacing w:after="0"/>
              <w:rPr>
                <w:sz w:val="20"/>
                <w:szCs w:val="20"/>
                <w:color w:val="auto"/>
              </w:rPr>
            </w:pPr>
          </w:p>
        </w:tc>
      </w:tr>
      <w:tr>
        <w:trPr>
          <w:trHeight w:val="223"/>
        </w:trPr>
        <w:tc>
          <w:tcPr>
            <w:tcW w:w="74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25"/>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 none of which was capitalized for the three months ended March 31, 2024</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61"/>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2023, respectively</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40" w:type="dxa"/>
            <w:vAlign w:val="bottom"/>
          </w:tcPr>
          <w:p>
            <w:pPr>
              <w:spacing w:after="0"/>
              <w:rPr>
                <w:sz w:val="22"/>
                <w:szCs w:val="22"/>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 of Consolidated Funds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5"/>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 net of capitalized interest of $2 and $9 for the three months ended March</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61"/>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2024 and 2023, respectively</w:t>
            </w:r>
          </w:p>
        </w:tc>
        <w:tc>
          <w:tcPr>
            <w:tcW w:w="1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108"/>
        </w:trPr>
        <w:tc>
          <w:tcPr>
            <w:tcW w:w="74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note receivable - related party due to deconsolidation of VIEs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 related party eliminated in consolidation of VIEs</w:t>
            </w:r>
          </w:p>
        </w:tc>
        <w:tc>
          <w:tcPr>
            <w:tcW w:w="1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investments in unconsolidated entities due to deconsolidation of VIEs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Extinguishment of operating lease right-of-use assets</w:t>
            </w:r>
          </w:p>
        </w:tc>
        <w:tc>
          <w:tcPr>
            <w:tcW w:w="1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Extinguishment of operating lease liabilities</w:t>
            </w:r>
          </w:p>
        </w:tc>
        <w:tc>
          <w:tcPr>
            <w:tcW w:w="1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3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real estate investments included in accounts payable</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in lieu of cash payment for accounts payable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7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 of Consolidated</w:t>
            </w: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41"/>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Funds</w:t>
            </w: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receivable eliminated in consolidation</w:t>
            </w:r>
          </w:p>
        </w:tc>
        <w:tc>
          <w:tcPr>
            <w:tcW w:w="1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note receivable - related party due to deconsolidation of VIEs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real estate investments included in accounts payable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real estate investments included in due to related parties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Consolidation of VIEs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1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86,402</w:t>
            </w: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r>
      <w:tr>
        <w:trPr>
          <w:trHeight w:val="230"/>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1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r>
      <w:tr>
        <w:trPr>
          <w:trHeight w:val="229"/>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 net</w:t>
            </w:r>
          </w:p>
        </w:tc>
        <w:tc>
          <w:tcPr>
            <w:tcW w:w="1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80,449</w:t>
            </w:r>
          </w:p>
        </w:tc>
      </w:tr>
      <w:tr>
        <w:trPr>
          <w:trHeight w:val="230"/>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1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r>
      <w:tr>
        <w:trPr>
          <w:trHeight w:val="229"/>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to related parties</w:t>
            </w:r>
          </w:p>
        </w:tc>
        <w:tc>
          <w:tcPr>
            <w:tcW w:w="1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w:t>
            </w:r>
          </w:p>
        </w:tc>
      </w:tr>
      <w:tr>
        <w:trPr>
          <w:trHeight w:val="230"/>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1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33,732</w:t>
            </w: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Deconsolidation of VIEs</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83,282</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74,061</w:t>
            </w:r>
          </w:p>
        </w:tc>
      </w:tr>
      <w:tr>
        <w:trPr>
          <w:trHeight w:val="230"/>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r>
      <w:tr>
        <w:trPr>
          <w:trHeight w:val="229"/>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to related parties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 net</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82,024</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68,500</w:t>
            </w:r>
          </w:p>
        </w:tc>
      </w:tr>
      <w:tr>
        <w:trPr>
          <w:trHeight w:val="230"/>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payable - related parties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r>
      <w:tr>
        <w:trPr>
          <w:trHeight w:val="229"/>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13,957</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w:t>
            </w: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34"/>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40,787</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21,957</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of the Company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ownership and operation of real estate assets, the Company may potentially be liable for costs and damages related to environmental matters. The Company believes it is in material compliance with current laws and regulations and do not know of any existing environmental condition and has not been notified by any governmental authority of any non-compliance, liability or other claim, in each case, that could result in a material effect on our financial condition or results of operations.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Caliber Tax Advantaged Opportunity Fund LP</w:t>
      </w:r>
    </w:p>
    <w:p>
      <w:pPr>
        <w:spacing w:after="0" w:line="25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Caliber O-Zone Fund Manager, LLC (the “CTAF Fund Manager”) is a wholly-owned subsidiary of the Company and general partner and manager of Caliber Tax Advantaged Opportunity Fund LP (“CTAF”). In the event of a dissolution, winding-up, or termination, if the aggregate amount received by the CTAF limited partners does not equal or exceed an amount equal to a 6% IRR for the limited partners, the CTAF Fund Manager shall immediately contribute to CTAF funds in order to meet this minimum requirement for payment to the CTAF limited partners. As of March 31, 2024 and December 31, 2023, the Company estimated fair value of CTAF was less than the 6% IRR for the limited partners.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Caliber Tax Advantaged Opportunity Fund II LLC</w:t>
      </w:r>
    </w:p>
    <w:p>
      <w:pPr>
        <w:spacing w:after="0" w:line="25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Caliber O-Zone Fund II Manager, LLC (the “CTAF II Fund Manager”) is a wholly-owned subsidiary of the Company and general partner and manager of Caliber Tax Advantaged Opportunity Zone Fund II LLC (“CTAF II”). In the event of a dissolution, winding-up, or termination, if the aggregate amount received by the CTAF II investor members does not equal or exceed an amount equal to a 6% IRR for the investor members, the CTAF II Fund Manager shall immediately contribute to CTAF II funds in order to meet this minimum requirement for payment to the CTAF II investor members. As of March 31, 2024 and December 31, 2023, the Company estimated fair value of CTAF was less than the 6% IRR for the investor members.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of the Consolidated Funds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Franchise Agreements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hospitality fund consolidated at March 31, 2024 is party to a franchise agreement where the fund is required to pay monthly fees, consisting of royalty, program and food and beverage fees. This franchise agreements expires in November 2026. The consolidated funds recognized total franchise fees of $2.4 million and $1.5 million for the three months ended March 31, 2024 and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Net Income (Loss) Per Share</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earnings per common share is calculated by dividing net income (loss) attributable to common shareholders by the weighted average common shares outstanding during the period. Diluted earnings per share is calculated by dividing net income attributable to common shareholders by the weighted-average number of shares outstanding plus the dilutive impact of all potential dilutive common shares, consisting of stock options and warrants using the treasury stock method, and convertible debt and preferred stock using the if-converted method.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considered the two-class method in calculating the basic and diluted earnings per share, however, it was determined that there was no impact to the calculation of basic and diluted net income (loss) per share attributable to common stockholders as Class A and Class B common stock share in the same earnings and profits, thus, having no impact on the calculation.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calculated the basic and diluted earnings per share during the three months ended March 31, 2024 and 2023 as follows (in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34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0"/>
                <w:szCs w:val="20"/>
                <w:color w:val="auto"/>
              </w:rPr>
            </w:pPr>
          </w:p>
        </w:tc>
      </w:tr>
      <w:tr>
        <w:trPr>
          <w:trHeight w:val="223"/>
        </w:trPr>
        <w:tc>
          <w:tcPr>
            <w:tcW w:w="7060" w:type="dxa"/>
            <w:vAlign w:val="bottom"/>
            <w:tcBorders>
              <w:bottom w:val="single" w:sz="8" w:color="CCEDFF"/>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CCEDFF"/>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r>
      <w:tr>
        <w:trPr>
          <w:trHeight w:val="209"/>
        </w:trPr>
        <w:tc>
          <w:tcPr>
            <w:tcW w:w="70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320" w:type="dxa"/>
            <w:vAlign w:val="bottom"/>
            <w:shd w:val="clear" w:color="auto" w:fill="CCEDFF"/>
          </w:tcPr>
          <w:p>
            <w:pPr>
              <w:spacing w:after="0"/>
              <w:rPr>
                <w:sz w:val="18"/>
                <w:szCs w:val="18"/>
                <w:color w:val="auto"/>
              </w:rPr>
            </w:pPr>
          </w:p>
        </w:tc>
        <w:tc>
          <w:tcPr>
            <w:tcW w:w="700" w:type="dxa"/>
            <w:vAlign w:val="bottom"/>
            <w:shd w:val="clear" w:color="auto" w:fill="CCEDFF"/>
          </w:tcPr>
          <w:p>
            <w:pPr>
              <w:spacing w:after="0"/>
              <w:rPr>
                <w:sz w:val="18"/>
                <w:szCs w:val="18"/>
                <w:color w:val="auto"/>
              </w:rPr>
            </w:pPr>
          </w:p>
        </w:tc>
        <w:tc>
          <w:tcPr>
            <w:tcW w:w="140" w:type="dxa"/>
            <w:vAlign w:val="bottom"/>
            <w:shd w:val="clear" w:color="auto" w:fill="CCEDFF"/>
          </w:tcPr>
          <w:p>
            <w:pPr>
              <w:spacing w:after="0"/>
              <w:rPr>
                <w:sz w:val="18"/>
                <w:szCs w:val="18"/>
                <w:color w:val="auto"/>
              </w:rPr>
            </w:pPr>
          </w:p>
        </w:tc>
        <w:tc>
          <w:tcPr>
            <w:tcW w:w="1320" w:type="dxa"/>
            <w:vAlign w:val="bottom"/>
            <w:shd w:val="clear" w:color="auto" w:fill="CCEDFF"/>
          </w:tcPr>
          <w:p>
            <w:pPr>
              <w:spacing w:after="0"/>
              <w:rPr>
                <w:sz w:val="18"/>
                <w:szCs w:val="18"/>
                <w:color w:val="auto"/>
              </w:rPr>
            </w:pPr>
          </w:p>
        </w:tc>
        <w:tc>
          <w:tcPr>
            <w:tcW w:w="700" w:type="dxa"/>
            <w:vAlign w:val="bottom"/>
            <w:shd w:val="clear" w:color="auto" w:fill="CCEDFF"/>
          </w:tcPr>
          <w:p>
            <w:pPr>
              <w:spacing w:after="0"/>
              <w:rPr>
                <w:sz w:val="18"/>
                <w:szCs w:val="18"/>
                <w:color w:val="auto"/>
              </w:rPr>
            </w:pPr>
          </w:p>
        </w:tc>
      </w:tr>
      <w:tr>
        <w:trPr>
          <w:trHeight w:val="229"/>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CaliberCos Inc.</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40" w:type="dxa"/>
            <w:vAlign w:val="bottom"/>
          </w:tcPr>
          <w:p>
            <w:pPr>
              <w:spacing w:after="0"/>
              <w:rPr>
                <w:sz w:val="19"/>
                <w:szCs w:val="19"/>
                <w:color w:val="auto"/>
              </w:rPr>
            </w:pP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30"/>
        </w:trPr>
        <w:tc>
          <w:tcPr>
            <w:tcW w:w="706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Convertible debt interest</w:t>
            </w:r>
          </w:p>
        </w:tc>
        <w:tc>
          <w:tcPr>
            <w:tcW w:w="1320" w:type="dxa"/>
            <w:vAlign w:val="bottom"/>
            <w:tcBorders>
              <w:bottom w:val="single" w:sz="8" w:color="auto"/>
            </w:tcBorders>
            <w:shd w:val="clear" w:color="auto" w:fill="CCEDFF"/>
          </w:tcPr>
          <w:p>
            <w:pPr>
              <w:spacing w:after="0"/>
              <w:rPr>
                <w:sz w:val="19"/>
                <w:szCs w:val="19"/>
                <w:color w:val="auto"/>
              </w:rPr>
            </w:pPr>
          </w:p>
        </w:tc>
        <w:tc>
          <w:tcPr>
            <w:tcW w:w="7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DFF"/>
          </w:tcPr>
          <w:p>
            <w:pPr>
              <w:spacing w:after="0"/>
              <w:rPr>
                <w:sz w:val="19"/>
                <w:szCs w:val="19"/>
                <w:color w:val="auto"/>
              </w:rPr>
            </w:pPr>
          </w:p>
        </w:tc>
        <w:tc>
          <w:tcPr>
            <w:tcW w:w="1320" w:type="dxa"/>
            <w:vAlign w:val="bottom"/>
            <w:tcBorders>
              <w:bottom w:val="single" w:sz="8" w:color="auto"/>
            </w:tcBorders>
            <w:shd w:val="clear" w:color="auto" w:fill="CCEDFF"/>
          </w:tcPr>
          <w:p>
            <w:pPr>
              <w:spacing w:after="0"/>
              <w:rPr>
                <w:sz w:val="19"/>
                <w:szCs w:val="19"/>
                <w:color w:val="auto"/>
              </w:rPr>
            </w:pPr>
          </w:p>
        </w:tc>
        <w:tc>
          <w:tcPr>
            <w:tcW w:w="7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7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attributable to common shareholders of CaliberCos Inc.</w:t>
            </w: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40" w:type="dxa"/>
            <w:vAlign w:val="bottom"/>
          </w:tcPr>
          <w:p>
            <w:pPr>
              <w:spacing w:after="0"/>
              <w:rPr>
                <w:sz w:val="19"/>
                <w:szCs w:val="19"/>
                <w:color w:val="auto"/>
              </w:rPr>
            </w:pP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0"/>
        </w:trPr>
        <w:tc>
          <w:tcPr>
            <w:tcW w:w="7060" w:type="dxa"/>
            <w:vAlign w:val="bottom"/>
            <w:tcBorders>
              <w:bottom w:val="single" w:sz="8" w:color="CCED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D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7"/>
        </w:trPr>
        <w:tc>
          <w:tcPr>
            <w:tcW w:w="7060" w:type="dxa"/>
            <w:vAlign w:val="bottom"/>
            <w:shd w:val="clear" w:color="auto" w:fill="CCED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320" w:type="dxa"/>
            <w:vAlign w:val="bottom"/>
            <w:shd w:val="clear" w:color="auto" w:fill="CCEDFF"/>
          </w:tcPr>
          <w:p>
            <w:pPr>
              <w:spacing w:after="0"/>
              <w:rPr>
                <w:sz w:val="17"/>
                <w:szCs w:val="17"/>
                <w:color w:val="auto"/>
              </w:rPr>
            </w:pPr>
          </w:p>
        </w:tc>
        <w:tc>
          <w:tcPr>
            <w:tcW w:w="700" w:type="dxa"/>
            <w:vAlign w:val="bottom"/>
            <w:shd w:val="clear" w:color="auto" w:fill="CCEDFF"/>
          </w:tcPr>
          <w:p>
            <w:pPr>
              <w:spacing w:after="0"/>
              <w:rPr>
                <w:sz w:val="17"/>
                <w:szCs w:val="17"/>
                <w:color w:val="auto"/>
              </w:rPr>
            </w:pPr>
          </w:p>
        </w:tc>
        <w:tc>
          <w:tcPr>
            <w:tcW w:w="140" w:type="dxa"/>
            <w:vAlign w:val="bottom"/>
            <w:shd w:val="clear" w:color="auto" w:fill="CCEDFF"/>
          </w:tcPr>
          <w:p>
            <w:pPr>
              <w:spacing w:after="0"/>
              <w:rPr>
                <w:sz w:val="17"/>
                <w:szCs w:val="17"/>
                <w:color w:val="auto"/>
              </w:rPr>
            </w:pPr>
          </w:p>
        </w:tc>
        <w:tc>
          <w:tcPr>
            <w:tcW w:w="1320" w:type="dxa"/>
            <w:vAlign w:val="bottom"/>
            <w:shd w:val="clear" w:color="auto" w:fill="CCEDFF"/>
          </w:tcPr>
          <w:p>
            <w:pPr>
              <w:spacing w:after="0"/>
              <w:rPr>
                <w:sz w:val="17"/>
                <w:szCs w:val="17"/>
                <w:color w:val="auto"/>
              </w:rPr>
            </w:pPr>
          </w:p>
        </w:tc>
        <w:tc>
          <w:tcPr>
            <w:tcW w:w="700" w:type="dxa"/>
            <w:vAlign w:val="bottom"/>
            <w:shd w:val="clear" w:color="auto" w:fill="CCEDFF"/>
          </w:tcPr>
          <w:p>
            <w:pPr>
              <w:spacing w:after="0"/>
              <w:rPr>
                <w:sz w:val="17"/>
                <w:szCs w:val="17"/>
                <w:color w:val="auto"/>
              </w:rPr>
            </w:pPr>
          </w:p>
        </w:tc>
      </w:tr>
      <w:tr>
        <w:trPr>
          <w:trHeight w:val="229"/>
        </w:trPr>
        <w:tc>
          <w:tcPr>
            <w:tcW w:w="706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21,542</w:t>
            </w:r>
          </w:p>
        </w:tc>
        <w:tc>
          <w:tcPr>
            <w:tcW w:w="140" w:type="dxa"/>
            <w:vAlign w:val="bottom"/>
            <w:tcBorders>
              <w:bottom w:val="single" w:sz="8" w:color="CCED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18,182</w:t>
            </w:r>
          </w:p>
        </w:tc>
      </w:tr>
      <w:tr>
        <w:trPr>
          <w:trHeight w:val="248"/>
        </w:trPr>
        <w:tc>
          <w:tcPr>
            <w:tcW w:w="7060" w:type="dxa"/>
            <w:vAlign w:val="bottom"/>
            <w:tcBorders>
              <w:bottom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320" w:type="dxa"/>
            <w:vAlign w:val="bottom"/>
            <w:tcBorders>
              <w:bottom w:val="single" w:sz="8" w:color="auto"/>
            </w:tcBorders>
            <w:shd w:val="clear" w:color="auto" w:fill="CCEDFF"/>
          </w:tcPr>
          <w:p>
            <w:pPr>
              <w:spacing w:after="0"/>
              <w:rPr>
                <w:sz w:val="21"/>
                <w:szCs w:val="21"/>
                <w:color w:val="auto"/>
              </w:rPr>
            </w:pPr>
          </w:p>
        </w:tc>
        <w:tc>
          <w:tcPr>
            <w:tcW w:w="7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21,542</w:t>
            </w:r>
          </w:p>
        </w:tc>
        <w:tc>
          <w:tcPr>
            <w:tcW w:w="140" w:type="dxa"/>
            <w:vAlign w:val="bottom"/>
            <w:tcBorders>
              <w:bottom w:val="single" w:sz="8" w:color="CCEDFF"/>
            </w:tcBorders>
            <w:shd w:val="clear" w:color="auto" w:fill="CCEDFF"/>
          </w:tcPr>
          <w:p>
            <w:pPr>
              <w:spacing w:after="0"/>
              <w:rPr>
                <w:sz w:val="21"/>
                <w:szCs w:val="21"/>
                <w:color w:val="auto"/>
              </w:rPr>
            </w:pPr>
          </w:p>
        </w:tc>
        <w:tc>
          <w:tcPr>
            <w:tcW w:w="1320" w:type="dxa"/>
            <w:vAlign w:val="bottom"/>
            <w:tcBorders>
              <w:bottom w:val="single" w:sz="8" w:color="auto"/>
            </w:tcBorders>
            <w:shd w:val="clear" w:color="auto" w:fill="CCEDFF"/>
          </w:tcPr>
          <w:p>
            <w:pPr>
              <w:spacing w:after="0"/>
              <w:rPr>
                <w:sz w:val="21"/>
                <w:szCs w:val="21"/>
                <w:color w:val="auto"/>
              </w:rPr>
            </w:pPr>
          </w:p>
        </w:tc>
        <w:tc>
          <w:tcPr>
            <w:tcW w:w="7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18,182</w:t>
            </w:r>
          </w:p>
        </w:tc>
      </w:tr>
      <w:tr>
        <w:trPr>
          <w:trHeight w:val="20"/>
        </w:trPr>
        <w:tc>
          <w:tcPr>
            <w:tcW w:w="7060" w:type="dxa"/>
            <w:vAlign w:val="bottom"/>
            <w:tcBorders>
              <w:top w:val="single" w:sz="8" w:color="CCEDFF"/>
            </w:tcBorders>
          </w:tcPr>
          <w:p>
            <w:pPr>
              <w:spacing w:after="0" w:line="20" w:lineRule="exact"/>
              <w:rPr>
                <w:sz w:val="1"/>
                <w:szCs w:val="1"/>
                <w:color w:val="auto"/>
              </w:rPr>
            </w:pPr>
          </w:p>
        </w:tc>
        <w:tc>
          <w:tcPr>
            <w:tcW w:w="1320" w:type="dxa"/>
            <w:vAlign w:val="bottom"/>
            <w:tcBorders>
              <w:top w:val="single" w:sz="8" w:color="CCEDFF"/>
              <w:bottom w:val="single" w:sz="8" w:color="auto"/>
            </w:tcBorders>
          </w:tcPr>
          <w:p>
            <w:pPr>
              <w:spacing w:after="0" w:line="20" w:lineRule="exact"/>
              <w:rPr>
                <w:sz w:val="1"/>
                <w:szCs w:val="1"/>
                <w:color w:val="auto"/>
              </w:rPr>
            </w:pPr>
          </w:p>
        </w:tc>
        <w:tc>
          <w:tcPr>
            <w:tcW w:w="70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1320" w:type="dxa"/>
            <w:vAlign w:val="bottom"/>
            <w:tcBorders>
              <w:top w:val="single" w:sz="8" w:color="CCEDFF"/>
              <w:bottom w:val="single" w:sz="8" w:color="auto"/>
            </w:tcBorders>
          </w:tcPr>
          <w:p>
            <w:pPr>
              <w:spacing w:after="0" w:line="20" w:lineRule="exact"/>
              <w:rPr>
                <w:sz w:val="1"/>
                <w:szCs w:val="1"/>
                <w:color w:val="auto"/>
              </w:rPr>
            </w:pPr>
          </w:p>
        </w:tc>
        <w:tc>
          <w:tcPr>
            <w:tcW w:w="700" w:type="dxa"/>
            <w:vAlign w:val="bottom"/>
            <w:tcBorders>
              <w:top w:val="single" w:sz="8" w:color="CCEDFF"/>
              <w:bottom w:val="single" w:sz="8" w:color="auto"/>
            </w:tcBorders>
          </w:tcPr>
          <w:p>
            <w:pPr>
              <w:spacing w:after="0" w:line="20" w:lineRule="exact"/>
              <w:rPr>
                <w:sz w:val="1"/>
                <w:szCs w:val="1"/>
                <w:color w:val="auto"/>
              </w:rPr>
            </w:pPr>
          </w:p>
        </w:tc>
      </w:tr>
      <w:tr>
        <w:trPr>
          <w:trHeight w:val="203"/>
        </w:trPr>
        <w:tc>
          <w:tcPr>
            <w:tcW w:w="7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5"/>
        </w:trPr>
        <w:tc>
          <w:tcPr>
            <w:tcW w:w="706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Basic net loss per share attributable to common shareholders</w:t>
            </w:r>
          </w:p>
        </w:tc>
        <w:tc>
          <w:tcPr>
            <w:tcW w:w="1320" w:type="dxa"/>
            <w:vAlign w:val="bottom"/>
            <w:tcBorders>
              <w:bottom w:val="single" w:sz="8" w:color="auto"/>
            </w:tcBorders>
            <w:shd w:val="clear" w:color="auto" w:fill="CCED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Borders>
              <w:bottom w:val="single" w:sz="8" w:color="CCEDFF"/>
            </w:tcBorders>
            <w:shd w:val="clear" w:color="auto" w:fill="CCEDFF"/>
          </w:tcPr>
          <w:p>
            <w:pPr>
              <w:spacing w:after="0"/>
              <w:rPr>
                <w:sz w:val="21"/>
                <w:szCs w:val="21"/>
                <w:color w:val="auto"/>
              </w:rPr>
            </w:pPr>
          </w:p>
        </w:tc>
        <w:tc>
          <w:tcPr>
            <w:tcW w:w="1320" w:type="dxa"/>
            <w:vAlign w:val="bottom"/>
            <w:tcBorders>
              <w:bottom w:val="single" w:sz="8" w:color="auto"/>
            </w:tcBorders>
            <w:shd w:val="clear" w:color="auto" w:fill="CCED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7060" w:type="dxa"/>
            <w:vAlign w:val="bottom"/>
            <w:tcBorders>
              <w:top w:val="single" w:sz="8" w:color="CCEDFF"/>
            </w:tcBorders>
          </w:tcPr>
          <w:p>
            <w:pPr>
              <w:spacing w:after="0" w:line="20" w:lineRule="exact"/>
              <w:rPr>
                <w:sz w:val="1"/>
                <w:szCs w:val="1"/>
                <w:color w:val="auto"/>
              </w:rPr>
            </w:pPr>
          </w:p>
        </w:tc>
        <w:tc>
          <w:tcPr>
            <w:tcW w:w="1320" w:type="dxa"/>
            <w:vAlign w:val="bottom"/>
            <w:tcBorders>
              <w:top w:val="single" w:sz="8" w:color="CCEDFF"/>
              <w:bottom w:val="single" w:sz="8" w:color="auto"/>
            </w:tcBorders>
          </w:tcPr>
          <w:p>
            <w:pPr>
              <w:spacing w:after="0" w:line="20" w:lineRule="exact"/>
              <w:rPr>
                <w:sz w:val="1"/>
                <w:szCs w:val="1"/>
                <w:color w:val="auto"/>
              </w:rPr>
            </w:pPr>
          </w:p>
        </w:tc>
        <w:tc>
          <w:tcPr>
            <w:tcW w:w="700" w:type="dxa"/>
            <w:vAlign w:val="bottom"/>
            <w:tcBorders>
              <w:top w:val="single" w:sz="8" w:color="CCEDFF"/>
              <w:bottom w:val="single" w:sz="8" w:color="auto"/>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1320" w:type="dxa"/>
            <w:vAlign w:val="bottom"/>
            <w:tcBorders>
              <w:top w:val="single" w:sz="8" w:color="CCEDFF"/>
              <w:bottom w:val="single" w:sz="8" w:color="auto"/>
            </w:tcBorders>
          </w:tcPr>
          <w:p>
            <w:pPr>
              <w:spacing w:after="0" w:line="20" w:lineRule="exact"/>
              <w:rPr>
                <w:sz w:val="1"/>
                <w:szCs w:val="1"/>
                <w:color w:val="auto"/>
              </w:rPr>
            </w:pPr>
          </w:p>
        </w:tc>
        <w:tc>
          <w:tcPr>
            <w:tcW w:w="700" w:type="dxa"/>
            <w:vAlign w:val="bottom"/>
            <w:tcBorders>
              <w:top w:val="single" w:sz="8" w:color="CCEDFF"/>
              <w:bottom w:val="single" w:sz="8" w:color="auto"/>
            </w:tcBorders>
          </w:tcPr>
          <w:p>
            <w:pPr>
              <w:spacing w:after="0" w:line="20" w:lineRule="exact"/>
              <w:rPr>
                <w:sz w:val="1"/>
                <w:szCs w:val="1"/>
                <w:color w:val="auto"/>
              </w:rPr>
            </w:pPr>
          </w:p>
        </w:tc>
      </w:tr>
      <w:tr>
        <w:trPr>
          <w:trHeight w:val="203"/>
        </w:trPr>
        <w:tc>
          <w:tcPr>
            <w:tcW w:w="70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net loss per share attributable to common shareholders</w:t>
            </w:r>
          </w:p>
        </w:tc>
        <w:tc>
          <w:tcPr>
            <w:tcW w:w="1320" w:type="dxa"/>
            <w:vAlign w:val="bottom"/>
            <w:tcBorders>
              <w:bottom w:val="single" w:sz="8" w:color="auto"/>
            </w:tcBorders>
          </w:tcPr>
          <w:p>
            <w:pPr>
              <w:jc w:val="right"/>
              <w:ind w:right="1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(0.18)</w:t>
            </w:r>
          </w:p>
        </w:tc>
        <w:tc>
          <w:tcPr>
            <w:tcW w:w="140" w:type="dxa"/>
            <w:vAlign w:val="bottom"/>
          </w:tcPr>
          <w:p>
            <w:pPr>
              <w:spacing w:after="0"/>
              <w:rPr>
                <w:sz w:val="17"/>
                <w:szCs w:val="17"/>
                <w:color w:val="auto"/>
              </w:rPr>
            </w:pPr>
          </w:p>
        </w:tc>
        <w:tc>
          <w:tcPr>
            <w:tcW w:w="1320" w:type="dxa"/>
            <w:vAlign w:val="bottom"/>
            <w:tcBorders>
              <w:bottom w:val="single" w:sz="8" w:color="auto"/>
            </w:tcBorders>
          </w:tcPr>
          <w:p>
            <w:pPr>
              <w:jc w:val="right"/>
              <w:ind w:right="1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(0.07)</w:t>
            </w:r>
          </w:p>
        </w:tc>
      </w:tr>
      <w:tr>
        <w:trPr>
          <w:trHeight w:val="20"/>
        </w:trPr>
        <w:tc>
          <w:tcPr>
            <w:tcW w:w="7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number of antidilutive shares consisted of the potential exercise of stock options and potential conversion of convertible debt. The following table summarizes these potential exercises and conversions during the three months ended March 31, 2024 and 2023, which have been excluded from the computation of diluted earnings per share attributable to common shareholders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418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6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common shares, if stock options were exercised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common shares, if convertible debt were converted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48"/>
        </w:trPr>
        <w:tc>
          <w:tcPr>
            <w:tcW w:w="70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of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of the Company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financial instruments held by the Company are estimated using available market information and established valuation methodologies.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estimates presented are not necessarily indicative of the amounts the Company could realize on disposition of the financial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 of different market assumptions and/or valuation methodologies may have a material effect on the estimated fair value amounts.</w:t>
      </w:r>
    </w:p>
    <w:p>
      <w:pPr>
        <w:spacing w:after="0" w:line="2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fair value of the Company’s fixed rate debt were measured with Level 2 inputs. The estimated fair value of the Company’s real estate loan was determined by management based on a discounted future cash-flow model. As of March 31, 2024 the Company’s real estate loan had a carrying value of $16.1 million and a fair value of $9.5 million. As of December 31, 2023 the Company’s real estate loan had a carrying value of $16.2 million and a fair value of $9.5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of the Consolidated Funds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values of financial instruments held by consolidated funds are estimated using available market information and established valuation methodologies. Accordingly, the estimates presented are not necessarily indicative of the amounts the consolidated funds could realize on disposition of the financial instruments. The use of different market assumptions and/or valuation methodologies may have a material effect on the estimated fair value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approximate fair value due to the short-term nature of the instruments consist of cash, restricted cash, accounts receivable, and accounts payable. The fair values of debt, advance key money, and interest rate caps have been estimated based on current rates available for similar instruments with similar terms, maturities, and collateral. The carrying values of the consolidated funds’ variable rate debt and advance key money as of March 31, 2024 and December 31, 2023 approximated fair value. The fair value of the consolidated funds’ fixed rate debt were measured with Level 2 inputs. The estimated fair values for the instruments below were determined by management based on a discounted future cash-flow model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69"/>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Payable</w:t>
            </w:r>
          </w:p>
        </w:tc>
        <w:tc>
          <w:tcPr>
            <w:tcW w:w="280" w:type="dxa"/>
            <w:vAlign w:val="bottom"/>
          </w:tcPr>
          <w:p>
            <w:pPr>
              <w:spacing w:after="0"/>
              <w:rPr>
                <w:sz w:val="14"/>
                <w:szCs w:val="14"/>
                <w:color w:val="auto"/>
              </w:rPr>
            </w:pPr>
          </w:p>
        </w:tc>
        <w:tc>
          <w:tcPr>
            <w:tcW w:w="1720" w:type="dxa"/>
            <w:vAlign w:val="bottom"/>
            <w:gridSpan w:val="3"/>
          </w:tcPr>
          <w:p>
            <w:pPr>
              <w:jc w:val="center"/>
              <w:ind w:right="5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780" w:type="dxa"/>
            <w:vAlign w:val="bottom"/>
            <w:gridSpan w:val="3"/>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60" w:type="dxa"/>
            <w:vAlign w:val="bottom"/>
            <w:gridSpan w:val="2"/>
          </w:tcPr>
          <w:p>
            <w:pPr>
              <w:jc w:val="center"/>
              <w:ind w:right="42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4"/>
                <w:szCs w:val="14"/>
                <w:color w:val="auto"/>
              </w:rPr>
            </w:pPr>
          </w:p>
        </w:tc>
        <w:tc>
          <w:tcPr>
            <w:tcW w:w="13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40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780" w:type="dxa"/>
            <w:vAlign w:val="bottom"/>
            <w:gridSpan w:val="3"/>
            <w:vMerge w:val="continue"/>
          </w:tcPr>
          <w:p>
            <w:pPr>
              <w:spacing w:after="0"/>
              <w:rPr>
                <w:sz w:val="21"/>
                <w:szCs w:val="2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Hampton Inn &amp; Suites Hotel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Southpointe Fundco, LLC</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Tucson East, LLC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0" w:type="dxa"/>
            <w:vAlign w:val="bottom"/>
          </w:tcPr>
          <w:p>
            <w:pPr>
              <w:spacing w:after="0"/>
              <w:rPr>
                <w:sz w:val="1"/>
                <w:szCs w:val="1"/>
                <w:color w:val="auto"/>
              </w:rPr>
            </w:pPr>
          </w:p>
        </w:tc>
      </w:tr>
      <w:tr>
        <w:trPr>
          <w:trHeight w:val="234"/>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Frontier, LLC</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340" w:hanging="332"/>
        <w:spacing w:after="0" w:line="282" w:lineRule="auto"/>
        <w:tabs>
          <w:tab w:leader="none" w:pos="2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the Company deconsolidated Caliber Hospitality, LP and the Caliber Hospitality Trust, which included activity from six hospitality funds.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Derivative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Objective of Using Derivatives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consolidated funds utilize derivative instruments, including interest rate caps and swaps, to reduce interest rate risk associated with its borrowings.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funds do not intend to utilize derivatives for purposes other than interest rate risk management.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2024 and December 31, 2023, the Company did not have any derivatives designated as hedging instruments.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have entered into interest rate caps and swaps. The following table summarizes the consolidated funds non-designated derivatives as of March 31, 2024 and December 31, 2023 (dollar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8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Type of Derivative</w:t>
            </w:r>
          </w:p>
        </w:tc>
        <w:tc>
          <w:tcPr>
            <w:tcW w:w="1540" w:type="dxa"/>
            <w:vAlign w:val="bottom"/>
            <w:gridSpan w:val="2"/>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00" w:type="dxa"/>
            <w:vAlign w:val="bottom"/>
          </w:tcPr>
          <w:p>
            <w:pPr>
              <w:spacing w:after="0"/>
              <w:rPr>
                <w:sz w:val="14"/>
                <w:szCs w:val="14"/>
                <w:color w:val="auto"/>
              </w:rPr>
            </w:pPr>
          </w:p>
        </w:tc>
        <w:tc>
          <w:tcPr>
            <w:tcW w:w="154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5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0" w:type="dxa"/>
            <w:vAlign w:val="bottom"/>
          </w:tcPr>
          <w:p>
            <w:pPr>
              <w:spacing w:after="0"/>
              <w:rPr>
                <w:sz w:val="1"/>
                <w:szCs w:val="1"/>
                <w:color w:val="auto"/>
              </w:rPr>
            </w:pPr>
          </w:p>
        </w:tc>
      </w:tr>
      <w:tr>
        <w:trPr>
          <w:trHeight w:val="243"/>
        </w:trPr>
        <w:tc>
          <w:tcPr>
            <w:tcW w:w="4880" w:type="dxa"/>
            <w:vAlign w:val="bottom"/>
            <w:gridSpan w:val="2"/>
            <w:vMerge w:val="continue"/>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5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5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6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18,306</w:t>
            </w:r>
          </w:p>
        </w:tc>
        <w:tc>
          <w:tcPr>
            <w:tcW w:w="2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18,418</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cap</w:t>
            </w:r>
            <w:r>
              <w:rPr>
                <w:rFonts w:ascii="Times New Roman" w:cs="Times New Roman" w:eastAsia="Times New Roman" w:hAnsi="Times New Roman"/>
                <w:sz w:val="23"/>
                <w:szCs w:val="23"/>
                <w:color w:val="auto"/>
                <w:vertAlign w:val="superscript"/>
              </w:rPr>
              <w:t>(1)</w:t>
            </w:r>
          </w:p>
        </w:tc>
        <w:tc>
          <w:tcPr>
            <w:tcW w:w="154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18,306</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consolidated funds’ non-designated derivatives, as well as their classification on the consolidated balance sheets, as of March 31, 2024 and December 31, 2023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Type of Derivative</w:t>
            </w:r>
          </w:p>
        </w:tc>
        <w:tc>
          <w:tcPr>
            <w:tcW w:w="334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40" w:type="dxa"/>
            <w:vAlign w:val="bottom"/>
          </w:tcPr>
          <w:p>
            <w:pPr>
              <w:spacing w:after="0"/>
              <w:rPr>
                <w:sz w:val="20"/>
                <w:szCs w:val="20"/>
                <w:color w:val="auto"/>
              </w:rPr>
            </w:pPr>
          </w:p>
        </w:tc>
        <w:tc>
          <w:tcPr>
            <w:tcW w:w="1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60" w:type="dxa"/>
            <w:vAlign w:val="bottom"/>
            <w:tcBorders>
              <w:top w:val="single" w:sz="8" w:color="CCEEFF"/>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funds - Prepaid and other assets</w:t>
            </w:r>
          </w:p>
        </w:tc>
        <w:tc>
          <w:tcPr>
            <w:tcW w:w="13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cap</w:t>
            </w:r>
            <w:r>
              <w:rPr>
                <w:rFonts w:ascii="Times New Roman" w:cs="Times New Roman" w:eastAsia="Times New Roman" w:hAnsi="Times New Roman"/>
                <w:sz w:val="23"/>
                <w:szCs w:val="23"/>
                <w:color w:val="auto"/>
                <w:vertAlign w:val="superscript"/>
              </w:rPr>
              <w:t>(1)</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funds - Prepaid and other assets</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gain or loss recognized in consolidated funds - hospitality expenses in the consolidated statements of operations for three months ended March 31, 2024 and 2023 (in thousands):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21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Type of Derivative</w:t>
            </w:r>
          </w:p>
        </w:tc>
        <w:tc>
          <w:tcPr>
            <w:tcW w:w="508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Statement of Operations Location</w:t>
            </w:r>
          </w:p>
        </w:tc>
        <w:tc>
          <w:tcPr>
            <w:tcW w:w="440" w:type="dxa"/>
            <w:vAlign w:val="bottom"/>
          </w:tcPr>
          <w:p>
            <w:pPr>
              <w:spacing w:after="0"/>
              <w:rPr>
                <w:sz w:val="20"/>
                <w:szCs w:val="20"/>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tcBorders>
              <w:top w:val="single" w:sz="8" w:color="CCEEFF"/>
            </w:tcBorders>
            <w:shd w:val="clear" w:color="auto" w:fill="CCEEFF"/>
          </w:tcPr>
          <w:p>
            <w:pPr>
              <w:spacing w:after="0"/>
              <w:rPr>
                <w:sz w:val="19"/>
                <w:szCs w:val="19"/>
                <w:color w:val="auto"/>
              </w:rPr>
            </w:pPr>
          </w:p>
        </w:tc>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2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30"/>
        </w:trPr>
        <w:tc>
          <w:tcPr>
            <w:tcW w:w="21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rate cap </w:t>
            </w:r>
            <w:r>
              <w:rPr>
                <w:rFonts w:ascii="Times New Roman" w:cs="Times New Roman" w:eastAsia="Times New Roman" w:hAnsi="Times New Roman"/>
                <w:sz w:val="23"/>
                <w:szCs w:val="23"/>
                <w:color w:val="auto"/>
                <w:vertAlign w:val="superscript"/>
              </w:rPr>
              <w:t>(1)</w:t>
            </w:r>
          </w:p>
        </w:tc>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8"/>
        </w:trPr>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340" w:hanging="332"/>
        <w:spacing w:after="0" w:line="260"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the Company deconsolidated Caliber Hospitality, LP and the Caliber Hospitality Trust, which included activity from six hospitality funds.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has evaluated events and transactions that occurred after March 31, 2024 through May 9, 2024, the date these consolidated financial statement were available to be issued. In addition to those matters discussed in Note 6 – Notes Payable, the following is a summary of the significant events and transactions that took place during this period:</w:t>
      </w:r>
    </w:p>
    <w:p>
      <w:pPr>
        <w:spacing w:after="0" w:line="203" w:lineRule="exact"/>
        <w:rPr>
          <w:sz w:val="20"/>
          <w:szCs w:val="20"/>
          <w:color w:val="auto"/>
        </w:rPr>
      </w:pPr>
    </w:p>
    <w:p>
      <w:pPr>
        <w:ind w:left="660" w:right="1040" w:hanging="247"/>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executed a reduction in force of approximately 10% of its employees in May 2024, with an expected annual saving of compensation and benefits expenses of $4.0 million.</w:t>
      </w:r>
    </w:p>
    <w:p>
      <w:pPr>
        <w:ind w:left="660" w:hanging="24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8, 2024, the Caliber Hospitality Trust received a $10.0 million investment commitment into its Series D preferred equity.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1D1C1D"/>
        </w:rPr>
        <w:t>Item 2. Management's Discussion and Analysis of Financial Condition and Results of Operations</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thereto included elsewhere in this Quarterly Report on Form 10-Q. In addition to historical information, this discussion and analysis contains forward-looking statements that involve risks, uncertainties and assumptions. Our actual results may differ materially from these forward-looking statements as a result of certain factors. For a complete discussion of such risk factors, see the section entitled “Risk Factors” in the Company’s Annual Report on Form 10-K filed with the SEC on April 15, 2024. Capitalized terms used herein, but not otherwise defined, shall have the meaning ascribed to those terms in the “Part I - Financial Information,” including the related notes to the consolidated financial statements contained therein.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Over the past 15 years, Caliber has grown into a leading diversified alternative asset management firm, managing more than $2.9 billion in assets under management (“AUM”) and assets under development (“AUD”). Caliber’s primary goal is to enhance the wealth of accredited investors seeking to make investments in middle-market assets. We strive to build wealth for our clients by creating, managing, and servicing middle-market investment funds, private syndications, and direct investments. Through our funds, we invest primarily in real estate, private equity, and debt facilities. We market and fundraise to direct channels and to wholesale channels.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we provide investors attractive risk-adjusted returns by offering a balance of (i) structured offerings and ease of ownership, (ii) a pipeline of investment opportunities, primarily projects that range in value between $5.0 million and $50.0 million, and (iii) an integrated execution and processing platform. Our investment strategy leverages the local market intelligence and real-time data we gain from our operations to evaluate current investments, generate proprietary transaction flow, and implement various asset management strategies.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an alternative asset manager, we offer a full suite of support services and employ a vertically integrated approach to investment management. Our asset management activities are complemented with transaction and advisory services including development and construction management, acquisition and disposition expertise, and fund formation, which we believe differentiate us from other asset management firms. We earn the following fees from providing these services under our asset management platform:</w:t>
      </w:r>
    </w:p>
    <w:p>
      <w:pPr>
        <w:spacing w:after="0" w:line="207"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Fund set-up fees are a one-time fee for the initial formation, administration, and set-up of fund products we distribute and manage. These fees are recognized at the point in time when the performance under the contract is complete.</w:t>
      </w:r>
    </w:p>
    <w:p>
      <w:pPr>
        <w:spacing w:after="0" w:line="18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the Company earns a fund management fee of 0.70% of the Caliber Hospitality Trust’s enterprise value and is reimbursed for certain costs incurred on behalf of the Caliber Hospitality Trust.</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development revenues are generally based on 4.0% of the total expected costs of the development or 4.0% of the total expected costs of the construction project for services performed as the principal developer, which include managing and supervising third-party developers and general contractors with respect to the development of the properties owned by the funds.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w:t>
      </w:r>
    </w:p>
    <w:p>
      <w:pPr>
        <w:spacing w:after="0" w:line="21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both"/>
        <w:ind w:left="660" w:hanging="328"/>
        <w:spacing w:after="0" w:line="25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w:t>
      </w:r>
    </w:p>
    <w:p>
      <w:pPr>
        <w:spacing w:after="0" w:line="2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Historically, the Company’s operations were organized into three reportable segments: fund management, development, and brokerage. During the year ended December 31, 2023, the Company reevaluated its reportable segments, considering (i) the evolution of the Company after closing its initial public offering and how the Company’s chief operating decision maker (“CODM”), the Company’s Chief Executive Officer, assesses performance and allocates resources, (ii) changes to the budgeting process and in key personnel driven by the Company’s growth initiatives, and (iii) how management reports ongoing company performance to the Board of Directors. With the evolution and growth of the Company, the Company’s CODM assesses performance and resource allocation on an aggregate basis under the Company’s asset management platform, and no longer reviews operating results for development or brokerage activity separately. As such, management concluded that the Company operates through one operating segment.</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CODM assesses revenue, operating expenses and key operating statistics to evaluate performance and allocate resources on a basis that eliminates the impact of the consolidated investment funds (intercompany eliminations required by U.S. GAAP) and noncontrolling interests. Management concluded that the consolidated investment funds do not meet the requirements in ASC 280, Segment Reporting, of operating segments, as the Company’s CODM does not review the operating results of these investment funds for the purposes of allocating resources, assessing performance or determining whether additional investments or advances will be made to these funds. The investment funds are consolidated based on the requirement in ASC 810, Consolidation, as the Company was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Caliber was originally founded as Caliber Companies, LLC, an Arizona limited liability company, organized under the laws of Arizona, and commenced operations in January 2009. In November 2014, the Company was reorganized as a Nevada corporation and in June 2018, we reincorporated in the state of Delaware. On our website we make available, free of charge, information about the Company and its’ investments. None of the information on our website is deemed to be part of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business is driven by trends which affect the following:</w:t>
      </w:r>
    </w:p>
    <w:p>
      <w:pPr>
        <w:spacing w:after="0" w:line="248" w:lineRule="exact"/>
        <w:rPr>
          <w:sz w:val="20"/>
          <w:szCs w:val="20"/>
          <w:color w:val="auto"/>
        </w:rPr>
      </w:pPr>
    </w:p>
    <w:p>
      <w:pPr>
        <w:jc w:val="both"/>
        <w:ind w:left="660" w:hanging="328"/>
        <w:spacing w:after="0" w:line="268"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 formation: </w:t>
      </w:r>
      <w:r>
        <w:rPr>
          <w:rFonts w:ascii="Times New Roman" w:cs="Times New Roman" w:eastAsia="Times New Roman" w:hAnsi="Times New Roman"/>
          <w:sz w:val="18"/>
          <w:szCs w:val="18"/>
          <w:color w:val="auto"/>
        </w:rPr>
        <w:t>any trend which increases or decreases investors’ knowledge of alternative investments, desire to acquire them, access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them, and knowledge and appreciation of Caliber as a potential provider, will affect our ability to attract and raise new capital. Capital formation also drives investment acquisitions, which contribute to Caliber’s revenues.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acquisition: </w:t>
      </w:r>
      <w:r>
        <w:rPr>
          <w:rFonts w:ascii="Times New Roman" w:cs="Times New Roman" w:eastAsia="Times New Roman" w:hAnsi="Times New Roman"/>
          <w:sz w:val="18"/>
          <w:szCs w:val="18"/>
          <w:color w:val="auto"/>
        </w:rPr>
        <w:t>any trend which increases or decreases the supply of middle-market real estate projects or loans, the accessibility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developments or development incentives, or enhances or detracts from Caliber’s ability to access those projects will affect our ability to generate revenue. Coincidentally, investment acquisitions, or the rights to acquire an investment, drive capital formation – creating a flywheel effect for Caliber.</w:t>
      </w:r>
    </w:p>
    <w:p>
      <w:pPr>
        <w:spacing w:after="0" w:line="203" w:lineRule="exact"/>
        <w:rPr>
          <w:rFonts w:ascii="Times New Roman" w:cs="Times New Roman" w:eastAsia="Times New Roman" w:hAnsi="Times New Roman"/>
          <w:sz w:val="18"/>
          <w:szCs w:val="18"/>
          <w:color w:val="auto"/>
        </w:rPr>
      </w:pPr>
    </w:p>
    <w:p>
      <w:pPr>
        <w:ind w:left="660" w:hanging="328"/>
        <w:spacing w:after="0" w:line="286"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execution: </w:t>
      </w:r>
      <w:r>
        <w:rPr>
          <w:rFonts w:ascii="Times New Roman" w:cs="Times New Roman" w:eastAsia="Times New Roman" w:hAnsi="Times New Roman"/>
          <w:sz w:val="18"/>
          <w:szCs w:val="18"/>
          <w:color w:val="auto"/>
        </w:rPr>
        <w:t>any trend which increases or decreases the costs of execution on a real estate project, including materials pricing,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pricing, access to materials, delays due to governmental action, and the general labor market, will affect Caliber’s ability to generate revenues.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depends in large part on our ability to raise capital for our funds from investors. Since our inception, we have continued to successfully raise capital into our funds with our total capital raised through March 31, 2024 of approximately $667.7 million. Our success at raising new capital into our funds is impacted by the extent to which new investors see alternative assets as a viable option for capital appreciation and/or income generation. Since our ability to raise new capital into our funds is dependent upon the availability and willingness of investors to direct their investment dollars into our products, our financial performance is sensitive in part to changes in overall economic conditions that affect investment behaviors. The demand from investors is dependent upon the type of asset, the type of return it will generate (current cash flow, long-term capital gains, or both) and the actual return earned by our fund investors relative to other comparable or substitute products. General economic factors and conditions, including the general interest rate environment and unemployment rates, may affect an investor’s ability and desire to invest in real estate. For example, a significant interest rate increase could cause a projected rate of return to be insufficient after considering other risk exposures. Additionally, if weakness in the economy emerges and actual or expected default rates increase, investors in our funds may delay or reduce their investments; however, we believe our approach to investing and the capabilities that Caliber manages throughout the deal cycle will continue to offer an attractive value proposition to investors.</w:t>
      </w:r>
    </w:p>
    <w:p>
      <w:pPr>
        <w:spacing w:after="0" w:line="2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2023, the United States of America’s House of Representatives unanimously approved legislation that would increase the number of investors who can participate in private offerings of securities by expanding the accredited investor criteria. The Fair Investment Opportunities for Professional Experts Act would expand the definition of accredited investor to include people with certain licenses, education or professional experience. The Accredited Investor Definition Review Act would give the SEC discretion to determine the certifications, designations or credentials investors must possess to be accredited and directs the SEC to review the accredited investor definition every five years. We believe these government actions will increase the size of our potential investor base significantly, however we cannot yet assess the number of newly accredited investors that would have the ability or interest to invest in a Caliber fund.</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we have had historical successes, there can be no assurance that fundraising for our new and existing funds will experience similar success. If we were unable to raise such capital, we would be unable to deploy such capital into investments, which would materially reduce our revenues and cash flow and adversely affect our financial condition.</w:t>
      </w:r>
    </w:p>
    <w:p>
      <w:pPr>
        <w:spacing w:after="0" w:line="189"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We remain confident about our ability to find, identify, and source new investment opportunities that meet the requirements and return profile of our investment funds despite headwinds associated with increased asset valuations, competition and increased overall cost of credit. We continue to identify strategic acquisitions on off-market terms and anticipate that this trend will continue. We are at a point in our investment cycle where some of our funds have begun to exit significant parts of their portfolios while other are approaching a potential harvesting phase. We have complemented these cycles with other newer funds that will maintain management fees while providing continued sources of activity.</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February 2023, we expanded our access to institutional capital by entering into an agreement with Skyway Capital Markets to serve as a managing broker-dealer for our primary investment products. The agreement designates Skyway to assist us to raise capital primarily from third party broker-dealers and registered investment advisors, many of which have an existing business relationship with Skyway. Skyway will assist us in our efforts to hire, train and manage a national wholesaling team, secure selling agreements, and provide appropriate due diligence to advisors distributing our funds. Our current managing broker-dealer will remain engaged with us to supervise and manage our existing private client sales team and to join Skyway as a selling group member.</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Acquiring new assets includes being able to negotiate favorable loans on both a short and long-term basis. We strive to forecast and project our returns using assumptions about, among other things, the types of loans that we might expect the market to extend for a particular type of asset. This becomes more complex when the asset also requires construction financing. We may also need to refinance existing loans that are due to mature. Factors that affect these arrangements include the interest rate and economic environment, the estimated fair value of real property, and the profitability of the asset’s historical operations. These capital market conditions may affect the renewal or replacement of our credit agreements, some of which have maturity dates occurring within the next 12 months. Obtaining such financing is not guaranteed and is largely dependent on market conditions and other factors.</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advancement of real estate investment-oriented technology, sometimes referred to as “proptech” offers Caliber the benefit of new and innovative technologies to better execute on capital formation strategies, investment acquisition strategies, and investment management strategies. In recent years, Caliber has added to its technology stack with systems that we believe lead the market in their specific ability to enhance execution on our projects. Several of these technologies seek to incorporate investments in artificial intelligence, which we believe will be a prevailing trend in helping Caliber to enhance its project execution going forward.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Regional conflicts and instability, such as those in Israel and Ukraine, can have significant impacts on global markets and economies and investor perception and tolerance for risk. These conflicts could lead to increased volatility in financial markets, disrupt supply chains, and change investor appetite for investments in alternative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25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Global markets are experiencing significant volatility driven by concerns over inflation, rising interest rates, slowing economic growth and geopolitical uncertainty. The annual inflation rate in the United States increased to 9.1% in June 2022, the highest rate since November 1981, but decreased to 3.5% in March 2024. As a result, from January 1, 2022 through April 30, 2024, the Federal Reserve increased the federal funds rate by 525 basis points. The rising interest rates, coupled with periods of significant equity and credit market volatility may potentially make it more difficult for us to find attractive opportunities for our funds to exit and realize value from their existing investments. Historically, inflation has tended to favor new capital formation for Caliber’s funds, as investors seek opportunities that can hedge against rising costs, such as real estate investments. In addition, the increase in interest rates has put pressure on owners of existing real estate to sell assets as their loans mature. Combined with a shrinking pool of buyers, the commercial and residential real estate markets in our favored geographies are moving away from a seller’s market and closer to a buyer’s market. It remains to be seen if a stressed or distressed market may emerge, similar to Caliber’s early years of operations. In both a buyer’s market and a stressed or distressed market, Caliber expects its business model to outperform, as our direct access to investor capital and our ability to invest in a variety of asset classes allows Caliber to move with the market and take advantage of potentially attractive prices. For project execution, inflation has increased the cost of nearly all building materials and labor types, increasing the cost of construction and renovation of our funds’ assets.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 and Indicators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key financial measures are discussed in the following pages. Additional information regarding these key financial measures and our other significant accounting policies can be found in Note 2 – Summary of Significant Accounting Policies in the notes to our accompanying consolidated financial statements included herein.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generate the majority of our revenue in the form of asset management fee revenues and performance allocations. Included within our consolidated results, are the related revenues of certain consolidated VIEs.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Expenses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expenses include operating costs, general and administrative, marketing and advertising and depreciation and amortization. Included within our consolidated results, are the related expenses of consolidated VIEs.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(expenses) include interest expense and interest income.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and discussion provide insight into our consolidated results of operations for the three months ended March 31, 2024 and 2023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360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5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458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60" w:type="dxa"/>
            <w:vAlign w:val="bottom"/>
            <w:tcBorders>
              <w:top w:val="single" w:sz="8" w:color="auto"/>
            </w:tcBorders>
            <w:shd w:val="clear" w:color="auto" w:fill="CCEDFF"/>
          </w:tcPr>
          <w:p>
            <w:pPr>
              <w:spacing w:after="0"/>
              <w:rPr>
                <w:sz w:val="18"/>
                <w:szCs w:val="18"/>
                <w:color w:val="auto"/>
              </w:rPr>
            </w:pPr>
          </w:p>
        </w:tc>
        <w:tc>
          <w:tcPr>
            <w:tcW w:w="60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380" w:type="dxa"/>
            <w:vAlign w:val="bottom"/>
            <w:tcBorders>
              <w:top w:val="single" w:sz="8" w:color="auto"/>
            </w:tcBorders>
            <w:shd w:val="clear" w:color="auto" w:fill="CCEDFF"/>
          </w:tcPr>
          <w:p>
            <w:pPr>
              <w:spacing w:after="0"/>
              <w:rPr>
                <w:sz w:val="18"/>
                <w:szCs w:val="18"/>
                <w:color w:val="auto"/>
              </w:rPr>
            </w:pPr>
          </w:p>
        </w:tc>
        <w:tc>
          <w:tcPr>
            <w:tcW w:w="128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20" w:type="dxa"/>
            <w:vAlign w:val="bottom"/>
            <w:tcBorders>
              <w:top w:val="single" w:sz="8" w:color="auto"/>
            </w:tcBorders>
            <w:shd w:val="clear" w:color="auto" w:fill="CCEDFF"/>
          </w:tcPr>
          <w:p>
            <w:pPr>
              <w:spacing w:after="0"/>
              <w:rPr>
                <w:sz w:val="18"/>
                <w:szCs w:val="18"/>
                <w:color w:val="auto"/>
              </w:rPr>
            </w:pPr>
          </w:p>
        </w:tc>
        <w:tc>
          <w:tcPr>
            <w:tcW w:w="116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1540" w:type="dxa"/>
            <w:vAlign w:val="bottom"/>
            <w:tcBorders>
              <w:top w:val="single" w:sz="8" w:color="auto"/>
            </w:tcBorders>
            <w:shd w:val="clear" w:color="auto" w:fill="CCEDFF"/>
          </w:tcPr>
          <w:p>
            <w:pPr>
              <w:spacing w:after="0"/>
              <w:rPr>
                <w:sz w:val="18"/>
                <w:szCs w:val="18"/>
                <w:color w:val="auto"/>
              </w:rPr>
            </w:pP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revenues</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55.7 %</w:t>
            </w:r>
          </w:p>
        </w:tc>
      </w:tr>
      <w:tr>
        <w:trPr>
          <w:trHeight w:val="229"/>
        </w:trPr>
        <w:tc>
          <w:tcPr>
            <w:tcW w:w="45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06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2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45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revenues</w:t>
            </w:r>
          </w:p>
        </w:tc>
        <w:tc>
          <w:tcPr>
            <w:tcW w:w="1060" w:type="dxa"/>
            <w:vAlign w:val="bottom"/>
            <w:tcBorders>
              <w:bottom w:val="single" w:sz="8" w:color="auto"/>
            </w:tcBorders>
            <w:shd w:val="clear" w:color="auto" w:fill="CCEDFF"/>
          </w:tcPr>
          <w:p>
            <w:pPr>
              <w:spacing w:after="0"/>
              <w:rPr>
                <w:sz w:val="19"/>
                <w:szCs w:val="19"/>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40" w:type="dxa"/>
            <w:vAlign w:val="bottom"/>
            <w:shd w:val="clear" w:color="auto" w:fill="CCEDFF"/>
          </w:tcPr>
          <w:p>
            <w:pPr>
              <w:spacing w:after="0"/>
              <w:rPr>
                <w:sz w:val="19"/>
                <w:szCs w:val="19"/>
                <w:color w:val="auto"/>
              </w:rPr>
            </w:pPr>
          </w:p>
        </w:tc>
        <w:tc>
          <w:tcPr>
            <w:tcW w:w="380" w:type="dxa"/>
            <w:vAlign w:val="bottom"/>
            <w:tcBorders>
              <w:bottom w:val="single" w:sz="8" w:color="auto"/>
            </w:tcBorders>
            <w:shd w:val="clear" w:color="auto" w:fill="CCEDFF"/>
          </w:tcPr>
          <w:p>
            <w:pPr>
              <w:spacing w:after="0"/>
              <w:rPr>
                <w:sz w:val="19"/>
                <w:szCs w:val="19"/>
                <w:color w:val="auto"/>
              </w:rPr>
            </w:pPr>
          </w:p>
        </w:tc>
        <w:tc>
          <w:tcPr>
            <w:tcW w:w="12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shd w:val="clear" w:color="auto" w:fill="CCEDFF"/>
          </w:tcPr>
          <w:p>
            <w:pPr>
              <w:spacing w:after="0"/>
              <w:rPr>
                <w:sz w:val="19"/>
                <w:szCs w:val="19"/>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458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22,951</w:t>
            </w:r>
          </w:p>
        </w:tc>
        <w:tc>
          <w:tcPr>
            <w:tcW w:w="140" w:type="dxa"/>
            <w:vAlign w:val="bottom"/>
            <w:tcBorders>
              <w:bottom w:val="single" w:sz="8" w:color="CCED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29,522</w:t>
            </w:r>
          </w:p>
        </w:tc>
        <w:tc>
          <w:tcPr>
            <w:tcW w:w="14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40" w:type="dxa"/>
            <w:vAlign w:val="bottom"/>
            <w:tcBorders>
              <w:bottom w:val="single" w:sz="8" w:color="CCED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7"/>
        </w:trPr>
        <w:tc>
          <w:tcPr>
            <w:tcW w:w="4580" w:type="dxa"/>
            <w:vAlign w:val="bottom"/>
            <w:shd w:val="clear" w:color="auto" w:fill="CCEDFF"/>
          </w:tcPr>
          <w:p>
            <w:pPr>
              <w:spacing w:after="0"/>
              <w:rPr>
                <w:sz w:val="20"/>
                <w:szCs w:val="20"/>
                <w:color w:val="auto"/>
              </w:rPr>
            </w:pPr>
          </w:p>
        </w:tc>
        <w:tc>
          <w:tcPr>
            <w:tcW w:w="1060" w:type="dxa"/>
            <w:vAlign w:val="bottom"/>
            <w:shd w:val="clear" w:color="auto" w:fill="CCEDFF"/>
          </w:tcPr>
          <w:p>
            <w:pPr>
              <w:spacing w:after="0"/>
              <w:rPr>
                <w:sz w:val="20"/>
                <w:szCs w:val="20"/>
                <w:color w:val="auto"/>
              </w:rPr>
            </w:pPr>
          </w:p>
        </w:tc>
        <w:tc>
          <w:tcPr>
            <w:tcW w:w="60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380" w:type="dxa"/>
            <w:vAlign w:val="bottom"/>
            <w:shd w:val="clear" w:color="auto" w:fill="CCEDFF"/>
          </w:tcPr>
          <w:p>
            <w:pPr>
              <w:spacing w:after="0"/>
              <w:rPr>
                <w:sz w:val="20"/>
                <w:szCs w:val="20"/>
                <w:color w:val="auto"/>
              </w:rPr>
            </w:pPr>
          </w:p>
        </w:tc>
        <w:tc>
          <w:tcPr>
            <w:tcW w:w="128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220" w:type="dxa"/>
            <w:vAlign w:val="bottom"/>
            <w:shd w:val="clear" w:color="auto" w:fill="CCEDFF"/>
          </w:tcPr>
          <w:p>
            <w:pPr>
              <w:spacing w:after="0"/>
              <w:rPr>
                <w:sz w:val="20"/>
                <w:szCs w:val="20"/>
                <w:color w:val="auto"/>
              </w:rPr>
            </w:pPr>
          </w:p>
        </w:tc>
        <w:tc>
          <w:tcPr>
            <w:tcW w:w="116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1540" w:type="dxa"/>
            <w:vAlign w:val="bottom"/>
            <w:shd w:val="clear" w:color="auto" w:fill="CCEDFF"/>
          </w:tcPr>
          <w:p>
            <w:pPr>
              <w:spacing w:after="0"/>
              <w:rPr>
                <w:sz w:val="20"/>
                <w:szCs w:val="20"/>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5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106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2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0"/>
        </w:trPr>
        <w:tc>
          <w:tcPr>
            <w:tcW w:w="45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06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2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29"/>
        </w:trPr>
        <w:tc>
          <w:tcPr>
            <w:tcW w:w="45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106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2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20,283</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458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40" w:type="dxa"/>
            <w:vAlign w:val="bottom"/>
            <w:tcBorders>
              <w:bottom w:val="single" w:sz="8" w:color="CCED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4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40" w:type="dxa"/>
            <w:vAlign w:val="bottom"/>
            <w:tcBorders>
              <w:bottom w:val="single" w:sz="8" w:color="CCED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59.6 %</w:t>
            </w:r>
          </w:p>
        </w:tc>
      </w:tr>
      <w:tr>
        <w:trPr>
          <w:trHeight w:val="223"/>
        </w:trPr>
        <w:tc>
          <w:tcPr>
            <w:tcW w:w="458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1060" w:type="dxa"/>
            <w:vAlign w:val="bottom"/>
            <w:tcBorders>
              <w:bottom w:val="single" w:sz="8" w:color="auto"/>
            </w:tcBorders>
            <w:shd w:val="clear" w:color="auto" w:fill="CCEDFF"/>
          </w:tcPr>
          <w:p>
            <w:pPr>
              <w:spacing w:after="0"/>
              <w:rPr>
                <w:sz w:val="19"/>
                <w:szCs w:val="19"/>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140" w:type="dxa"/>
            <w:vAlign w:val="bottom"/>
            <w:shd w:val="clear" w:color="auto" w:fill="CCEDFF"/>
          </w:tcPr>
          <w:p>
            <w:pPr>
              <w:spacing w:after="0"/>
              <w:rPr>
                <w:sz w:val="19"/>
                <w:szCs w:val="19"/>
                <w:color w:val="auto"/>
              </w:rPr>
            </w:pPr>
          </w:p>
        </w:tc>
        <w:tc>
          <w:tcPr>
            <w:tcW w:w="380" w:type="dxa"/>
            <w:vAlign w:val="bottom"/>
            <w:tcBorders>
              <w:bottom w:val="single" w:sz="8" w:color="auto"/>
            </w:tcBorders>
            <w:shd w:val="clear" w:color="auto" w:fill="CCEDFF"/>
          </w:tcPr>
          <w:p>
            <w:pPr>
              <w:spacing w:after="0"/>
              <w:rPr>
                <w:sz w:val="19"/>
                <w:szCs w:val="19"/>
                <w:color w:val="auto"/>
              </w:rPr>
            </w:pPr>
          </w:p>
        </w:tc>
        <w:tc>
          <w:tcPr>
            <w:tcW w:w="12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29,013</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40" w:type="dxa"/>
            <w:vAlign w:val="bottom"/>
            <w:shd w:val="clear" w:color="auto" w:fill="CCEDFF"/>
          </w:tcPr>
          <w:p>
            <w:pPr>
              <w:spacing w:after="0"/>
              <w:rPr>
                <w:sz w:val="19"/>
                <w:szCs w:val="19"/>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4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29"/>
        </w:trPr>
        <w:tc>
          <w:tcPr>
            <w:tcW w:w="45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06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2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30"/>
        </w:trPr>
        <w:tc>
          <w:tcPr>
            <w:tcW w:w="45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Borders>
              <w:bottom w:val="single" w:sz="8" w:color="auto"/>
            </w:tcBorders>
            <w:shd w:val="clear" w:color="auto" w:fill="CCEDFF"/>
          </w:tcPr>
          <w:p>
            <w:pPr>
              <w:spacing w:after="0"/>
              <w:rPr>
                <w:sz w:val="19"/>
                <w:szCs w:val="19"/>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40" w:type="dxa"/>
            <w:vAlign w:val="bottom"/>
            <w:shd w:val="clear" w:color="auto" w:fill="CCEDFF"/>
          </w:tcPr>
          <w:p>
            <w:pPr>
              <w:spacing w:after="0"/>
              <w:rPr>
                <w:sz w:val="19"/>
                <w:szCs w:val="19"/>
                <w:color w:val="auto"/>
              </w:rPr>
            </w:pPr>
          </w:p>
        </w:tc>
        <w:tc>
          <w:tcPr>
            <w:tcW w:w="380" w:type="dxa"/>
            <w:vAlign w:val="bottom"/>
            <w:tcBorders>
              <w:bottom w:val="single" w:sz="8" w:color="auto"/>
            </w:tcBorders>
            <w:shd w:val="clear" w:color="auto" w:fill="CCEDFF"/>
          </w:tcPr>
          <w:p>
            <w:pPr>
              <w:spacing w:after="0"/>
              <w:rPr>
                <w:sz w:val="19"/>
                <w:szCs w:val="19"/>
                <w:color w:val="auto"/>
              </w:rPr>
            </w:pPr>
          </w:p>
        </w:tc>
        <w:tc>
          <w:tcPr>
            <w:tcW w:w="12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shd w:val="clear" w:color="auto" w:fill="CCEDFF"/>
          </w:tcPr>
          <w:p>
            <w:pPr>
              <w:spacing w:after="0"/>
              <w:rPr>
                <w:sz w:val="19"/>
                <w:szCs w:val="19"/>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55.7 %</w:t>
            </w:r>
          </w:p>
        </w:tc>
      </w:tr>
      <w:tr>
        <w:trPr>
          <w:trHeight w:val="22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(1,883.7)%</w:t>
            </w:r>
          </w:p>
        </w:tc>
      </w:tr>
      <w:tr>
        <w:trPr>
          <w:trHeight w:val="230"/>
        </w:trPr>
        <w:tc>
          <w:tcPr>
            <w:tcW w:w="458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060" w:type="dxa"/>
            <w:vAlign w:val="bottom"/>
            <w:shd w:val="clear" w:color="auto" w:fill="CCEDFF"/>
          </w:tcPr>
          <w:p>
            <w:pPr>
              <w:spacing w:after="0"/>
              <w:rPr>
                <w:sz w:val="19"/>
                <w:szCs w:val="19"/>
                <w:color w:val="auto"/>
              </w:rPr>
            </w:pPr>
          </w:p>
        </w:tc>
        <w:tc>
          <w:tcPr>
            <w:tcW w:w="74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DFF"/>
          </w:tcPr>
          <w:p>
            <w:pPr>
              <w:spacing w:after="0"/>
              <w:rPr>
                <w:sz w:val="19"/>
                <w:szCs w:val="19"/>
                <w:color w:val="auto"/>
              </w:rPr>
            </w:pPr>
          </w:p>
        </w:tc>
        <w:tc>
          <w:tcPr>
            <w:tcW w:w="142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30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3"/>
        </w:trPr>
        <w:tc>
          <w:tcPr>
            <w:tcW w:w="45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4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(1,883.7)%</w:t>
            </w:r>
          </w:p>
        </w:tc>
      </w:tr>
      <w:tr>
        <w:trPr>
          <w:trHeight w:val="175"/>
        </w:trPr>
        <w:tc>
          <w:tcPr>
            <w:tcW w:w="4580" w:type="dxa"/>
            <w:vAlign w:val="bottom"/>
            <w:shd w:val="clear" w:color="auto" w:fill="CCEDFF"/>
          </w:tcPr>
          <w:p>
            <w:pPr>
              <w:ind w:left="560"/>
              <w:spacing w:after="0" w:line="176" w:lineRule="exact"/>
              <w:rPr>
                <w:sz w:val="20"/>
                <w:szCs w:val="20"/>
                <w:color w:val="auto"/>
              </w:rPr>
            </w:pPr>
            <w:r>
              <w:rPr>
                <w:rFonts w:ascii="Times New Roman" w:cs="Times New Roman" w:eastAsia="Times New Roman" w:hAnsi="Times New Roman"/>
                <w:sz w:val="18"/>
                <w:szCs w:val="18"/>
                <w:color w:val="auto"/>
              </w:rPr>
              <w:t>Net (loss) income attributable to noncontrolling</w:t>
            </w:r>
          </w:p>
        </w:tc>
        <w:tc>
          <w:tcPr>
            <w:tcW w:w="1060" w:type="dxa"/>
            <w:vAlign w:val="bottom"/>
            <w:shd w:val="clear" w:color="auto" w:fill="CCEDFF"/>
          </w:tcPr>
          <w:p>
            <w:pPr>
              <w:spacing w:after="0"/>
              <w:rPr>
                <w:sz w:val="15"/>
                <w:szCs w:val="15"/>
                <w:color w:val="auto"/>
              </w:rPr>
            </w:pPr>
          </w:p>
        </w:tc>
        <w:tc>
          <w:tcPr>
            <w:tcW w:w="600" w:type="dxa"/>
            <w:vAlign w:val="bottom"/>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380" w:type="dxa"/>
            <w:vAlign w:val="bottom"/>
            <w:shd w:val="clear" w:color="auto" w:fill="CCEDFF"/>
          </w:tcPr>
          <w:p>
            <w:pPr>
              <w:spacing w:after="0"/>
              <w:rPr>
                <w:sz w:val="15"/>
                <w:szCs w:val="15"/>
                <w:color w:val="auto"/>
              </w:rPr>
            </w:pPr>
          </w:p>
        </w:tc>
        <w:tc>
          <w:tcPr>
            <w:tcW w:w="1280" w:type="dxa"/>
            <w:vAlign w:val="bottom"/>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220" w:type="dxa"/>
            <w:vAlign w:val="bottom"/>
            <w:shd w:val="clear" w:color="auto" w:fill="CCEDFF"/>
          </w:tcPr>
          <w:p>
            <w:pPr>
              <w:spacing w:after="0"/>
              <w:rPr>
                <w:sz w:val="15"/>
                <w:szCs w:val="15"/>
                <w:color w:val="auto"/>
              </w:rPr>
            </w:pPr>
          </w:p>
        </w:tc>
        <w:tc>
          <w:tcPr>
            <w:tcW w:w="1160" w:type="dxa"/>
            <w:vAlign w:val="bottom"/>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1540" w:type="dxa"/>
            <w:vAlign w:val="bottom"/>
            <w:shd w:val="clear" w:color="auto" w:fill="CCEDFF"/>
          </w:tcPr>
          <w:p>
            <w:pPr>
              <w:spacing w:after="0"/>
              <w:rPr>
                <w:sz w:val="15"/>
                <w:szCs w:val="15"/>
                <w:color w:val="auto"/>
              </w:rPr>
            </w:pPr>
          </w:p>
        </w:tc>
      </w:tr>
      <w:tr>
        <w:trPr>
          <w:trHeight w:val="243"/>
        </w:trPr>
        <w:tc>
          <w:tcPr>
            <w:tcW w:w="4580" w:type="dxa"/>
            <w:vAlign w:val="bottom"/>
            <w:shd w:val="clear" w:color="auto" w:fill="CCEDFF"/>
          </w:tcPr>
          <w:p>
            <w:pPr>
              <w:ind w:left="560"/>
              <w:spacing w:after="0"/>
              <w:rPr>
                <w:sz w:val="20"/>
                <w:szCs w:val="20"/>
                <w:color w:val="auto"/>
              </w:rPr>
            </w:pPr>
            <w:r>
              <w:rPr>
                <w:rFonts w:ascii="Times New Roman" w:cs="Times New Roman" w:eastAsia="Times New Roman" w:hAnsi="Times New Roman"/>
                <w:sz w:val="18"/>
                <w:szCs w:val="18"/>
                <w:color w:val="auto"/>
              </w:rPr>
              <w:t>interests</w:t>
            </w:r>
          </w:p>
        </w:tc>
        <w:tc>
          <w:tcPr>
            <w:tcW w:w="1060" w:type="dxa"/>
            <w:vAlign w:val="bottom"/>
            <w:tcBorders>
              <w:bottom w:val="single" w:sz="8" w:color="auto"/>
            </w:tcBorders>
            <w:shd w:val="clear" w:color="auto" w:fill="CCEDFF"/>
          </w:tcPr>
          <w:p>
            <w:pPr>
              <w:spacing w:after="0"/>
              <w:rPr>
                <w:sz w:val="21"/>
                <w:szCs w:val="21"/>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40" w:type="dxa"/>
            <w:vAlign w:val="bottom"/>
            <w:shd w:val="clear" w:color="auto" w:fill="CCEDFF"/>
          </w:tcPr>
          <w:p>
            <w:pPr>
              <w:spacing w:after="0"/>
              <w:rPr>
                <w:sz w:val="21"/>
                <w:szCs w:val="21"/>
                <w:color w:val="auto"/>
              </w:rPr>
            </w:pPr>
          </w:p>
        </w:tc>
        <w:tc>
          <w:tcPr>
            <w:tcW w:w="380" w:type="dxa"/>
            <w:vAlign w:val="bottom"/>
            <w:tcBorders>
              <w:bottom w:val="single" w:sz="8" w:color="auto"/>
            </w:tcBorders>
            <w:shd w:val="clear" w:color="auto" w:fill="CCEDFF"/>
          </w:tcPr>
          <w:p>
            <w:pPr>
              <w:spacing w:after="0"/>
              <w:rPr>
                <w:sz w:val="21"/>
                <w:szCs w:val="21"/>
                <w:color w:val="auto"/>
              </w:rPr>
            </w:pPr>
          </w:p>
        </w:tc>
        <w:tc>
          <w:tcPr>
            <w:tcW w:w="12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40" w:type="dxa"/>
            <w:vAlign w:val="bottom"/>
            <w:shd w:val="clear" w:color="auto" w:fill="CCEDFF"/>
          </w:tcPr>
          <w:p>
            <w:pPr>
              <w:spacing w:after="0"/>
              <w:rPr>
                <w:sz w:val="21"/>
                <w:szCs w:val="21"/>
                <w:color w:val="auto"/>
              </w:rPr>
            </w:pPr>
          </w:p>
        </w:tc>
        <w:tc>
          <w:tcPr>
            <w:tcW w:w="220" w:type="dxa"/>
            <w:vAlign w:val="bottom"/>
            <w:tcBorders>
              <w:bottom w:val="single" w:sz="8" w:color="auto"/>
            </w:tcBorders>
            <w:shd w:val="clear" w:color="auto" w:fill="CCEDFF"/>
          </w:tcPr>
          <w:p>
            <w:pPr>
              <w:spacing w:after="0"/>
              <w:rPr>
                <w:sz w:val="21"/>
                <w:szCs w:val="21"/>
                <w:color w:val="auto"/>
              </w:rPr>
            </w:pPr>
          </w:p>
        </w:tc>
        <w:tc>
          <w:tcPr>
            <w:tcW w:w="1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40" w:type="dxa"/>
            <w:vAlign w:val="bottom"/>
            <w:shd w:val="clear" w:color="auto" w:fill="CCEDFF"/>
          </w:tcPr>
          <w:p>
            <w:pPr>
              <w:spacing w:after="0"/>
              <w:rPr>
                <w:sz w:val="21"/>
                <w:szCs w:val="21"/>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23"/>
        </w:trPr>
        <w:tc>
          <w:tcPr>
            <w:tcW w:w="45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attributable to CaliberCos Inc.</w:t>
            </w: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4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215.2 %</w:t>
            </w:r>
          </w:p>
        </w:tc>
      </w:tr>
      <w:tr>
        <w:trPr>
          <w:trHeight w:val="21"/>
        </w:trPr>
        <w:tc>
          <w:tcPr>
            <w:tcW w:w="4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and 2023, total revenues were $23.0 million and $29.5 million, respectively, representing a period-over-period decrease of 22.3%, which was primarily due to a decrease in consolidated fund revenues. This decrease was primarily due to the deconsolidation of Caliber Hospitality, LP and the Caliber Hospitality Trust in March 2024, a decrease in performance allocation revenue which was earned related to the contribution of the hospitality assets to Caliber Hospitality L.P in March 2023, and was partially offset by an increase in asset management revenue due to an increase in development and construction activities. See the Segment Analysis section below in which revenues are presented on a basis that deconsolidates our consolidated funds. As a result, segment revenues are different than those presented on a consolidated basis in accordance with U.S. GAAP basis because these fees are eliminated in consolidation when they are derived from a consolidated fund.</w:t>
      </w:r>
    </w:p>
    <w:p>
      <w:pPr>
        <w:spacing w:after="0" w:line="21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total expenses were $27.3 million and $29.0 million, respectively, representing a period-over-period decrease of 5.9%. The increase was primarily due to an decrease in consolidated fund expenses which was primarily due to the deconsolidation of Caliber Hospitality, LP and Caliber Hospitality Trust in March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Unconsolidated Results of Operations for the Three Months Ended March 31, 2024 and 2023</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 and discussion provide insight into our unconsolidated results of operations of the asset management platform for the three months ended March 31, 2024 and 2023 (in thousands). Unconsolidated revenues and expenses are presented on a basis that deconsolidates our consolidated funds (intercompany eliminations) and eliminates noncontrolling interest. As a result, unconsolidated revenues are different than those presented on a consolidated basis in accordance with U.S. GAAP because fee revenue is eliminated in consolidation when it is derived from a consolidated fund and due to the exclusion of the fund revenue recognized by the consolidated funds. Furthermore, unconsolidated expenses are also different than those presented on a consolidated U.S. GAAP basis due to the exclusion of fund expenses that are paid by the consolidated funds. See the Non-GAAP Measures section below for reconciliations of the unconsolidated results to the most comparable U.S. GAAP measure.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354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464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40" w:type="dxa"/>
            <w:vAlign w:val="bottom"/>
            <w:tcBorders>
              <w:top w:val="single" w:sz="8" w:color="auto"/>
            </w:tcBorders>
            <w:shd w:val="clear" w:color="auto" w:fill="CCEDFF"/>
          </w:tcPr>
          <w:p>
            <w:pPr>
              <w:spacing w:after="0"/>
              <w:rPr>
                <w:sz w:val="18"/>
                <w:szCs w:val="18"/>
                <w:color w:val="auto"/>
              </w:rPr>
            </w:pPr>
          </w:p>
        </w:tc>
        <w:tc>
          <w:tcPr>
            <w:tcW w:w="60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380" w:type="dxa"/>
            <w:vAlign w:val="bottom"/>
            <w:tcBorders>
              <w:top w:val="single" w:sz="8" w:color="auto"/>
            </w:tcBorders>
            <w:shd w:val="clear" w:color="auto" w:fill="CCEDFF"/>
          </w:tcPr>
          <w:p>
            <w:pPr>
              <w:spacing w:after="0"/>
              <w:rPr>
                <w:sz w:val="18"/>
                <w:szCs w:val="18"/>
                <w:color w:val="auto"/>
              </w:rPr>
            </w:pPr>
          </w:p>
        </w:tc>
        <w:tc>
          <w:tcPr>
            <w:tcW w:w="126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20" w:type="dxa"/>
            <w:vAlign w:val="bottom"/>
            <w:tcBorders>
              <w:top w:val="single" w:sz="8" w:color="auto"/>
            </w:tcBorders>
            <w:shd w:val="clear" w:color="auto" w:fill="CCEDFF"/>
          </w:tcPr>
          <w:p>
            <w:pPr>
              <w:spacing w:after="0"/>
              <w:rPr>
                <w:sz w:val="18"/>
                <w:szCs w:val="18"/>
                <w:color w:val="auto"/>
              </w:rPr>
            </w:pPr>
          </w:p>
        </w:tc>
        <w:tc>
          <w:tcPr>
            <w:tcW w:w="116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1540" w:type="dxa"/>
            <w:vAlign w:val="bottom"/>
            <w:tcBorders>
              <w:top w:val="single" w:sz="8" w:color="auto"/>
            </w:tcBorders>
            <w:shd w:val="clear" w:color="auto" w:fill="CCEDFF"/>
          </w:tcPr>
          <w:p>
            <w:pPr>
              <w:spacing w:after="0"/>
              <w:rPr>
                <w:sz w:val="18"/>
                <w:szCs w:val="18"/>
                <w:color w:val="auto"/>
              </w:rPr>
            </w:pP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29"/>
        </w:trPr>
        <w:tc>
          <w:tcPr>
            <w:tcW w:w="46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040" w:type="dxa"/>
            <w:vAlign w:val="bottom"/>
            <w:tcBorders>
              <w:bottom w:val="single" w:sz="8" w:color="auto"/>
            </w:tcBorders>
            <w:shd w:val="clear" w:color="auto" w:fill="CCEDFF"/>
          </w:tcPr>
          <w:p>
            <w:pPr>
              <w:spacing w:after="0"/>
              <w:rPr>
                <w:sz w:val="19"/>
                <w:szCs w:val="19"/>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DFF"/>
          </w:tcPr>
          <w:p>
            <w:pPr>
              <w:spacing w:after="0"/>
              <w:rPr>
                <w:sz w:val="19"/>
                <w:szCs w:val="19"/>
                <w:color w:val="auto"/>
              </w:rPr>
            </w:pPr>
          </w:p>
        </w:tc>
        <w:tc>
          <w:tcPr>
            <w:tcW w:w="380" w:type="dxa"/>
            <w:vAlign w:val="bottom"/>
            <w:tcBorders>
              <w:bottom w:val="single" w:sz="8" w:color="auto"/>
            </w:tcBorders>
            <w:shd w:val="clear" w:color="auto" w:fill="CCEDFF"/>
          </w:tcPr>
          <w:p>
            <w:pPr>
              <w:spacing w:after="0"/>
              <w:rPr>
                <w:sz w:val="19"/>
                <w:szCs w:val="19"/>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40" w:type="dxa"/>
            <w:vAlign w:val="bottom"/>
            <w:shd w:val="clear" w:color="auto" w:fill="CCEDFF"/>
          </w:tcPr>
          <w:p>
            <w:pPr>
              <w:spacing w:after="0"/>
              <w:rPr>
                <w:sz w:val="19"/>
                <w:szCs w:val="19"/>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3"/>
        </w:trPr>
        <w:tc>
          <w:tcPr>
            <w:tcW w:w="464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20" w:type="dxa"/>
            <w:vAlign w:val="bottom"/>
            <w:tcBorders>
              <w:bottom w:val="single" w:sz="8" w:color="CCED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4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40" w:type="dxa"/>
            <w:vAlign w:val="bottom"/>
            <w:tcBorders>
              <w:bottom w:val="single" w:sz="8" w:color="CCED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6"/>
        </w:trPr>
        <w:tc>
          <w:tcPr>
            <w:tcW w:w="4640" w:type="dxa"/>
            <w:vAlign w:val="bottom"/>
            <w:shd w:val="clear" w:color="auto" w:fill="CCEDFF"/>
          </w:tcPr>
          <w:p>
            <w:pPr>
              <w:spacing w:after="0"/>
              <w:rPr>
                <w:sz w:val="20"/>
                <w:szCs w:val="20"/>
                <w:color w:val="auto"/>
              </w:rPr>
            </w:pPr>
          </w:p>
        </w:tc>
        <w:tc>
          <w:tcPr>
            <w:tcW w:w="1040" w:type="dxa"/>
            <w:vAlign w:val="bottom"/>
            <w:shd w:val="clear" w:color="auto" w:fill="CCEDFF"/>
          </w:tcPr>
          <w:p>
            <w:pPr>
              <w:spacing w:after="0"/>
              <w:rPr>
                <w:sz w:val="20"/>
                <w:szCs w:val="20"/>
                <w:color w:val="auto"/>
              </w:rPr>
            </w:pPr>
          </w:p>
        </w:tc>
        <w:tc>
          <w:tcPr>
            <w:tcW w:w="600" w:type="dxa"/>
            <w:vAlign w:val="bottom"/>
            <w:shd w:val="clear" w:color="auto" w:fill="CCEDFF"/>
          </w:tcPr>
          <w:p>
            <w:pPr>
              <w:spacing w:after="0"/>
              <w:rPr>
                <w:sz w:val="20"/>
                <w:szCs w:val="20"/>
                <w:color w:val="auto"/>
              </w:rPr>
            </w:pPr>
          </w:p>
        </w:tc>
        <w:tc>
          <w:tcPr>
            <w:tcW w:w="120" w:type="dxa"/>
            <w:vAlign w:val="bottom"/>
            <w:shd w:val="clear" w:color="auto" w:fill="CCEDFF"/>
          </w:tcPr>
          <w:p>
            <w:pPr>
              <w:spacing w:after="0"/>
              <w:rPr>
                <w:sz w:val="20"/>
                <w:szCs w:val="20"/>
                <w:color w:val="auto"/>
              </w:rPr>
            </w:pPr>
          </w:p>
        </w:tc>
        <w:tc>
          <w:tcPr>
            <w:tcW w:w="380" w:type="dxa"/>
            <w:vAlign w:val="bottom"/>
            <w:shd w:val="clear" w:color="auto" w:fill="CCEDFF"/>
          </w:tcPr>
          <w:p>
            <w:pPr>
              <w:spacing w:after="0"/>
              <w:rPr>
                <w:sz w:val="20"/>
                <w:szCs w:val="20"/>
                <w:color w:val="auto"/>
              </w:rPr>
            </w:pPr>
          </w:p>
        </w:tc>
        <w:tc>
          <w:tcPr>
            <w:tcW w:w="126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220" w:type="dxa"/>
            <w:vAlign w:val="bottom"/>
            <w:shd w:val="clear" w:color="auto" w:fill="CCEDFF"/>
          </w:tcPr>
          <w:p>
            <w:pPr>
              <w:spacing w:after="0"/>
              <w:rPr>
                <w:sz w:val="20"/>
                <w:szCs w:val="20"/>
                <w:color w:val="auto"/>
              </w:rPr>
            </w:pPr>
          </w:p>
        </w:tc>
        <w:tc>
          <w:tcPr>
            <w:tcW w:w="1160" w:type="dxa"/>
            <w:vAlign w:val="bottom"/>
            <w:shd w:val="clear" w:color="auto" w:fill="CCEDFF"/>
          </w:tcPr>
          <w:p>
            <w:pPr>
              <w:spacing w:after="0"/>
              <w:rPr>
                <w:sz w:val="20"/>
                <w:szCs w:val="20"/>
                <w:color w:val="auto"/>
              </w:rPr>
            </w:pPr>
          </w:p>
        </w:tc>
        <w:tc>
          <w:tcPr>
            <w:tcW w:w="140" w:type="dxa"/>
            <w:vAlign w:val="bottom"/>
            <w:shd w:val="clear" w:color="auto" w:fill="CCEDFF"/>
          </w:tcPr>
          <w:p>
            <w:pPr>
              <w:spacing w:after="0"/>
              <w:rPr>
                <w:sz w:val="20"/>
                <w:szCs w:val="20"/>
                <w:color w:val="auto"/>
              </w:rPr>
            </w:pPr>
          </w:p>
        </w:tc>
        <w:tc>
          <w:tcPr>
            <w:tcW w:w="1540" w:type="dxa"/>
            <w:vAlign w:val="bottom"/>
            <w:shd w:val="clear" w:color="auto" w:fill="CCEDFF"/>
          </w:tcPr>
          <w:p>
            <w:pPr>
              <w:spacing w:after="0"/>
              <w:rPr>
                <w:sz w:val="20"/>
                <w:szCs w:val="20"/>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46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104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2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29"/>
        </w:trPr>
        <w:tc>
          <w:tcPr>
            <w:tcW w:w="46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04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4640" w:type="dxa"/>
            <w:vAlign w:val="bottom"/>
            <w:tcBorders>
              <w:bottom w:val="single" w:sz="8" w:color="CCED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D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Borders>
              <w:bottom w:val="single" w:sz="8" w:color="CCED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471.9 %</w:t>
            </w:r>
          </w:p>
        </w:tc>
      </w:tr>
      <w:tr>
        <w:trPr>
          <w:trHeight w:val="223"/>
        </w:trPr>
        <w:tc>
          <w:tcPr>
            <w:tcW w:w="4640" w:type="dxa"/>
            <w:vAlign w:val="bottom"/>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1040" w:type="dxa"/>
            <w:vAlign w:val="bottom"/>
            <w:tcBorders>
              <w:bottom w:val="single" w:sz="8" w:color="auto"/>
            </w:tcBorders>
            <w:shd w:val="clear" w:color="auto" w:fill="CCEDFF"/>
          </w:tcPr>
          <w:p>
            <w:pPr>
              <w:spacing w:after="0"/>
              <w:rPr>
                <w:sz w:val="19"/>
                <w:szCs w:val="19"/>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20" w:type="dxa"/>
            <w:vAlign w:val="bottom"/>
            <w:shd w:val="clear" w:color="auto" w:fill="CCEDFF"/>
          </w:tcPr>
          <w:p>
            <w:pPr>
              <w:spacing w:after="0"/>
              <w:rPr>
                <w:sz w:val="19"/>
                <w:szCs w:val="19"/>
                <w:color w:val="auto"/>
              </w:rPr>
            </w:pPr>
          </w:p>
        </w:tc>
        <w:tc>
          <w:tcPr>
            <w:tcW w:w="380" w:type="dxa"/>
            <w:vAlign w:val="bottom"/>
            <w:tcBorders>
              <w:bottom w:val="single" w:sz="8" w:color="auto"/>
            </w:tcBorders>
            <w:shd w:val="clear" w:color="auto" w:fill="CCEDFF"/>
          </w:tcPr>
          <w:p>
            <w:pPr>
              <w:spacing w:after="0"/>
              <w:rPr>
                <w:sz w:val="19"/>
                <w:szCs w:val="19"/>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40" w:type="dxa"/>
            <w:vAlign w:val="bottom"/>
            <w:shd w:val="clear" w:color="auto" w:fill="CCEDFF"/>
          </w:tcPr>
          <w:p>
            <w:pPr>
              <w:spacing w:after="0"/>
              <w:rPr>
                <w:sz w:val="19"/>
                <w:szCs w:val="19"/>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50"/>
        </w:trPr>
        <w:tc>
          <w:tcPr>
            <w:tcW w:w="4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29"/>
        </w:trPr>
        <w:tc>
          <w:tcPr>
            <w:tcW w:w="46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income (loss), net</w:t>
            </w:r>
          </w:p>
        </w:tc>
        <w:tc>
          <w:tcPr>
            <w:tcW w:w="1040" w:type="dxa"/>
            <w:vAlign w:val="bottom"/>
            <w:shd w:val="clear" w:color="auto" w:fill="CCEDFF"/>
          </w:tcPr>
          <w:p>
            <w:pPr>
              <w:spacing w:after="0"/>
              <w:rPr>
                <w:sz w:val="19"/>
                <w:szCs w:val="19"/>
                <w:color w:val="auto"/>
              </w:rPr>
            </w:pPr>
          </w:p>
        </w:tc>
        <w:tc>
          <w:tcPr>
            <w:tcW w:w="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shd w:val="clear" w:color="auto" w:fill="CCEDFF"/>
          </w:tcPr>
          <w:p>
            <w:pPr>
              <w:spacing w:after="0"/>
              <w:rPr>
                <w:sz w:val="19"/>
                <w:szCs w:val="19"/>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397.4 %</w:t>
            </w: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30"/>
        </w:trPr>
        <w:tc>
          <w:tcPr>
            <w:tcW w:w="464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bottom w:val="single" w:sz="8" w:color="auto"/>
            </w:tcBorders>
            <w:shd w:val="clear" w:color="auto" w:fill="CCEDFF"/>
          </w:tcPr>
          <w:p>
            <w:pPr>
              <w:spacing w:after="0"/>
              <w:rPr>
                <w:sz w:val="19"/>
                <w:szCs w:val="19"/>
                <w:color w:val="auto"/>
              </w:rPr>
            </w:pPr>
          </w:p>
        </w:tc>
        <w:tc>
          <w:tcPr>
            <w:tcW w:w="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shd w:val="clear" w:color="auto" w:fill="CCEDFF"/>
          </w:tcPr>
          <w:p>
            <w:pPr>
              <w:spacing w:after="0"/>
              <w:rPr>
                <w:sz w:val="19"/>
                <w:szCs w:val="19"/>
                <w:color w:val="auto"/>
              </w:rPr>
            </w:pPr>
          </w:p>
        </w:tc>
        <w:tc>
          <w:tcPr>
            <w:tcW w:w="380" w:type="dxa"/>
            <w:vAlign w:val="bottom"/>
            <w:tcBorders>
              <w:bottom w:val="single" w:sz="8" w:color="auto"/>
            </w:tcBorders>
            <w:shd w:val="clear" w:color="auto" w:fill="CCEDFF"/>
          </w:tcPr>
          <w:p>
            <w:pPr>
              <w:spacing w:after="0"/>
              <w:rPr>
                <w:sz w:val="19"/>
                <w:szCs w:val="19"/>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shd w:val="clear" w:color="auto" w:fill="CCEDFF"/>
          </w:tcPr>
          <w:p>
            <w:pPr>
              <w:spacing w:after="0"/>
              <w:rPr>
                <w:sz w:val="19"/>
                <w:szCs w:val="19"/>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55.6 %</w:t>
            </w:r>
          </w:p>
        </w:tc>
      </w:tr>
      <w:tr>
        <w:trPr>
          <w:trHeight w:val="223"/>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326.1 %</w:t>
            </w:r>
          </w:p>
        </w:tc>
      </w:tr>
      <w:tr>
        <w:trPr>
          <w:trHeight w:val="230"/>
        </w:trPr>
        <w:tc>
          <w:tcPr>
            <w:tcW w:w="464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040" w:type="dxa"/>
            <w:vAlign w:val="bottom"/>
            <w:shd w:val="clear" w:color="auto" w:fill="CCEDFF"/>
          </w:tcPr>
          <w:p>
            <w:pPr>
              <w:spacing w:after="0"/>
              <w:rPr>
                <w:sz w:val="19"/>
                <w:szCs w:val="19"/>
                <w:color w:val="auto"/>
              </w:rPr>
            </w:pPr>
          </w:p>
        </w:tc>
        <w:tc>
          <w:tcPr>
            <w:tcW w:w="72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DFF"/>
          </w:tcPr>
          <w:p>
            <w:pPr>
              <w:spacing w:after="0"/>
              <w:rPr>
                <w:sz w:val="19"/>
                <w:szCs w:val="19"/>
                <w:color w:val="auto"/>
              </w:rPr>
            </w:pPr>
          </w:p>
        </w:tc>
        <w:tc>
          <w:tcPr>
            <w:tcW w:w="14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30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3"/>
        </w:trPr>
        <w:tc>
          <w:tcPr>
            <w:tcW w:w="46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4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326.1 %</w:t>
            </w:r>
          </w:p>
        </w:tc>
      </w:tr>
      <w:tr>
        <w:trPr>
          <w:trHeight w:val="20"/>
        </w:trPr>
        <w:tc>
          <w:tcPr>
            <w:tcW w:w="4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and 2023, total revenues were $4.7 million and $6.4 million, respectively, representing a period-over-period decrease of 25.6%. The table below (in thousands) compares the revenues earned for providing services under the Company’s asset management platform as described in the Revenue Recognition section of Note 2 – Summary of Significant Accounting Policies for the three months ended March 31, 2024 to the revenues earned for the same period in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50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20" w:type="dxa"/>
            <w:vAlign w:val="bottom"/>
            <w:tcBorders>
              <w:bottom w:val="single" w:sz="8" w:color="CCEEFF"/>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set-up fees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73.0 %</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 management</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30"/>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3"/>
        </w:trPr>
        <w:tc>
          <w:tcPr>
            <w:tcW w:w="4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unconsolidated revenue</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
        </w:trPr>
        <w:tc>
          <w:tcPr>
            <w:tcW w:w="4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increase in fund management fees is related to the change in fee structure effective upon the contribution of the hospitality assets to Caliber Hospitality, LP in March 2023. Fund management fees were based on 1.0% to 1.5% of the unreturned capital contributions in each hospitality fund. During the three months ended March 31, 2024, the Company earns a fund management fee of 0.7% of the Caliber Hospitality Trust’s enterprise value.</w:t>
      </w:r>
    </w:p>
    <w:p>
      <w:pPr>
        <w:spacing w:after="0" w:line="20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decrease in financing fees is due to loan placement fees earned for executing two loans on behalf of our funds during the three months ended March 31, 2023. No such fees were earned during the three months ended March 31, 2024.</w:t>
      </w:r>
    </w:p>
    <w:p>
      <w:pPr>
        <w:spacing w:after="0" w:line="18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increase in development and construction fees is primarily due to fees earned from completing pre-development work for three projects during three months ended March 31, 2024.</w:t>
      </w:r>
    </w:p>
    <w:p>
      <w:pPr>
        <w:spacing w:after="0" w:line="189"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performance allocations were $0.2 million, related to the sale of land located in Johnstown, Colorado. For the three months ended March 31, 2023, performance allocations were $2.4 million, which represents the carried interest earned related to the contribution of the hospitality assets to Caliber Hospitality, LP in March 2023.</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and 2023, total expenses were $7.7 million and $6.5 million, respectively, representing a period-over-period increase of 19.7%. The increase was primarily due to an increase in operating costs from additional payroll associated with increased headcount and cost of human capital driven by the Company’s growth initiatives, as the Company enhanced its capabilities across all lines of service, partially offset by a decrease in stock compensation expense. The increase in depreciation and amortization was primarily due to the acquisition of the Company’s headquarters office building during the three months ended March 31, 2024.</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net was $0.5 million for the three months ended March 31, 2024, as compared to a loss of $0.2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 The changes is primarily due to $0.3 million of income recorded related to a legal settlement completed during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an increase in rental income, including straight-line rent, of $0.3 million from space leased in the Company’s corporate headquarters.</w:t>
      </w:r>
    </w:p>
    <w:p>
      <w:pPr>
        <w:spacing w:after="0" w:line="2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interest expense was $1.3 million and $0.8 million, respectively. The increase was primarily due to the increase in corporate notes outstanding during the three months ended March 31, 2024, as compared to the same period in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Investment Valuations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investments that are held by our funds are generally considered to be illiquid and have no readily ascertainable market value. We value these investments based on our estimate of their fair value as of the date of determination. We estimate the fair value of our fund’s investments based on several inputs built within forecasting models. The models generally rely on discounted cash flow analysis and other techniques and may include independently sourced market parameters. The material estimates and assumptions used in these models include the timing and expected amounts of cash flows, income and expenses for the property, the appropriateness of discount rates used, overall capitalization rate, and, in some cases, the ability to execute, estimated proceeds and timing of expected sales and financings. Most of our assets utilize the income approach to value the property. Where appropriate, management may obtain additional supporting evidence of values from methods generally utilized in the real estate investment industry, such as appraisal reports and broker price opinion reports.</w:t>
      </w: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respect to the underlying factors that led to the change in fair value in the current year, we identify assets that are undervalued and/or underperforming at the time of acquisition. Such assets generally undergo some form of repositioning soon after our acquisition to help drive increased appreciation and operating performance. Once the repositioning is complete, we focus on increasing the asset’s net operating income, thereby further increasing the value of the asset. By making these below-market acquisitions, adding value through development activities, and increasing free cash flow with proper management all represent a material component to our core business model.</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unique feature of Caliber’s funds is the discretion given to Caliber’s management team to decide when to sell assets and when to hold them. We believe this discretion allows Caliber to avoid selling properties that, while their business plan may have matured, the market will not pay an attractive price in the current environment. Avoiding selling at a time of disruption, such as all of 2020, is critical to preserving the value of our assets, our carried interest, our ongoing revenues, and our clients’ capital. While this is management’s expectation, there can be no assurance these outcomes will occur.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Under Management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AUM refers to the assets we manage or sponsor. We monitor two types of information regarding our AUM:</w:t>
      </w:r>
    </w:p>
    <w:p>
      <w:pPr>
        <w:spacing w:after="0" w:line="252" w:lineRule="exact"/>
        <w:rPr>
          <w:sz w:val="20"/>
          <w:szCs w:val="20"/>
          <w:color w:val="auto"/>
        </w:rPr>
      </w:pPr>
    </w:p>
    <w:p>
      <w:pPr>
        <w:jc w:val="both"/>
        <w:ind w:left="660" w:hanging="328"/>
        <w:spacing w:after="0" w:line="256" w:lineRule="auto"/>
        <w:tabs>
          <w:tab w:leader="none" w:pos="6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Capital – we define this as the total capital we fundraise from our customers as investments in our funds. It also includes fundraising into our corporate note program, the proceeds of which were used, in part, to invest in or loan to our funds. We use this information to monitor, among other things, the amount of ‘preferred return’ that would be paid at the time of a distribution and the potential to earn a performance fee over and above the preferred return at the time of the distribution. Our fund management fees are based on a percentage of managed capital or a percentage of assets under management, and monitoring the change and composition of managed capital provides relevant data points for Caliber management to further calculate and predict future earnings.</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(“FV”) AUM – we define this as the aggregate fair value of the real estate assets we manage and from which we derive management fees, performance revenues and other fees and expense reimbursements. We estimate the value of these assets quarterly to help make sale and hold decisions and to evaluate whether an existing asset would benefit from refinancing or recapitalization. This also gives us insight into the value of our carried interest at any point in time. We also utilize FV AUM to predict the percentage of our portfolio which may need development services in a given year, fund management services (such as refinance), and brokerage services. As we control the decision to hire for these services, our service income is generally predictable based upon our current portfolio AUM and our expectations for AUM growth in the year forecasted. As of March 31, 2024, we had total FV AUM of approximately $766.7 million.</w:t>
      </w:r>
    </w:p>
    <w:p>
      <w:pPr>
        <w:spacing w:after="0" w:line="21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Although we believe we are utilizing generally accepted methodologies for our calculation of Managed Capital and FV AUM, it may differ from our competitors, thereby making these metrics non-comparable to our competitors.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Managed Capital</w:t>
            </w: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59"/>
        </w:trPr>
        <w:tc>
          <w:tcPr>
            <w:tcW w:w="9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table below summarizes the activity of the managed capital for the three months ended March 31, 2024 (in thousands):</w:t>
            </w:r>
          </w:p>
        </w:tc>
        <w:tc>
          <w:tcPr>
            <w:tcW w:w="1920" w:type="dxa"/>
            <w:vAlign w:val="bottom"/>
          </w:tcPr>
          <w:p>
            <w:pPr>
              <w:spacing w:after="0"/>
              <w:rPr>
                <w:sz w:val="24"/>
                <w:szCs w:val="24"/>
                <w:color w:val="auto"/>
              </w:rPr>
            </w:pPr>
          </w:p>
        </w:tc>
      </w:tr>
      <w:tr>
        <w:trPr>
          <w:trHeight w:val="257"/>
        </w:trPr>
        <w:tc>
          <w:tcPr>
            <w:tcW w:w="89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Managed Capital</w:t>
            </w: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437,625</w:t>
            </w:r>
          </w:p>
        </w:tc>
      </w:tr>
      <w:tr>
        <w:trPr>
          <w:trHeight w:val="230"/>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Originations</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19,099</w:t>
            </w:r>
          </w:p>
        </w:tc>
      </w:tr>
      <w:tr>
        <w:trPr>
          <w:trHeight w:val="229"/>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Redemptions</w:t>
            </w:r>
          </w:p>
        </w:tc>
        <w:tc>
          <w:tcPr>
            <w:tcW w:w="3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as of March 31, 2024</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453,905</w:t>
            </w:r>
          </w:p>
        </w:tc>
      </w:tr>
      <w:tr>
        <w:trPr>
          <w:trHeight w:val="20"/>
        </w:trPr>
        <w:tc>
          <w:tcPr>
            <w:tcW w:w="8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managed capital for our investment fund portfolios as of March 31, 2024 and December 31, 2023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0"/>
                <w:szCs w:val="20"/>
                <w:color w:val="auto"/>
              </w:rPr>
            </w:pP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5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r>
      <w:tr>
        <w:trPr>
          <w:trHeight w:val="23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Hospitality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43,660</w:t>
            </w:r>
          </w:p>
        </w:tc>
      </w:tr>
      <w:tr>
        <w:trPr>
          <w:trHeight w:val="229"/>
        </w:trPr>
        <w:tc>
          <w:tcPr>
            <w:tcW w:w="65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Caliber Hospitality Trust</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70,747</w:t>
            </w:r>
          </w:p>
        </w:tc>
      </w:tr>
      <w:tr>
        <w:trPr>
          <w:trHeight w:val="22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74,224</w:t>
            </w:r>
          </w:p>
        </w:tc>
      </w:tr>
      <w:tr>
        <w:trPr>
          <w:trHeight w:val="23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157,368</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155,004</w:t>
            </w:r>
          </w:p>
        </w:tc>
      </w:tr>
      <w:tr>
        <w:trPr>
          <w:trHeight w:val="223"/>
        </w:trPr>
        <w:tc>
          <w:tcPr>
            <w:tcW w:w="6560" w:type="dxa"/>
            <w:vAlign w:val="bottom"/>
          </w:tcPr>
          <w:p>
            <w:pPr>
              <w:ind w:left="520"/>
              <w:spacing w:after="0" w:line="223" w:lineRule="exact"/>
              <w:rPr>
                <w:sz w:val="20"/>
                <w:szCs w:val="20"/>
                <w:color w:val="auto"/>
              </w:rPr>
            </w:pPr>
            <w:r>
              <w:rPr>
                <w:rFonts w:ascii="Times New Roman" w:cs="Times New Roman" w:eastAsia="Times New Roman" w:hAnsi="Times New Roman"/>
                <w:sz w:val="18"/>
                <w:szCs w:val="18"/>
                <w:color w:val="auto"/>
              </w:rPr>
              <w:t>Total Real Estate</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362,467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343,635</w:t>
            </w:r>
          </w:p>
        </w:tc>
      </w:tr>
      <w:tr>
        <w:trPr>
          <w:trHeight w:val="270"/>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23"/>
                <w:szCs w:val="23"/>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83,807</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84,588</w:t>
            </w:r>
          </w:p>
        </w:tc>
      </w:tr>
      <w:tr>
        <w:trPr>
          <w:trHeight w:val="270"/>
        </w:trPr>
        <w:tc>
          <w:tcPr>
            <w:tcW w:w="6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9,402</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453,905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437,625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7" w:lineRule="exact"/>
        <w:rPr>
          <w:sz w:val="20"/>
          <w:szCs w:val="20"/>
          <w:color w:val="auto"/>
        </w:rPr>
      </w:pPr>
    </w:p>
    <w:p>
      <w:pPr>
        <w:ind w:left="340" w:right="20" w:hanging="332"/>
        <w:spacing w:after="0" w:line="250"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earns a fund management fee of 0.70% of the Caliber Hospitality Trust’s enterprise value and is reimbursed for certain costs incurred on behalf of the Caliber Hospitality Trust.</w:t>
      </w:r>
    </w:p>
    <w:p>
      <w:pPr>
        <w:jc w:val="both"/>
        <w:ind w:left="340" w:hanging="332"/>
        <w:spacing w:after="0" w:line="250"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during the year ended December 31, 2023, the Company includes capital raised from investors in CaliberCos Inc. through corporate note issuances that was further invested in our funds in Managed Capital. As of March 31, 2024 and December 31, 2023, the Company had invested $18.6 million and $18.3 million, respectively, in our funds.</w:t>
      </w:r>
    </w:p>
    <w:p>
      <w:pPr>
        <w:spacing w:after="0" w:line="1" w:lineRule="exact"/>
        <w:rPr>
          <w:rFonts w:ascii="Times New Roman" w:cs="Times New Roman" w:eastAsia="Times New Roman" w:hAnsi="Times New Roman"/>
          <w:sz w:val="18"/>
          <w:szCs w:val="18"/>
          <w:color w:val="auto"/>
        </w:rPr>
      </w:pPr>
    </w:p>
    <w:p>
      <w:pPr>
        <w:ind w:left="340" w:right="440" w:hanging="332"/>
        <w:spacing w:after="0" w:line="250" w:lineRule="auto"/>
        <w:tabs>
          <w:tab w:leader="none" w:pos="2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managed capital represents loans made to Caliber’s investment funds by the Company and our diversified funds. As of March 31, 2024 and December 31, 2023, the Company had loaned $7.2 million and $8.5 million to our funds.</w:t>
      </w: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managed capital represents undeployed capital held in our diversified funds.</w:t>
      </w:r>
    </w:p>
    <w:p>
      <w:pPr>
        <w:spacing w:after="0" w:line="2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Managed capital for the Caliber Hospitality Trust increased by $13.4 million during the three months ended March 31, 2024, primarily representing: (i) issuance of $9.6 million of Caliber Hospitality, LP operating partnership units in exchange for the contribution of a hotel from L.T.D. on March 7, 2024 (the first of nine committed hotels from L.T.D.’s portfolio), (ii) $1.2 million of investments in Caliber Hospitality Trust’s Class A non-voting preferred stock, (iii) $0.3 million of investments in Caliber Hospitality Trust’s Class B non-voting preferred stock, and (iv) $2.3 million of investments in Caliber Hospitality Trust's Class C non-voting preferred stock.</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Managed capital for our residential investment funds increased by $3.0 million during the three months ended March 31, 2024, representing: (i) $1.4 million in capital raised into our residential assets offset by $0.4 million of redemptions, and (ii) $2.0 million contributed by our diversified funds.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Managed capital for our commercial investment funds increased $2.4 million during the three months ended March 31, 2024, representing: (i) $3.3 million in capital raised into our commercial assets, offset by $2.4 million of redemptions and (ii) $1.5 million contributed by our diversified funds to support seven commercial ground-up builds and acquisitions in Arizona and two commercial ground-up builds and acquisition in Colorado. The scope of investments included tenant improvements, land development, and acquiring existing operating commercial properties.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our diversified funds deployed $9.6 million into our various real estate investments, which was offset by $9.0 million of repayments of outstanding notes receivable. The Company deployed $0.1 million directly into real estate investments in the form of notes receivable, which was offset by $1.5 million of repayments of outstanding notes receivable.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we held $7.6 million of other managed capital, which included a $3.2 million private equity investment in a local start-up business and $4.4 million of undeployed cash and pursuit costs, compared to $9.4 million of other managed capital, which included a $3.2 million private equity investment in a local start-up business and $6.2 million of undeployed cash and pursuit costs held as of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FV AUM</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231F20"/>
        </w:rPr>
        <w:t>Our FV AUM increased primarily due to the L.T.D. hotel contribution into the Caliber Hospitality Trust. The table below details the activities that had an impact on our FV AUM, during the three months ended March 31, 2024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741,190</w:t>
            </w:r>
          </w:p>
        </w:tc>
      </w:tr>
      <w:tr>
        <w:trPr>
          <w:trHeight w:val="229"/>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CHT contribution</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29,900</w:t>
            </w:r>
          </w:p>
        </w:tc>
      </w:tr>
      <w:tr>
        <w:trPr>
          <w:trHeight w:val="229"/>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and net market appreciation</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10,971</w:t>
            </w:r>
          </w:p>
        </w:tc>
      </w:tr>
      <w:tr>
        <w:trPr>
          <w:trHeight w:val="230"/>
        </w:trPr>
        <w:tc>
          <w:tcPr>
            <w:tcW w:w="89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Assets sold</w:t>
            </w:r>
            <w:r>
              <w:rPr>
                <w:rFonts w:ascii="Times New Roman" w:cs="Times New Roman" w:eastAsia="Times New Roman" w:hAnsi="Times New Roman"/>
                <w:sz w:val="23"/>
                <w:szCs w:val="23"/>
                <w:color w:val="auto"/>
                <w:vertAlign w:val="superscript"/>
              </w:rPr>
              <w:t>(1)</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(12,771)</w:t>
            </w:r>
          </w:p>
        </w:tc>
      </w:tr>
      <w:tr>
        <w:trPr>
          <w:trHeight w:val="270"/>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w:t>
            </w:r>
            <w:r>
              <w:rPr>
                <w:rFonts w:ascii="Times New Roman" w:cs="Times New Roman" w:eastAsia="Times New Roman" w:hAnsi="Times New Roman"/>
                <w:sz w:val="23"/>
                <w:szCs w:val="23"/>
                <w:color w:val="auto"/>
                <w:vertAlign w:val="superscript"/>
              </w:rPr>
              <w:t>(2)</w:t>
            </w:r>
          </w:p>
        </w:tc>
        <w:tc>
          <w:tcPr>
            <w:tcW w:w="8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70"/>
        </w:trPr>
        <w:tc>
          <w:tcPr>
            <w:tcW w:w="8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(3)</w:t>
            </w:r>
          </w:p>
        </w:tc>
        <w:tc>
          <w:tcPr>
            <w:tcW w:w="8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March 31, 2024</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766,738</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FV AUM of our investment fund portfolios as of March 31, 2024 and December 31, 2023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32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r>
      <w:tr>
        <w:trPr>
          <w:trHeight w:val="229"/>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Hospitality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67,200</w:t>
            </w: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Caliber Hospitality Trust</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201,600</w:t>
            </w:r>
          </w:p>
        </w:tc>
      </w:tr>
      <w:tr>
        <w:trPr>
          <w:trHeight w:val="23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138,000</w:t>
            </w: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237,800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240,400</w:t>
            </w:r>
          </w:p>
        </w:tc>
      </w:tr>
      <w:tr>
        <w:trPr>
          <w:trHeight w:val="223"/>
        </w:trPr>
        <w:tc>
          <w:tcPr>
            <w:tcW w:w="6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Real Estate</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647,200</w:t>
            </w:r>
          </w:p>
        </w:tc>
      </w:tr>
      <w:tr>
        <w:trPr>
          <w:trHeight w:val="229"/>
        </w:trPr>
        <w:tc>
          <w:tcPr>
            <w:tcW w:w="66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Credit</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84,588</w:t>
            </w:r>
          </w:p>
        </w:tc>
      </w:tr>
      <w:tr>
        <w:trPr>
          <w:trHeight w:val="230"/>
        </w:trPr>
        <w:tc>
          <w:tcPr>
            <w:tcW w:w="664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(3)</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9,402</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766,738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741,190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7" w:lineRule="exact"/>
        <w:rPr>
          <w:sz w:val="20"/>
          <w:szCs w:val="20"/>
          <w:color w:val="auto"/>
        </w:rPr>
      </w:pPr>
    </w:p>
    <w:p>
      <w:pPr>
        <w:ind w:left="340" w:hanging="332"/>
        <w:spacing w:after="0" w:line="250"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Assets sold during the </w:t>
      </w:r>
      <w:r>
        <w:rPr>
          <w:rFonts w:ascii="Times New Roman" w:cs="Times New Roman" w:eastAsia="Times New Roman" w:hAnsi="Times New Roman"/>
          <w:sz w:val="18"/>
          <w:szCs w:val="18"/>
          <w:color w:val="231F20"/>
        </w:rPr>
        <w:t>three months ended March 31, 2024</w:t>
      </w:r>
      <w:r>
        <w:rPr>
          <w:rFonts w:ascii="Times New Roman" w:cs="Times New Roman" w:eastAsia="Times New Roman" w:hAnsi="Times New Roman"/>
          <w:sz w:val="18"/>
          <w:szCs w:val="18"/>
          <w:color w:val="auto"/>
        </w:rPr>
        <w:t xml:space="preserve"> include lot sales related to a development asset in Colorado and one home from our residential fund.</w:t>
      </w: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FV AUM represents loans made to Caliber’s investment funds by our diversified credit fund.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FV AUM represents undeployed capital held in our diversified funds.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Under Development</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a number of development, redevelopment, construction, and entitlement projects that are underway or are in the planning stages, which we define as AUD. This category includes projects to be built on undeveloped land and projects to be built and constructed on undeveloped lands, which are not yet owned by our funds. Completing these development activities may ultimately result in income-producing assets, assets we may sell to third parties, or both. As of March 31, 2024, we are actively developing 2,240 multifamily units, 2,386 single family units, 2.6 million square feet of commercial and industrial, and 1.0 million square feet of office and retail. If all of these projects are brought to completion, the total cost capitalized to these projects, which represents total current estimated costs to complete the development and construction of such projects by us or a third party, is $2.1 billion, which we expect would be funded through a combination of undeployed fund cash, third-party equity, project sales, tax credit financing and similar incentives, and secured debt financing. We are under no obligation to complete these projects and may dispose of any such assets at any time. There can be no assurance that AUD will ultimately be developed or constructed because of the nature of the cost of the approval and development process and market demand for a particular use. In addition, the mix of residential and commercial assets under development may change prior to final development. The development of these assets will require significant additional financing or other sources of funding, which may not be available.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We use non-GAAP financial measures to evaluate operating performance, identify trends, formulate financial projections, make strategic decisions, and for other discretionary purposes. We believe that these measures enhance the understanding of ongoing operations and comparability of current results to prior periods and may be useful for investors to analyze our financial performance because they </w:t>
      </w:r>
      <w:r>
        <w:rPr>
          <w:rFonts w:ascii="Times New Roman" w:cs="Times New Roman" w:eastAsia="Times New Roman" w:hAnsi="Times New Roman"/>
          <w:sz w:val="18"/>
          <w:szCs w:val="18"/>
          <w:color w:val="000000"/>
        </w:rPr>
        <w:t>provides investors a view of the performance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attributable to CaliberCos Inc</w:t>
      </w:r>
      <w:r>
        <w:rPr>
          <w:rFonts w:ascii="Times New Roman" w:cs="Times New Roman" w:eastAsia="Times New Roman" w:hAnsi="Times New Roman"/>
          <w:sz w:val="18"/>
          <w:szCs w:val="18"/>
          <w:color w:val="231F20"/>
        </w:rPr>
        <w:t>. When analyzing our operating performance, investors should use these measures in addition to, and not as an alternative for,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their most directly comparable financial measure calculated and presented in accordance with U.S. GAAP. Our presentation of non-GAAP measures may not be comparable to similarly identified measures of other companies because not all companies use the same calculations.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Fee-Related Earnings and Related Components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Fee-Related Earnings is a supplemental non-GAAP performance measure used to assess our ability to generate profits from fee-based revenues, focusing on whether our core revenue streams, are sufficient to cover our core operating expenses. Fee-Related Earnings represents the Company’s net income (loss) before income taxes adjusted to exclude depreciation and amortization, stock-based compensation, interest expense and extraordinary or non-recurring revenue and expenses, including performance allocation revenue and gain (loss) on extinguishment of debt, public registration direct costs related to aborted or delayed offerings and our Reg A+ offering, the share repurchase costs related to the Company’s Buyback Program, litigation settlements, and expenses recorded to earnings relating to investment deals which were abandoned or closed. Fee-Related Earnings is presented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Distributable Earnings is a supplemental non-GAAP performance measure equal to Fee-Related Earnings plus performance allocation revenue and less interest expenses and provision for income taxes. We believe that Distributable Earnings can be useful as a supplemental performance measure to our GAAP results assessing the amount of earnings available for distribution.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Caliber Adjusted EBITDA</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Caliber Adjusted EBITDA represents the Company’s Distributable Earnings adjusted for interest expense, the share repurchase costs related to the Company’s Buyback Program, other income (expense), and provision for income taxes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Consolidated Adjusted EBITDA</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Consolidated Adjusted EBITDA represents the Company’s and the consolidated funds’ earnings before net interest expense, income taxes, depreciation and amortization, further adjusted to exclude stock-based compensation, transaction fees, expenses and other public registration direct costs related to aborted or delayed offerings and our Reg A+ offering, the share repurchase costs related to the Company’s Buyback Program, litigation settlements, expenses recorded to earnings relating to investment deals which were abandoned or closed, any other non-cash expenses or losses, as further adjusted for extraordinary or non-recurring items.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p>
      <w:pPr>
        <w:ind w:firstLine="324"/>
        <w:spacing w:after="0" w:line="271" w:lineRule="auto"/>
        <w:rPr>
          <w:sz w:val="20"/>
          <w:szCs w:val="20"/>
          <w:color w:val="auto"/>
        </w:rPr>
      </w:pPr>
      <w:r>
        <w:rPr>
          <w:rFonts w:ascii="Times New Roman" w:cs="Times New Roman" w:eastAsia="Times New Roman" w:hAnsi="Times New Roman"/>
          <w:sz w:val="18"/>
          <w:szCs w:val="18"/>
          <w:color w:val="auto"/>
        </w:rPr>
        <w:t xml:space="preserve">The following table presents a reconciliation of net (loss) income attributable to CaliberCos Inc. to Fee-Related Earnings, Distributable Earnings, </w:t>
      </w:r>
      <w:r>
        <w:rPr>
          <w:rFonts w:ascii="Times New Roman" w:cs="Times New Roman" w:eastAsia="Times New Roman" w:hAnsi="Times New Roman"/>
          <w:sz w:val="18"/>
          <w:szCs w:val="18"/>
          <w:color w:val="231F20"/>
        </w:rPr>
        <w:t xml:space="preserve">Caliber Adjusted EBITDA, and Consolidated Adjusted EBITDA </w:t>
      </w:r>
      <w:r>
        <w:rPr>
          <w:rFonts w:ascii="Times New Roman" w:cs="Times New Roman" w:eastAsia="Times New Roman" w:hAnsi="Times New Roman"/>
          <w:sz w:val="18"/>
          <w:szCs w:val="18"/>
          <w:color w:val="000000"/>
        </w:rPr>
        <w:t>for the three months ended March 31, 2024 and 2023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4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CaliberCos Inc.</w:t>
            </w:r>
          </w:p>
        </w:tc>
        <w:tc>
          <w:tcPr>
            <w:tcW w:w="2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21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21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funds’ impact on fee-related earnings</w:t>
            </w:r>
          </w:p>
        </w:tc>
        <w:tc>
          <w:tcPr>
            <w:tcW w:w="2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29"/>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Severance</w:t>
            </w:r>
          </w:p>
        </w:tc>
        <w:tc>
          <w:tcPr>
            <w:tcW w:w="2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2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1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2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2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21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buy-back</w:t>
            </w:r>
          </w:p>
        </w:tc>
        <w:tc>
          <w:tcPr>
            <w:tcW w:w="2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9"/>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Consolidated funds’ impact on Caliber Adjusted EBITDA</w:t>
            </w:r>
          </w:p>
        </w:tc>
        <w:tc>
          <w:tcPr>
            <w:tcW w:w="21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Caliber Adjusted EBITDA</w:t>
            </w:r>
          </w:p>
        </w:tc>
        <w:tc>
          <w:tcPr>
            <w:tcW w:w="2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Consolidated funds' EBITDA Adjustments</w:t>
            </w:r>
          </w:p>
        </w:tc>
        <w:tc>
          <w:tcPr>
            <w:tcW w:w="21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tc>
        <w:tc>
          <w:tcPr>
            <w:tcW w:w="2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51</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9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unconsolidated revenues, expenses and net income to the most comparable GAAP measure for the three months ended March 31, 2024 and 2023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54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Unconsolidated</w:t>
            </w:r>
          </w:p>
        </w:tc>
        <w:tc>
          <w:tcPr>
            <w:tcW w:w="120" w:type="dxa"/>
            <w:vAlign w:val="bottom"/>
          </w:tcPr>
          <w:p>
            <w:pPr>
              <w:spacing w:after="0"/>
              <w:rPr>
                <w:sz w:val="14"/>
                <w:szCs w:val="14"/>
                <w:color w:val="auto"/>
              </w:rPr>
            </w:pPr>
          </w:p>
        </w:tc>
        <w:tc>
          <w:tcPr>
            <w:tcW w:w="18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40" w:type="dxa"/>
            <w:vAlign w:val="bottom"/>
          </w:tcPr>
          <w:p>
            <w:pPr>
              <w:spacing w:after="0"/>
              <w:rPr>
                <w:sz w:val="14"/>
                <w:szCs w:val="14"/>
                <w:color w:val="auto"/>
              </w:rPr>
            </w:pPr>
          </w:p>
        </w:tc>
        <w:tc>
          <w:tcPr>
            <w:tcW w:w="17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40" w:type="dxa"/>
            <w:vAlign w:val="bottom"/>
          </w:tcPr>
          <w:p>
            <w:pPr>
              <w:spacing w:after="0"/>
              <w:rPr>
                <w:sz w:val="21"/>
                <w:szCs w:val="21"/>
                <w:color w:val="auto"/>
              </w:rPr>
            </w:pPr>
          </w:p>
        </w:tc>
        <w:tc>
          <w:tcPr>
            <w:tcW w:w="17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auto"/>
            </w:tcBorders>
            <w:shd w:val="clear" w:color="auto" w:fill="CCEDFF"/>
          </w:tcPr>
          <w:p>
            <w:pPr>
              <w:spacing w:after="0"/>
              <w:rPr>
                <w:sz w:val="18"/>
                <w:szCs w:val="18"/>
                <w:color w:val="auto"/>
              </w:rPr>
            </w:pPr>
          </w:p>
        </w:tc>
        <w:tc>
          <w:tcPr>
            <w:tcW w:w="166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120" w:type="dxa"/>
            <w:vAlign w:val="bottom"/>
            <w:tcBorders>
              <w:top w:val="single" w:sz="8" w:color="auto"/>
            </w:tcBorders>
            <w:shd w:val="clear" w:color="auto" w:fill="CCEDFF"/>
          </w:tcPr>
          <w:p>
            <w:pPr>
              <w:spacing w:after="0"/>
              <w:rPr>
                <w:sz w:val="18"/>
                <w:szCs w:val="18"/>
                <w:color w:val="auto"/>
              </w:rPr>
            </w:pPr>
          </w:p>
        </w:tc>
        <w:tc>
          <w:tcPr>
            <w:tcW w:w="168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40" w:type="dxa"/>
            <w:vAlign w:val="bottom"/>
            <w:tcBorders>
              <w:top w:val="single" w:sz="8" w:color="auto"/>
            </w:tcBorders>
            <w:shd w:val="clear" w:color="auto" w:fill="CCEDFF"/>
          </w:tcPr>
          <w:p>
            <w:pPr>
              <w:spacing w:after="0"/>
              <w:rPr>
                <w:sz w:val="18"/>
                <w:szCs w:val="18"/>
                <w:color w:val="auto"/>
              </w:rPr>
            </w:pPr>
          </w:p>
        </w:tc>
        <w:tc>
          <w:tcPr>
            <w:tcW w:w="156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20" w:type="dxa"/>
            <w:vAlign w:val="bottom"/>
            <w:shd w:val="clear" w:color="auto" w:fill="CCEDFF"/>
          </w:tcPr>
          <w:p>
            <w:pPr>
              <w:spacing w:after="0"/>
              <w:rPr>
                <w:sz w:val="19"/>
                <w:szCs w:val="19"/>
                <w:color w:val="auto"/>
              </w:rPr>
            </w:pPr>
          </w:p>
        </w:tc>
        <w:tc>
          <w:tcPr>
            <w:tcW w:w="1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shd w:val="clear" w:color="auto" w:fill="CCEDFF"/>
          </w:tcPr>
          <w:p>
            <w:pPr>
              <w:spacing w:after="0"/>
              <w:rPr>
                <w:sz w:val="19"/>
                <w:szCs w:val="19"/>
                <w:color w:val="auto"/>
              </w:rPr>
            </w:pPr>
          </w:p>
        </w:tc>
        <w:tc>
          <w:tcPr>
            <w:tcW w:w="120" w:type="dxa"/>
            <w:vAlign w:val="bottom"/>
            <w:shd w:val="clear" w:color="auto" w:fill="CCEDFF"/>
          </w:tcPr>
          <w:p>
            <w:pPr>
              <w:spacing w:after="0"/>
              <w:rPr>
                <w:sz w:val="19"/>
                <w:szCs w:val="19"/>
                <w:color w:val="auto"/>
              </w:rPr>
            </w:pPr>
          </w:p>
        </w:tc>
        <w:tc>
          <w:tcPr>
            <w:tcW w:w="1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D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w:t>
            </w:r>
          </w:p>
        </w:tc>
        <w:tc>
          <w:tcPr>
            <w:tcW w:w="12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w:t>
            </w:r>
          </w:p>
        </w:tc>
        <w:tc>
          <w:tcPr>
            <w:tcW w:w="120" w:type="dxa"/>
            <w:vAlign w:val="bottom"/>
            <w:shd w:val="clear" w:color="auto" w:fill="CCEDFF"/>
          </w:tcPr>
          <w:p>
            <w:pPr>
              <w:spacing w:after="0"/>
              <w:rPr>
                <w:sz w:val="19"/>
                <w:szCs w:val="19"/>
                <w:color w:val="auto"/>
              </w:rPr>
            </w:pPr>
          </w:p>
        </w:tc>
        <w:tc>
          <w:tcPr>
            <w:tcW w:w="180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1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4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shd w:val="clear" w:color="auto" w:fill="CCED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40" w:type="dxa"/>
            <w:vAlign w:val="bottom"/>
            <w:tcBorders>
              <w:bottom w:val="single" w:sz="8" w:color="CCED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140" w:type="dxa"/>
            <w:vAlign w:val="bottom"/>
            <w:tcBorders>
              <w:bottom w:val="single" w:sz="8" w:color="CCED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22,951</w:t>
            </w:r>
          </w:p>
        </w:tc>
        <w:tc>
          <w:tcPr>
            <w:tcW w:w="120" w:type="dxa"/>
            <w:vAlign w:val="bottom"/>
            <w:tcBorders>
              <w:bottom w:val="single" w:sz="8" w:color="CCEDFF"/>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166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168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40" w:type="dxa"/>
            <w:vAlign w:val="bottom"/>
            <w:shd w:val="clear" w:color="auto" w:fill="CCEDFF"/>
          </w:tcPr>
          <w:p>
            <w:pPr>
              <w:spacing w:after="0"/>
              <w:rPr>
                <w:sz w:val="21"/>
                <w:szCs w:val="21"/>
                <w:color w:val="auto"/>
              </w:rPr>
            </w:pPr>
          </w:p>
        </w:tc>
        <w:tc>
          <w:tcPr>
            <w:tcW w:w="156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120" w:type="dxa"/>
            <w:vAlign w:val="bottom"/>
            <w:shd w:val="clear" w:color="auto" w:fill="CCEDFF"/>
          </w:tcPr>
          <w:p>
            <w:pPr>
              <w:spacing w:after="0"/>
              <w:rPr>
                <w:sz w:val="19"/>
                <w:szCs w:val="19"/>
                <w:color w:val="auto"/>
              </w:rPr>
            </w:pPr>
          </w:p>
        </w:tc>
        <w:tc>
          <w:tcPr>
            <w:tcW w:w="1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40" w:type="dxa"/>
            <w:vAlign w:val="bottom"/>
            <w:shd w:val="clear" w:color="auto" w:fill="CCEDFF"/>
          </w:tcPr>
          <w:p>
            <w:pPr>
              <w:spacing w:after="0"/>
              <w:rPr>
                <w:sz w:val="19"/>
                <w:szCs w:val="19"/>
                <w:color w:val="auto"/>
              </w:rPr>
            </w:pPr>
          </w:p>
        </w:tc>
        <w:tc>
          <w:tcPr>
            <w:tcW w:w="120" w:type="dxa"/>
            <w:vAlign w:val="bottom"/>
            <w:shd w:val="clear" w:color="auto" w:fill="CCEDFF"/>
          </w:tcPr>
          <w:p>
            <w:pPr>
              <w:spacing w:after="0"/>
              <w:rPr>
                <w:sz w:val="19"/>
                <w:szCs w:val="19"/>
                <w:color w:val="auto"/>
              </w:rPr>
            </w:pPr>
          </w:p>
        </w:tc>
        <w:tc>
          <w:tcPr>
            <w:tcW w:w="1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CEDFF"/>
          </w:tcPr>
          <w:p>
            <w:pPr>
              <w:spacing w:after="0"/>
              <w:rPr>
                <w:sz w:val="19"/>
                <w:szCs w:val="19"/>
                <w:color w:val="auto"/>
              </w:rPr>
            </w:pPr>
          </w:p>
        </w:tc>
        <w:tc>
          <w:tcPr>
            <w:tcW w:w="24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20" w:type="dxa"/>
            <w:vAlign w:val="bottom"/>
            <w:shd w:val="clear" w:color="auto" w:fill="CCED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shd w:val="clear" w:color="auto" w:fill="CCEDFF"/>
          </w:tcPr>
          <w:p>
            <w:pPr>
              <w:spacing w:after="0"/>
              <w:rPr>
                <w:sz w:val="19"/>
                <w:szCs w:val="19"/>
                <w:color w:val="auto"/>
              </w:rPr>
            </w:pPr>
          </w:p>
        </w:tc>
        <w:tc>
          <w:tcPr>
            <w:tcW w:w="1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DFF"/>
          </w:tcPr>
          <w:p>
            <w:pPr>
              <w:spacing w:after="0"/>
              <w:rPr>
                <w:sz w:val="19"/>
                <w:szCs w:val="19"/>
                <w:color w:val="auto"/>
              </w:rPr>
            </w:pPr>
          </w:p>
        </w:tc>
        <w:tc>
          <w:tcPr>
            <w:tcW w:w="120" w:type="dxa"/>
            <w:vAlign w:val="bottom"/>
            <w:shd w:val="clear" w:color="auto" w:fill="CCEDFF"/>
          </w:tcPr>
          <w:p>
            <w:pPr>
              <w:spacing w:after="0"/>
              <w:rPr>
                <w:sz w:val="19"/>
                <w:szCs w:val="19"/>
                <w:color w:val="auto"/>
              </w:rPr>
            </w:pPr>
          </w:p>
        </w:tc>
        <w:tc>
          <w:tcPr>
            <w:tcW w:w="182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DFF"/>
          </w:tcPr>
          <w:p>
            <w:pPr>
              <w:spacing w:after="0"/>
              <w:rPr>
                <w:sz w:val="19"/>
                <w:szCs w:val="19"/>
                <w:color w:val="auto"/>
              </w:rPr>
            </w:pP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D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120" w:type="dxa"/>
            <w:vAlign w:val="bottom"/>
            <w:shd w:val="clear" w:color="auto" w:fill="CCEDFF"/>
          </w:tcPr>
          <w:p>
            <w:pPr>
              <w:spacing w:after="0"/>
              <w:rPr>
                <w:sz w:val="19"/>
                <w:szCs w:val="19"/>
                <w:color w:val="auto"/>
              </w:rPr>
            </w:pPr>
          </w:p>
        </w:tc>
        <w:tc>
          <w:tcPr>
            <w:tcW w:w="180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1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4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20" w:type="dxa"/>
            <w:vAlign w:val="bottom"/>
            <w:shd w:val="clear" w:color="auto" w:fill="CCED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12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Borders>
              <w:top w:val="single" w:sz="8" w:color="auto"/>
              <w:bottom w:val="single" w:sz="8" w:color="auto"/>
            </w:tcBorders>
            <w:shd w:val="clear" w:color="auto" w:fill="CCEDFF"/>
          </w:tcPr>
          <w:p>
            <w:pPr>
              <w:spacing w:after="0"/>
              <w:rPr>
                <w:sz w:val="19"/>
                <w:szCs w:val="19"/>
                <w:color w:val="auto"/>
              </w:rPr>
            </w:pPr>
          </w:p>
        </w:tc>
        <w:tc>
          <w:tcPr>
            <w:tcW w:w="16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40" w:type="dxa"/>
            <w:vAlign w:val="bottom"/>
            <w:tcBorders>
              <w:top w:val="single" w:sz="8" w:color="CCEDFF"/>
            </w:tcBorders>
            <w:shd w:val="clear" w:color="auto" w:fill="CCEDFF"/>
          </w:tcPr>
          <w:p>
            <w:pPr>
              <w:spacing w:after="0"/>
              <w:rPr>
                <w:sz w:val="19"/>
                <w:szCs w:val="19"/>
                <w:color w:val="auto"/>
              </w:rPr>
            </w:pPr>
          </w:p>
        </w:tc>
        <w:tc>
          <w:tcPr>
            <w:tcW w:w="120" w:type="dxa"/>
            <w:vAlign w:val="bottom"/>
            <w:tcBorders>
              <w:top w:val="single" w:sz="8" w:color="auto"/>
              <w:bottom w:val="single" w:sz="8" w:color="auto"/>
            </w:tcBorders>
            <w:shd w:val="clear" w:color="auto" w:fill="CCEDFF"/>
          </w:tcPr>
          <w:p>
            <w:pPr>
              <w:spacing w:after="0"/>
              <w:rPr>
                <w:sz w:val="19"/>
                <w:szCs w:val="19"/>
                <w:color w:val="auto"/>
              </w:rPr>
            </w:pPr>
          </w:p>
        </w:tc>
        <w:tc>
          <w:tcPr>
            <w:tcW w:w="168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19,586</w:t>
            </w:r>
          </w:p>
        </w:tc>
        <w:tc>
          <w:tcPr>
            <w:tcW w:w="140" w:type="dxa"/>
            <w:vAlign w:val="bottom"/>
            <w:tcBorders>
              <w:top w:val="single" w:sz="8" w:color="CCEDFF"/>
            </w:tcBorders>
            <w:shd w:val="clear" w:color="auto" w:fill="CCEDFF"/>
          </w:tcPr>
          <w:p>
            <w:pPr>
              <w:spacing w:after="0"/>
              <w:rPr>
                <w:sz w:val="19"/>
                <w:szCs w:val="19"/>
                <w:color w:val="auto"/>
              </w:rPr>
            </w:pPr>
          </w:p>
        </w:tc>
        <w:tc>
          <w:tcPr>
            <w:tcW w:w="240" w:type="dxa"/>
            <w:vAlign w:val="bottom"/>
            <w:tcBorders>
              <w:top w:val="single" w:sz="8" w:color="auto"/>
              <w:bottom w:val="single" w:sz="8" w:color="auto"/>
            </w:tcBorders>
            <w:shd w:val="clear" w:color="auto" w:fill="CCEDFF"/>
          </w:tcPr>
          <w:p>
            <w:pPr>
              <w:spacing w:after="0"/>
              <w:rPr>
                <w:sz w:val="19"/>
                <w:szCs w:val="19"/>
                <w:color w:val="auto"/>
              </w:rPr>
            </w:pPr>
          </w:p>
        </w:tc>
        <w:tc>
          <w:tcPr>
            <w:tcW w:w="15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120" w:type="dxa"/>
            <w:vAlign w:val="bottom"/>
            <w:tcBorders>
              <w:top w:val="single" w:sz="8" w:color="CCEDFF"/>
            </w:tcBorders>
            <w:shd w:val="clear" w:color="auto" w:fill="CCED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income (loss), net</w:t>
            </w:r>
          </w:p>
        </w:tc>
        <w:tc>
          <w:tcPr>
            <w:tcW w:w="120" w:type="dxa"/>
            <w:vAlign w:val="bottom"/>
            <w:shd w:val="clear" w:color="auto" w:fill="CCEDFF"/>
          </w:tcPr>
          <w:p>
            <w:pPr>
              <w:spacing w:after="0"/>
              <w:rPr>
                <w:sz w:val="19"/>
                <w:szCs w:val="19"/>
                <w:color w:val="auto"/>
              </w:rPr>
            </w:pPr>
          </w:p>
        </w:tc>
        <w:tc>
          <w:tcPr>
            <w:tcW w:w="1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shd w:val="clear" w:color="auto" w:fill="CCEDFF"/>
          </w:tcPr>
          <w:p>
            <w:pPr>
              <w:spacing w:after="0"/>
              <w:rPr>
                <w:sz w:val="19"/>
                <w:szCs w:val="19"/>
                <w:color w:val="auto"/>
              </w:rPr>
            </w:pPr>
          </w:p>
        </w:tc>
        <w:tc>
          <w:tcPr>
            <w:tcW w:w="120" w:type="dxa"/>
            <w:vAlign w:val="bottom"/>
            <w:shd w:val="clear" w:color="auto" w:fill="CCEDFF"/>
          </w:tcPr>
          <w:p>
            <w:pPr>
              <w:spacing w:after="0"/>
              <w:rPr>
                <w:sz w:val="19"/>
                <w:szCs w:val="19"/>
                <w:color w:val="auto"/>
              </w:rPr>
            </w:pPr>
          </w:p>
        </w:tc>
        <w:tc>
          <w:tcPr>
            <w:tcW w:w="1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CEDFF"/>
          </w:tcPr>
          <w:p>
            <w:pPr>
              <w:spacing w:after="0"/>
              <w:rPr>
                <w:sz w:val="19"/>
                <w:szCs w:val="19"/>
                <w:color w:val="auto"/>
              </w:rPr>
            </w:pPr>
          </w:p>
        </w:tc>
        <w:tc>
          <w:tcPr>
            <w:tcW w:w="24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CED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DFF"/>
          </w:tcPr>
          <w:p>
            <w:pPr>
              <w:spacing w:after="0"/>
              <w:rPr>
                <w:sz w:val="19"/>
                <w:szCs w:val="19"/>
                <w:color w:val="auto"/>
              </w:rPr>
            </w:pPr>
          </w:p>
        </w:tc>
        <w:tc>
          <w:tcPr>
            <w:tcW w:w="16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40" w:type="dxa"/>
            <w:vAlign w:val="bottom"/>
            <w:shd w:val="clear" w:color="auto" w:fill="CCEDFF"/>
          </w:tcPr>
          <w:p>
            <w:pPr>
              <w:spacing w:after="0"/>
              <w:rPr>
                <w:sz w:val="19"/>
                <w:szCs w:val="19"/>
                <w:color w:val="auto"/>
              </w:rPr>
            </w:pPr>
          </w:p>
        </w:tc>
        <w:tc>
          <w:tcPr>
            <w:tcW w:w="120" w:type="dxa"/>
            <w:vAlign w:val="bottom"/>
            <w:tcBorders>
              <w:bottom w:val="single" w:sz="8" w:color="auto"/>
            </w:tcBorders>
            <w:shd w:val="clear" w:color="auto" w:fill="CCEDFF"/>
          </w:tcPr>
          <w:p>
            <w:pPr>
              <w:spacing w:after="0"/>
              <w:rPr>
                <w:sz w:val="19"/>
                <w:szCs w:val="19"/>
                <w:color w:val="auto"/>
              </w:rPr>
            </w:pPr>
          </w:p>
        </w:tc>
        <w:tc>
          <w:tcPr>
            <w:tcW w:w="16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DFF"/>
          </w:tcPr>
          <w:p>
            <w:pPr>
              <w:spacing w:after="0"/>
              <w:rPr>
                <w:sz w:val="19"/>
                <w:szCs w:val="19"/>
                <w:color w:val="auto"/>
              </w:rPr>
            </w:pPr>
          </w:p>
        </w:tc>
        <w:tc>
          <w:tcPr>
            <w:tcW w:w="240" w:type="dxa"/>
            <w:vAlign w:val="bottom"/>
            <w:tcBorders>
              <w:bottom w:val="single" w:sz="8" w:color="auto"/>
            </w:tcBorders>
            <w:shd w:val="clear" w:color="auto" w:fill="CCEDFF"/>
          </w:tcPr>
          <w:p>
            <w:pPr>
              <w:spacing w:after="0"/>
              <w:rPr>
                <w:sz w:val="19"/>
                <w:szCs w:val="19"/>
                <w:color w:val="auto"/>
              </w:rPr>
            </w:pPr>
          </w:p>
        </w:tc>
        <w:tc>
          <w:tcPr>
            <w:tcW w:w="15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shd w:val="clear" w:color="auto" w:fill="CCED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DFF"/>
          </w:tcPr>
          <w:p>
            <w:pPr>
              <w:spacing w:after="0"/>
              <w:rPr>
                <w:sz w:val="19"/>
                <w:szCs w:val="19"/>
                <w:color w:val="auto"/>
              </w:rPr>
            </w:pPr>
          </w:p>
        </w:tc>
        <w:tc>
          <w:tcPr>
            <w:tcW w:w="180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182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DFF"/>
          </w:tcPr>
          <w:p>
            <w:pPr>
              <w:spacing w:after="0"/>
              <w:rPr>
                <w:sz w:val="19"/>
                <w:szCs w:val="19"/>
                <w:color w:val="auto"/>
              </w:rPr>
            </w:pPr>
          </w:p>
        </w:tc>
        <w:tc>
          <w:tcPr>
            <w:tcW w:w="168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DFF"/>
          </w:tcPr>
          <w:p>
            <w:pPr>
              <w:ind w:left="5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20" w:type="dxa"/>
            <w:vAlign w:val="bottom"/>
            <w:shd w:val="clear" w:color="auto" w:fill="CCEDFF"/>
          </w:tcPr>
          <w:p>
            <w:pPr>
              <w:spacing w:after="0"/>
              <w:rPr>
                <w:sz w:val="19"/>
                <w:szCs w:val="19"/>
                <w:color w:val="auto"/>
              </w:rPr>
            </w:pPr>
          </w:p>
        </w:tc>
        <w:tc>
          <w:tcPr>
            <w:tcW w:w="180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1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4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shd w:val="clear" w:color="auto" w:fill="CCED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income attributable to CaliberCos Inc.</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9"/>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w w:val="99"/>
              </w:rPr>
              <w:t>52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gridSpan w:val="7"/>
          </w:tcPr>
          <w:p>
            <w:pPr>
              <w:ind w:left="116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Unconsolidated</w:t>
            </w:r>
          </w:p>
        </w:tc>
        <w:tc>
          <w:tcPr>
            <w:tcW w:w="120" w:type="dxa"/>
            <w:vAlign w:val="bottom"/>
          </w:tcPr>
          <w:p>
            <w:pPr>
              <w:spacing w:after="0"/>
              <w:rPr>
                <w:sz w:val="14"/>
                <w:szCs w:val="14"/>
                <w:color w:val="auto"/>
              </w:rPr>
            </w:pPr>
          </w:p>
        </w:tc>
        <w:tc>
          <w:tcPr>
            <w:tcW w:w="18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Impact of</w:t>
            </w:r>
          </w:p>
        </w:tc>
        <w:tc>
          <w:tcPr>
            <w:tcW w:w="260" w:type="dxa"/>
            <w:vAlign w:val="bottom"/>
          </w:tcPr>
          <w:p>
            <w:pPr>
              <w:spacing w:after="0"/>
              <w:rPr>
                <w:sz w:val="14"/>
                <w:szCs w:val="14"/>
                <w:color w:val="auto"/>
              </w:rPr>
            </w:pPr>
          </w:p>
        </w:tc>
        <w:tc>
          <w:tcPr>
            <w:tcW w:w="1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Consolidated Funds</w:t>
            </w:r>
          </w:p>
        </w:tc>
        <w:tc>
          <w:tcPr>
            <w:tcW w:w="26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top w:val="single" w:sz="8" w:color="auto"/>
            </w:tcBorders>
            <w:shd w:val="clear" w:color="auto" w:fill="CCEDFF"/>
          </w:tcPr>
          <w:p>
            <w:pPr>
              <w:spacing w:after="0"/>
              <w:rPr>
                <w:sz w:val="18"/>
                <w:szCs w:val="18"/>
                <w:color w:val="auto"/>
              </w:rPr>
            </w:pPr>
          </w:p>
        </w:tc>
        <w:tc>
          <w:tcPr>
            <w:tcW w:w="1580" w:type="dxa"/>
            <w:vAlign w:val="bottom"/>
            <w:tcBorders>
              <w:top w:val="single" w:sz="8" w:color="auto"/>
            </w:tcBorders>
            <w:shd w:val="clear" w:color="auto" w:fill="CCEDFF"/>
          </w:tcPr>
          <w:p>
            <w:pPr>
              <w:spacing w:after="0"/>
              <w:rPr>
                <w:sz w:val="18"/>
                <w:szCs w:val="18"/>
                <w:color w:val="auto"/>
              </w:rPr>
            </w:pPr>
          </w:p>
        </w:tc>
        <w:tc>
          <w:tcPr>
            <w:tcW w:w="120" w:type="dxa"/>
            <w:vAlign w:val="bottom"/>
            <w:tcBorders>
              <w:top w:val="single" w:sz="8" w:color="CCEDFF"/>
            </w:tcBorders>
            <w:shd w:val="clear" w:color="auto" w:fill="CCEDFF"/>
          </w:tcPr>
          <w:p>
            <w:pPr>
              <w:spacing w:after="0"/>
              <w:rPr>
                <w:sz w:val="18"/>
                <w:szCs w:val="18"/>
                <w:color w:val="auto"/>
              </w:rPr>
            </w:pPr>
          </w:p>
        </w:tc>
        <w:tc>
          <w:tcPr>
            <w:tcW w:w="120" w:type="dxa"/>
            <w:vAlign w:val="bottom"/>
            <w:tcBorders>
              <w:top w:val="single" w:sz="8" w:color="auto"/>
            </w:tcBorders>
            <w:shd w:val="clear" w:color="auto" w:fill="CCEDFF"/>
          </w:tcPr>
          <w:p>
            <w:pPr>
              <w:spacing w:after="0"/>
              <w:rPr>
                <w:sz w:val="18"/>
                <w:szCs w:val="18"/>
                <w:color w:val="auto"/>
              </w:rPr>
            </w:pPr>
          </w:p>
        </w:tc>
        <w:tc>
          <w:tcPr>
            <w:tcW w:w="166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260" w:type="dxa"/>
            <w:vAlign w:val="bottom"/>
            <w:tcBorders>
              <w:top w:val="single" w:sz="8" w:color="auto"/>
            </w:tcBorders>
            <w:shd w:val="clear" w:color="auto" w:fill="CCEDFF"/>
          </w:tcPr>
          <w:p>
            <w:pPr>
              <w:spacing w:after="0"/>
              <w:rPr>
                <w:sz w:val="18"/>
                <w:szCs w:val="18"/>
                <w:color w:val="auto"/>
              </w:rPr>
            </w:pPr>
          </w:p>
        </w:tc>
        <w:tc>
          <w:tcPr>
            <w:tcW w:w="1520" w:type="dxa"/>
            <w:vAlign w:val="bottom"/>
            <w:tcBorders>
              <w:top w:val="single" w:sz="8" w:color="auto"/>
            </w:tcBorders>
            <w:shd w:val="clear" w:color="auto" w:fill="CCEDFF"/>
          </w:tcPr>
          <w:p>
            <w:pPr>
              <w:spacing w:after="0"/>
              <w:rPr>
                <w:sz w:val="18"/>
                <w:szCs w:val="18"/>
                <w:color w:val="auto"/>
              </w:rPr>
            </w:pPr>
          </w:p>
        </w:tc>
        <w:tc>
          <w:tcPr>
            <w:tcW w:w="140" w:type="dxa"/>
            <w:vAlign w:val="bottom"/>
            <w:tcBorders>
              <w:top w:val="single" w:sz="8" w:color="CCEDFF"/>
            </w:tcBorders>
            <w:shd w:val="clear" w:color="auto" w:fill="CCED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Performance allocations</w:t>
            </w:r>
          </w:p>
        </w:tc>
        <w:tc>
          <w:tcPr>
            <w:tcW w:w="220" w:type="dxa"/>
            <w:vAlign w:val="bottom"/>
            <w:shd w:val="clear" w:color="auto" w:fill="CCEDFF"/>
          </w:tcPr>
          <w:p>
            <w:pPr>
              <w:spacing w:after="0"/>
              <w:rPr>
                <w:sz w:val="19"/>
                <w:szCs w:val="19"/>
                <w:color w:val="auto"/>
              </w:rPr>
            </w:pPr>
          </w:p>
        </w:tc>
        <w:tc>
          <w:tcPr>
            <w:tcW w:w="15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20" w:type="dxa"/>
            <w:vAlign w:val="bottom"/>
            <w:shd w:val="clear" w:color="auto" w:fill="CCEDFF"/>
          </w:tcPr>
          <w:p>
            <w:pPr>
              <w:spacing w:after="0"/>
              <w:rPr>
                <w:sz w:val="19"/>
                <w:szCs w:val="19"/>
                <w:color w:val="auto"/>
              </w:rPr>
            </w:pPr>
          </w:p>
        </w:tc>
        <w:tc>
          <w:tcPr>
            <w:tcW w:w="120" w:type="dxa"/>
            <w:vAlign w:val="bottom"/>
            <w:shd w:val="clear" w:color="auto" w:fill="CCEDFF"/>
          </w:tcPr>
          <w:p>
            <w:pPr>
              <w:spacing w:after="0"/>
              <w:rPr>
                <w:sz w:val="19"/>
                <w:szCs w:val="19"/>
                <w:color w:val="auto"/>
              </w:rPr>
            </w:pPr>
          </w:p>
        </w:tc>
        <w:tc>
          <w:tcPr>
            <w:tcW w:w="180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DFF"/>
          </w:tcPr>
          <w:p>
            <w:pPr>
              <w:spacing w:after="0"/>
              <w:rPr>
                <w:sz w:val="19"/>
                <w:szCs w:val="19"/>
                <w:color w:val="auto"/>
              </w:rPr>
            </w:pPr>
          </w:p>
        </w:tc>
        <w:tc>
          <w:tcPr>
            <w:tcW w:w="15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revenue</w:t>
            </w:r>
          </w:p>
        </w:tc>
        <w:tc>
          <w:tcPr>
            <w:tcW w:w="22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other revenue</w:t>
            </w:r>
          </w:p>
        </w:tc>
        <w:tc>
          <w:tcPr>
            <w:tcW w:w="220" w:type="dxa"/>
            <w:vAlign w:val="bottom"/>
            <w:shd w:val="clear" w:color="auto" w:fill="CCEDFF"/>
          </w:tcPr>
          <w:p>
            <w:pPr>
              <w:spacing w:after="0"/>
              <w:rPr>
                <w:sz w:val="19"/>
                <w:szCs w:val="19"/>
                <w:color w:val="auto"/>
              </w:rPr>
            </w:pPr>
          </w:p>
        </w:tc>
        <w:tc>
          <w:tcPr>
            <w:tcW w:w="170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1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40" w:type="dxa"/>
            <w:vAlign w:val="bottom"/>
            <w:shd w:val="clear" w:color="auto" w:fill="CCEDFF"/>
          </w:tcPr>
          <w:p>
            <w:pPr>
              <w:spacing w:after="0"/>
              <w:rPr>
                <w:sz w:val="19"/>
                <w:szCs w:val="19"/>
                <w:color w:val="auto"/>
              </w:rPr>
            </w:pPr>
          </w:p>
        </w:tc>
        <w:tc>
          <w:tcPr>
            <w:tcW w:w="260" w:type="dxa"/>
            <w:vAlign w:val="bottom"/>
            <w:shd w:val="clear" w:color="auto" w:fill="CCEDFF"/>
          </w:tcPr>
          <w:p>
            <w:pPr>
              <w:spacing w:after="0"/>
              <w:rPr>
                <w:sz w:val="19"/>
                <w:szCs w:val="19"/>
                <w:color w:val="auto"/>
              </w:rPr>
            </w:pPr>
          </w:p>
        </w:tc>
        <w:tc>
          <w:tcPr>
            <w:tcW w:w="15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D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20" w:type="dxa"/>
            <w:vAlign w:val="bottom"/>
            <w:tcBorders>
              <w:bottom w:val="single" w:sz="8" w:color="CCED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23,172</w:t>
            </w:r>
          </w:p>
        </w:tc>
        <w:tc>
          <w:tcPr>
            <w:tcW w:w="140" w:type="dxa"/>
            <w:vAlign w:val="bottom"/>
            <w:tcBorders>
              <w:bottom w:val="single" w:sz="8" w:color="CCED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29,522</w:t>
            </w:r>
          </w:p>
        </w:tc>
        <w:tc>
          <w:tcPr>
            <w:tcW w:w="140" w:type="dxa"/>
            <w:vAlign w:val="bottom"/>
            <w:tcBorders>
              <w:bottom w:val="single" w:sz="8" w:color="CCED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80" w:type="dxa"/>
            <w:vAlign w:val="bottom"/>
            <w:shd w:val="clear" w:color="auto" w:fill="CCEDFF"/>
          </w:tcPr>
          <w:p>
            <w:pPr>
              <w:spacing w:after="0"/>
              <w:rPr>
                <w:sz w:val="21"/>
                <w:szCs w:val="21"/>
                <w:color w:val="auto"/>
              </w:rPr>
            </w:pPr>
          </w:p>
        </w:tc>
        <w:tc>
          <w:tcPr>
            <w:tcW w:w="220" w:type="dxa"/>
            <w:vAlign w:val="bottom"/>
            <w:shd w:val="clear" w:color="auto" w:fill="CCEDFF"/>
          </w:tcPr>
          <w:p>
            <w:pPr>
              <w:spacing w:after="0"/>
              <w:rPr>
                <w:sz w:val="21"/>
                <w:szCs w:val="21"/>
                <w:color w:val="auto"/>
              </w:rPr>
            </w:pPr>
          </w:p>
        </w:tc>
        <w:tc>
          <w:tcPr>
            <w:tcW w:w="158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120" w:type="dxa"/>
            <w:vAlign w:val="bottom"/>
            <w:shd w:val="clear" w:color="auto" w:fill="CCEDFF"/>
          </w:tcPr>
          <w:p>
            <w:pPr>
              <w:spacing w:after="0"/>
              <w:rPr>
                <w:sz w:val="21"/>
                <w:szCs w:val="21"/>
                <w:color w:val="auto"/>
              </w:rPr>
            </w:pPr>
          </w:p>
        </w:tc>
        <w:tc>
          <w:tcPr>
            <w:tcW w:w="166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260" w:type="dxa"/>
            <w:vAlign w:val="bottom"/>
            <w:shd w:val="clear" w:color="auto" w:fill="CCEDFF"/>
          </w:tcPr>
          <w:p>
            <w:pPr>
              <w:spacing w:after="0"/>
              <w:rPr>
                <w:sz w:val="21"/>
                <w:szCs w:val="21"/>
                <w:color w:val="auto"/>
              </w:rPr>
            </w:pPr>
          </w:p>
        </w:tc>
        <w:tc>
          <w:tcPr>
            <w:tcW w:w="1520" w:type="dxa"/>
            <w:vAlign w:val="bottom"/>
            <w:shd w:val="clear" w:color="auto" w:fill="CCEDFF"/>
          </w:tcPr>
          <w:p>
            <w:pPr>
              <w:spacing w:after="0"/>
              <w:rPr>
                <w:sz w:val="21"/>
                <w:szCs w:val="21"/>
                <w:color w:val="auto"/>
              </w:rPr>
            </w:pPr>
          </w:p>
        </w:tc>
        <w:tc>
          <w:tcPr>
            <w:tcW w:w="14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Operating costs</w:t>
            </w:r>
          </w:p>
        </w:tc>
        <w:tc>
          <w:tcPr>
            <w:tcW w:w="220" w:type="dxa"/>
            <w:vAlign w:val="bottom"/>
            <w:shd w:val="clear" w:color="auto" w:fill="CCEDFF"/>
          </w:tcPr>
          <w:p>
            <w:pPr>
              <w:spacing w:after="0"/>
              <w:rPr>
                <w:sz w:val="19"/>
                <w:szCs w:val="19"/>
                <w:color w:val="auto"/>
              </w:rPr>
            </w:pPr>
          </w:p>
        </w:tc>
        <w:tc>
          <w:tcPr>
            <w:tcW w:w="15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20" w:type="dxa"/>
            <w:vAlign w:val="bottom"/>
            <w:shd w:val="clear" w:color="auto" w:fill="CCEDFF"/>
          </w:tcPr>
          <w:p>
            <w:pPr>
              <w:spacing w:after="0"/>
              <w:rPr>
                <w:sz w:val="19"/>
                <w:szCs w:val="19"/>
                <w:color w:val="auto"/>
              </w:rPr>
            </w:pPr>
          </w:p>
        </w:tc>
        <w:tc>
          <w:tcPr>
            <w:tcW w:w="120" w:type="dxa"/>
            <w:vAlign w:val="bottom"/>
            <w:shd w:val="clear" w:color="auto" w:fill="CCEDFF"/>
          </w:tcPr>
          <w:p>
            <w:pPr>
              <w:spacing w:after="0"/>
              <w:rPr>
                <w:sz w:val="19"/>
                <w:szCs w:val="19"/>
                <w:color w:val="auto"/>
              </w:rPr>
            </w:pPr>
          </w:p>
        </w:tc>
        <w:tc>
          <w:tcPr>
            <w:tcW w:w="1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DFF"/>
          </w:tcPr>
          <w:p>
            <w:pPr>
              <w:spacing w:after="0"/>
              <w:rPr>
                <w:sz w:val="19"/>
                <w:szCs w:val="19"/>
                <w:color w:val="auto"/>
              </w:rPr>
            </w:pPr>
          </w:p>
        </w:tc>
        <w:tc>
          <w:tcPr>
            <w:tcW w:w="260" w:type="dxa"/>
            <w:vAlign w:val="bottom"/>
            <w:shd w:val="clear" w:color="auto" w:fill="CCEDFF"/>
          </w:tcPr>
          <w:p>
            <w:pPr>
              <w:spacing w:after="0"/>
              <w:rPr>
                <w:sz w:val="19"/>
                <w:szCs w:val="19"/>
                <w:color w:val="auto"/>
              </w:rPr>
            </w:pPr>
          </w:p>
        </w:tc>
        <w:tc>
          <w:tcPr>
            <w:tcW w:w="15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20" w:type="dxa"/>
            <w:vAlign w:val="bottom"/>
            <w:shd w:val="clear" w:color="auto" w:fill="CCEDFF"/>
          </w:tcPr>
          <w:p>
            <w:pPr>
              <w:spacing w:after="0"/>
              <w:rPr>
                <w:sz w:val="19"/>
                <w:szCs w:val="19"/>
                <w:color w:val="auto"/>
              </w:rPr>
            </w:pPr>
          </w:p>
        </w:tc>
        <w:tc>
          <w:tcPr>
            <w:tcW w:w="15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DFF"/>
          </w:tcPr>
          <w:p>
            <w:pPr>
              <w:spacing w:after="0"/>
              <w:rPr>
                <w:sz w:val="19"/>
                <w:szCs w:val="19"/>
                <w:color w:val="auto"/>
              </w:rPr>
            </w:pPr>
          </w:p>
        </w:tc>
        <w:tc>
          <w:tcPr>
            <w:tcW w:w="120" w:type="dxa"/>
            <w:vAlign w:val="bottom"/>
            <w:shd w:val="clear" w:color="auto" w:fill="CCEDFF"/>
          </w:tcPr>
          <w:p>
            <w:pPr>
              <w:spacing w:after="0"/>
              <w:rPr>
                <w:sz w:val="19"/>
                <w:szCs w:val="19"/>
                <w:color w:val="auto"/>
              </w:rPr>
            </w:pPr>
          </w:p>
        </w:tc>
        <w:tc>
          <w:tcPr>
            <w:tcW w:w="180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DFF"/>
          </w:tcPr>
          <w:p>
            <w:pPr>
              <w:spacing w:after="0"/>
              <w:rPr>
                <w:sz w:val="19"/>
                <w:szCs w:val="19"/>
                <w:color w:val="auto"/>
              </w:rPr>
            </w:pPr>
          </w:p>
        </w:tc>
        <w:tc>
          <w:tcPr>
            <w:tcW w:w="15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Consolidated funds – hospitality expenses</w:t>
            </w:r>
          </w:p>
        </w:tc>
        <w:tc>
          <w:tcPr>
            <w:tcW w:w="220" w:type="dxa"/>
            <w:vAlign w:val="bottom"/>
            <w:shd w:val="clear" w:color="auto" w:fill="CCEDFF"/>
          </w:tcPr>
          <w:p>
            <w:pPr>
              <w:spacing w:after="0"/>
              <w:rPr>
                <w:sz w:val="19"/>
                <w:szCs w:val="19"/>
                <w:color w:val="auto"/>
              </w:rPr>
            </w:pPr>
          </w:p>
        </w:tc>
        <w:tc>
          <w:tcPr>
            <w:tcW w:w="170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1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20,283</w:t>
            </w:r>
          </w:p>
        </w:tc>
        <w:tc>
          <w:tcPr>
            <w:tcW w:w="140" w:type="dxa"/>
            <w:vAlign w:val="bottom"/>
            <w:shd w:val="clear" w:color="auto" w:fill="CCEDFF"/>
          </w:tcPr>
          <w:p>
            <w:pPr>
              <w:spacing w:after="0"/>
              <w:rPr>
                <w:sz w:val="19"/>
                <w:szCs w:val="19"/>
                <w:color w:val="auto"/>
              </w:rPr>
            </w:pPr>
          </w:p>
        </w:tc>
        <w:tc>
          <w:tcPr>
            <w:tcW w:w="260" w:type="dxa"/>
            <w:vAlign w:val="bottom"/>
            <w:shd w:val="clear" w:color="auto" w:fill="CCEDFF"/>
          </w:tcPr>
          <w:p>
            <w:pPr>
              <w:spacing w:after="0"/>
              <w:rPr>
                <w:sz w:val="19"/>
                <w:szCs w:val="19"/>
                <w:color w:val="auto"/>
              </w:rPr>
            </w:pPr>
          </w:p>
        </w:tc>
        <w:tc>
          <w:tcPr>
            <w:tcW w:w="15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20,283</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funds – other expenses</w:t>
            </w:r>
          </w:p>
        </w:tc>
        <w:tc>
          <w:tcPr>
            <w:tcW w:w="22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bottom w:val="single" w:sz="8" w:color="auto"/>
            </w:tcBorders>
            <w:shd w:val="clear" w:color="auto" w:fill="CCEDFF"/>
          </w:tcPr>
          <w:p>
            <w:pPr>
              <w:spacing w:after="0"/>
              <w:rPr>
                <w:sz w:val="19"/>
                <w:szCs w:val="19"/>
                <w:color w:val="auto"/>
              </w:rPr>
            </w:pPr>
          </w:p>
        </w:tc>
        <w:tc>
          <w:tcPr>
            <w:tcW w:w="158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20" w:type="dxa"/>
            <w:vAlign w:val="bottom"/>
            <w:tcBorders>
              <w:top w:val="single" w:sz="8" w:color="CCEDFF"/>
            </w:tcBorders>
            <w:shd w:val="clear" w:color="auto" w:fill="CCEDFF"/>
          </w:tcPr>
          <w:p>
            <w:pPr>
              <w:spacing w:after="0"/>
              <w:rPr>
                <w:sz w:val="19"/>
                <w:szCs w:val="19"/>
                <w:color w:val="auto"/>
              </w:rPr>
            </w:pPr>
          </w:p>
        </w:tc>
        <w:tc>
          <w:tcPr>
            <w:tcW w:w="120" w:type="dxa"/>
            <w:vAlign w:val="bottom"/>
            <w:tcBorders>
              <w:top w:val="single" w:sz="8" w:color="auto"/>
              <w:bottom w:val="single" w:sz="8" w:color="auto"/>
            </w:tcBorders>
            <w:shd w:val="clear" w:color="auto" w:fill="CCEDFF"/>
          </w:tcPr>
          <w:p>
            <w:pPr>
              <w:spacing w:after="0"/>
              <w:rPr>
                <w:sz w:val="19"/>
                <w:szCs w:val="19"/>
                <w:color w:val="auto"/>
              </w:rPr>
            </w:pPr>
          </w:p>
        </w:tc>
        <w:tc>
          <w:tcPr>
            <w:tcW w:w="166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22,561</w:t>
            </w:r>
          </w:p>
        </w:tc>
        <w:tc>
          <w:tcPr>
            <w:tcW w:w="140" w:type="dxa"/>
            <w:vAlign w:val="bottom"/>
            <w:tcBorders>
              <w:top w:val="single" w:sz="8" w:color="CCEDFF"/>
            </w:tcBorders>
            <w:shd w:val="clear" w:color="auto" w:fill="CCEDFF"/>
          </w:tcPr>
          <w:p>
            <w:pPr>
              <w:spacing w:after="0"/>
              <w:rPr>
                <w:sz w:val="19"/>
                <w:szCs w:val="19"/>
                <w:color w:val="auto"/>
              </w:rPr>
            </w:pPr>
          </w:p>
        </w:tc>
        <w:tc>
          <w:tcPr>
            <w:tcW w:w="260" w:type="dxa"/>
            <w:vAlign w:val="bottom"/>
            <w:tcBorders>
              <w:top w:val="single" w:sz="8" w:color="auto"/>
              <w:bottom w:val="single" w:sz="8" w:color="auto"/>
            </w:tcBorders>
            <w:shd w:val="clear" w:color="auto" w:fill="CCEDFF"/>
          </w:tcPr>
          <w:p>
            <w:pPr>
              <w:spacing w:after="0"/>
              <w:rPr>
                <w:sz w:val="19"/>
                <w:szCs w:val="19"/>
                <w:color w:val="auto"/>
              </w:rPr>
            </w:pPr>
          </w:p>
        </w:tc>
        <w:tc>
          <w:tcPr>
            <w:tcW w:w="152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29,013</w:t>
            </w:r>
          </w:p>
        </w:tc>
        <w:tc>
          <w:tcPr>
            <w:tcW w:w="140" w:type="dxa"/>
            <w:vAlign w:val="bottom"/>
            <w:tcBorders>
              <w:top w:val="single" w:sz="8" w:color="CCEDFF"/>
            </w:tcBorders>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DFF"/>
          </w:tcPr>
          <w:p>
            <w:pPr>
              <w:spacing w:after="0"/>
              <w:rPr>
                <w:sz w:val="19"/>
                <w:szCs w:val="19"/>
                <w:color w:val="auto"/>
              </w:rPr>
            </w:pPr>
          </w:p>
        </w:tc>
        <w:tc>
          <w:tcPr>
            <w:tcW w:w="1580" w:type="dxa"/>
            <w:vAlign w:val="bottom"/>
            <w:shd w:val="clear" w:color="auto" w:fill="CCEDFF"/>
          </w:tcPr>
          <w:p>
            <w:pPr>
              <w:ind w:left="116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DFF"/>
          </w:tcPr>
          <w:p>
            <w:pPr>
              <w:spacing w:after="0"/>
              <w:rPr>
                <w:sz w:val="19"/>
                <w:szCs w:val="19"/>
                <w:color w:val="auto"/>
              </w:rPr>
            </w:pPr>
          </w:p>
        </w:tc>
        <w:tc>
          <w:tcPr>
            <w:tcW w:w="120" w:type="dxa"/>
            <w:vAlign w:val="bottom"/>
            <w:shd w:val="clear" w:color="auto" w:fill="CCEDFF"/>
          </w:tcPr>
          <w:p>
            <w:pPr>
              <w:spacing w:after="0"/>
              <w:rPr>
                <w:sz w:val="19"/>
                <w:szCs w:val="19"/>
                <w:color w:val="auto"/>
              </w:rPr>
            </w:pPr>
          </w:p>
        </w:tc>
        <w:tc>
          <w:tcPr>
            <w:tcW w:w="1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shd w:val="clear" w:color="auto" w:fill="CCEDFF"/>
          </w:tcPr>
          <w:p>
            <w:pPr>
              <w:spacing w:after="0"/>
              <w:rPr>
                <w:sz w:val="19"/>
                <w:szCs w:val="19"/>
                <w:color w:val="auto"/>
              </w:rPr>
            </w:pPr>
          </w:p>
        </w:tc>
        <w:tc>
          <w:tcPr>
            <w:tcW w:w="260" w:type="dxa"/>
            <w:vAlign w:val="bottom"/>
            <w:shd w:val="clear" w:color="auto" w:fill="CCEDFF"/>
          </w:tcPr>
          <w:p>
            <w:pPr>
              <w:spacing w:after="0"/>
              <w:rPr>
                <w:sz w:val="19"/>
                <w:szCs w:val="19"/>
                <w:color w:val="auto"/>
              </w:rPr>
            </w:pPr>
          </w:p>
        </w:tc>
        <w:tc>
          <w:tcPr>
            <w:tcW w:w="15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shd w:val="clear" w:color="auto" w:fill="CCEDFF"/>
          </w:tcPr>
          <w:p>
            <w:pPr>
              <w:spacing w:after="0"/>
              <w:rPr>
                <w:sz w:val="19"/>
                <w:szCs w:val="19"/>
                <w:color w:val="auto"/>
              </w:rPr>
            </w:pPr>
          </w:p>
        </w:tc>
        <w:tc>
          <w:tcPr>
            <w:tcW w:w="1580" w:type="dxa"/>
            <w:vAlign w:val="bottom"/>
            <w:tcBorders>
              <w:bottom w:val="single" w:sz="8" w:color="auto"/>
            </w:tcBorders>
            <w:shd w:val="clear" w:color="auto" w:fill="CCEDFF"/>
          </w:tcPr>
          <w:p>
            <w:pPr>
              <w:ind w:left="1160"/>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shd w:val="clear" w:color="auto" w:fill="CCEDFF"/>
          </w:tcPr>
          <w:p>
            <w:pPr>
              <w:spacing w:after="0"/>
              <w:rPr>
                <w:sz w:val="19"/>
                <w:szCs w:val="19"/>
                <w:color w:val="auto"/>
              </w:rPr>
            </w:pPr>
          </w:p>
        </w:tc>
        <w:tc>
          <w:tcPr>
            <w:tcW w:w="120" w:type="dxa"/>
            <w:vAlign w:val="bottom"/>
            <w:tcBorders>
              <w:bottom w:val="single" w:sz="8" w:color="auto"/>
            </w:tcBorders>
            <w:shd w:val="clear" w:color="auto" w:fill="CCEDFF"/>
          </w:tcPr>
          <w:p>
            <w:pPr>
              <w:spacing w:after="0"/>
              <w:rPr>
                <w:sz w:val="19"/>
                <w:szCs w:val="19"/>
                <w:color w:val="auto"/>
              </w:rPr>
            </w:pPr>
          </w:p>
        </w:tc>
        <w:tc>
          <w:tcPr>
            <w:tcW w:w="16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DFF"/>
          </w:tcPr>
          <w:p>
            <w:pPr>
              <w:spacing w:after="0"/>
              <w:rPr>
                <w:sz w:val="19"/>
                <w:szCs w:val="19"/>
                <w:color w:val="auto"/>
              </w:rPr>
            </w:pPr>
          </w:p>
        </w:tc>
        <w:tc>
          <w:tcPr>
            <w:tcW w:w="260" w:type="dxa"/>
            <w:vAlign w:val="bottom"/>
            <w:tcBorders>
              <w:bottom w:val="single" w:sz="8" w:color="auto"/>
            </w:tcBorders>
            <w:shd w:val="clear" w:color="auto" w:fill="CCEDFF"/>
          </w:tcPr>
          <w:p>
            <w:pPr>
              <w:spacing w:after="0"/>
              <w:rPr>
                <w:sz w:val="19"/>
                <w:szCs w:val="19"/>
                <w:color w:val="auto"/>
              </w:rPr>
            </w:pPr>
          </w:p>
        </w:tc>
        <w:tc>
          <w:tcPr>
            <w:tcW w:w="15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220" w:type="dxa"/>
            <w:vAlign w:val="bottom"/>
          </w:tcPr>
          <w:p>
            <w:pPr>
              <w:spacing w:after="0"/>
              <w:rPr>
                <w:sz w:val="19"/>
                <w:szCs w:val="19"/>
                <w:color w:val="auto"/>
              </w:rPr>
            </w:pPr>
          </w:p>
        </w:tc>
        <w:tc>
          <w:tcPr>
            <w:tcW w:w="15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DFF"/>
          </w:tcPr>
          <w:p>
            <w:pPr>
              <w:spacing w:after="0"/>
              <w:rPr>
                <w:sz w:val="19"/>
                <w:szCs w:val="19"/>
                <w:color w:val="auto"/>
              </w:rPr>
            </w:pPr>
          </w:p>
        </w:tc>
        <w:tc>
          <w:tcPr>
            <w:tcW w:w="170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180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DFF"/>
          </w:tcPr>
          <w:p>
            <w:pPr>
              <w:spacing w:after="0"/>
              <w:rPr>
                <w:sz w:val="19"/>
                <w:szCs w:val="19"/>
                <w:color w:val="auto"/>
              </w:rPr>
            </w:pPr>
          </w:p>
        </w:tc>
        <w:tc>
          <w:tcPr>
            <w:tcW w:w="166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DFF"/>
          </w:tcPr>
          <w:p>
            <w:pPr>
              <w:ind w:left="5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shd w:val="clear" w:color="auto" w:fill="CCEDFF"/>
          </w:tcPr>
          <w:p>
            <w:pPr>
              <w:spacing w:after="0"/>
              <w:rPr>
                <w:sz w:val="19"/>
                <w:szCs w:val="19"/>
                <w:color w:val="auto"/>
              </w:rPr>
            </w:pPr>
          </w:p>
        </w:tc>
        <w:tc>
          <w:tcPr>
            <w:tcW w:w="1700" w:type="dxa"/>
            <w:vAlign w:val="bottom"/>
            <w:gridSpan w:val="2"/>
            <w:shd w:val="clear" w:color="auto" w:fill="CCED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19"/>
                <w:szCs w:val="19"/>
                <w:color w:val="auto"/>
              </w:rPr>
            </w:pPr>
          </w:p>
        </w:tc>
        <w:tc>
          <w:tcPr>
            <w:tcW w:w="1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40" w:type="dxa"/>
            <w:vAlign w:val="bottom"/>
            <w:shd w:val="clear" w:color="auto" w:fill="CCEDFF"/>
          </w:tcPr>
          <w:p>
            <w:pPr>
              <w:spacing w:after="0"/>
              <w:rPr>
                <w:sz w:val="19"/>
                <w:szCs w:val="19"/>
                <w:color w:val="auto"/>
              </w:rPr>
            </w:pPr>
          </w:p>
        </w:tc>
        <w:tc>
          <w:tcPr>
            <w:tcW w:w="260" w:type="dxa"/>
            <w:vAlign w:val="bottom"/>
            <w:shd w:val="clear" w:color="auto" w:fill="CCEDFF"/>
          </w:tcPr>
          <w:p>
            <w:pPr>
              <w:spacing w:after="0"/>
              <w:rPr>
                <w:sz w:val="19"/>
                <w:szCs w:val="19"/>
                <w:color w:val="auto"/>
              </w:rPr>
            </w:pPr>
          </w:p>
        </w:tc>
        <w:tc>
          <w:tcPr>
            <w:tcW w:w="15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income (loss) attributable to CaliberCos Inc.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March 31, 2024, the Company had individual corporate notes aggregating $36.7 million for which the maturity dates of these notes are within the 12-month period subsequent to when these financial statements were issued. Additionally, the Company has incurred operating losses and negative operating cash flows for the three months ended March 31, 2024, and anticipates additional future operating losses and negative operating cash flows. The Company does not have sufficient cash on hand to satisfy such obligations. As such these conditions and events raise substantial doubt about the Company’s ability to continue as a going concern.</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response to these conditions, management plans to i) continue to negotiate extensions of such loans or refinance such debt, ii) obtain new financing,</w:t>
      </w:r>
    </w:p>
    <w:p>
      <w:pPr>
        <w:spacing w:after="0" w:line="27" w:lineRule="exact"/>
        <w:rPr>
          <w:sz w:val="20"/>
          <w:szCs w:val="20"/>
          <w:color w:val="auto"/>
        </w:rPr>
      </w:pPr>
    </w:p>
    <w:p>
      <w:pPr>
        <w:jc w:val="both"/>
        <w:ind w:firstLine="8"/>
        <w:spacing w:after="0" w:line="250" w:lineRule="auto"/>
        <w:tabs>
          <w:tab w:leader="none" w:pos="2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operating costs, iv) collect receivables and return investments from the Consolidated Funds, and/or v) increase capital raise through continued expansion of fundraising channels. The Company has commenced discussions with the various lenders in pursuit of extending or refinancing its loans. Subsequent to March 31, 2024, the Company extended the maturity dates of certain corporate and convertible notes. As of May 9, 2024, an aggregate of $36.4 million of corporate and convertible notes mature within the 12-month period subsequent to when these financial statements were issued (see Note 6</w:t>
      </w:r>
    </w:p>
    <w:p>
      <w:pPr>
        <w:spacing w:after="0" w:line="1"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Notes Payable). Management’s plans include timely collection on the Company’s outstanding accounts and notes receivable from affiliated entities for which management has influence and control and implementing strategies to reduce costs. The Company executed a reduction in force of approximately 10% of its employees in May 2024, with an expected annual saving of compensation and benefits expenses of $$4.0 million. The Company has also executed on cost reduction plans with estimated annual savings of $2.5 million. In addition, the Caliber Hospitality Trust received a $10.0 million investment commitment into its Series D preferrd equity in May 2024, of which a portion will be used to repay amounts due to the Company. The Company concluded that management’s plans are probable of being achieved to alleviate substantial doubt about the Company’s ability to continue as a going concern.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53" w:name="page54"/>
    <w:bookmarkEnd w:id="5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our funds and the related assets that are acquired or own equity interest in those funds are established as separate legal entities with limited liability. Therefore, the cash flows generated by these entities, whether through operations or financing, are unavailable for general corporate purposes, except as payment to the Company for services performed by the Company.</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historically financed our operations primarily through a combination of operating cash flows, private offerings of our equity securities, and secured and unsecured debt. In addition, due to the consolidation of CFIF III, we recognize a revolving line of credit with a maximum borrowing amount of $4.5 million.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hold our excess unrestricted cash in bank accounts with several high-quality financial institutions.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Debt</w:t>
      </w:r>
    </w:p>
    <w:p>
      <w:pPr>
        <w:spacing w:after="0" w:line="256"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As of March 31, 2024, we have issued and outstanding unsecured promissory notes of $36.7 million with an average outstanding principal balance of $0.2 million, a weighted average interest rate of 11.40%, and maturity dates ranging from January 2024 to March 2025. The purpose of this financing program is to provide the Company with flexible, short-term capital to be used to grow its assets under management and assist funds in a fast-moving acquisition or investment, as well as general corporate purposes. Additionally, the program provides customers of Caliber’s funds access to a short-term lending opportunity. Management actively manages each relationship to determine if the respective customer would like to redeem upon maturity or extend for an additional period of time. Management has historically been successful at extending these note programs and, as a result, continues to expect similar outcomes. This outstanding debt resulted in $1.1 million and $0.7 million of interest expense for the three months ended March 31, 2024 and 2023.</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Analysis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section below discusses in more detail the Company’s primary sources and uses of cash and primary drivers of cash flows within the Company’s consolidated statements of cash flows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86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19,929</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(37,449)</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(20,097)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assets of our consolidated funds, on a gross basis, can be substantially larger than the assets of our core business and, accordingly could have a substantial effect on the accompanying statements of cash flows. The table below summarizes our consolidated statements of cash flow by activity attributable to the Company and to our consolidated funds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380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6"/>
        </w:trPr>
        <w:tc>
          <w:tcPr>
            <w:tcW w:w="600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the Company's operating activities</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r>
      <w:tr>
        <w:trPr>
          <w:trHeight w:val="23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the consolidated funds' operating activities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the Company's operating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(2,577)</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the Company's investing activities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19,462</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the consolidated funds' investing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the Company's investing activities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(16,052)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(35,981)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19,929</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the Company's financing activities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(36,983)</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the consolidated funds' financing activities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the Company's financing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(37,449)</w:t>
            </w:r>
          </w:p>
        </w:tc>
      </w:tr>
      <w:tr>
        <w:trPr>
          <w:trHeight w:val="223"/>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(12,306)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7,791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(20,097)</w:t>
            </w:r>
          </w:p>
        </w:tc>
      </w:tr>
      <w:tr>
        <w:trPr>
          <w:trHeight w:val="21"/>
        </w:trPr>
        <w:tc>
          <w:tcPr>
            <w:tcW w:w="6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4" w:name="page55"/>
    <w:bookmarkEnd w:id="5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net cash flows from operating activities are generally comprised of asset management revenues and performance allocations, less cash used for operating expenses, including interest paid on our debt obligations. Net cash flows used in operating activities of the Company increased during the three months ended March 31, 2024 as compared to net cash provided by operating activities in the same period in 2023. The increase primarily related to an increase in prepaid expenses and increased interest payments related to the Company’s corporate notes during the three months ended March 31, 2024 as compared to the same period in 2023. Net cash flows provided by operating activities of the consolidated funds increased from the three months ended March 31, 2024, as compared to the same period in 2023. The increase was primarily due to increased interest payments related to the consolidated funds notes payable.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decrease in net cash flows used in investing activities of the Company for the three months ended March 31, 2024 as compared to the same period in 2023 primarily relates to an decrease in the acquisition of real estate assets. The increase in net cash flows used in investing activities of the consolidated funds is primarily due to the consolidation and deconsolidation of VIEs, offset by a decrease in the acquisition of and investment in real estate assets and an increase in the net proceeds from notes receivable - related parties.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decrease in net cash flows from financing activities of the Company for the three months ended March 31, 2024 as compared to the same period in 2023 was primarily due to an decrease of $36.6 million of proceeds on notes payable. The decrease in net cash flows provided by financing activities of the consolidated funds is primarily due to a decrease in the net proceeds from notes payable and notes payable – related parties of our consolidated funds of $1.4 million and a decrease in contributions from noncontrolling interest holders of $1.2 million, offset by a decrease in deferred financing costs paid of $2.4 million during the three months ended March 31, 2024 as compared to the same period in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from those estimates, perhaps in adverse ways, and those estimates could be different under different assumptions or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 of the Company</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affect the Company’s more significant estimates and judgements used in the preparation of our consolidated financial statements.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w:t>
      </w:r>
    </w:p>
    <w:p>
      <w:pPr>
        <w:spacing w:after="0" w:line="20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55" w:name="page56"/>
    <w:bookmarkEnd w:id="5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describes revenue recognition for the fees the Company earns from providing services under its asset management platform:</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the Company earns a fund management fee of 0.7% of the Caliber Hospitality Trust’s enterprise value and is reimbursed for certain costs incurred on behalf of the Caliber Hospitality Trust. These revenues are included in asset management revenues in the accompanying consolidated statements of operations.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 These revenues are included in asset management revenues in the accompanying consolidated statements of operations.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consolidated statements of operations.</w:t>
      </w:r>
    </w:p>
    <w:p>
      <w:pPr>
        <w:spacing w:after="0" w:line="21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 and are included in asset management revenues in the accompanying consolidated statements of operations.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consolidated statements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asset and liability method in accordance with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Deferred tax assets and liabilities are determined based on temporary differences between the financial reporting and tax basis of assets and liabilities and operating loss and tax credit carry forwards. Deferred tax assets and liabilities are measured by applying enacted tax rates and laws and are released in the years in which the temporary differences are expected to be recovered or settled. The effect on deferred tax assets and liabilities of a change in tax rates is recognized in income in the period that includes the enactment date. Valuation allowances are provided against deferred tax assets when it is more-likely-than-not that some portion or all of the deferred tax assets will not be realized.</w:t>
      </w:r>
    </w:p>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valuation allowance is required to reduce the balance of a deferred tax asset if it is determined that it is more-likely-than-not that all or some portion of the deferred tax asset will not be realized due to the lack of sufficient taxable income or other limitation on the Company’s ability to utilize the loss carryforward.</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 the impact of an income tax position, if that position is more-likely-than-not of being sustained on audit, based on the technical merits of the position. Related interest and penalties are classified as income taxes in the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 of Consolidated Funds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 following critical accounting policies affect the consolidated funds’ more significant estimates and judgements used in the preparation of our consolidated financial statements.</w:t>
      </w: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Revenues</w:t>
      </w:r>
    </w:p>
    <w:p>
      <w:pPr>
        <w:spacing w:after="0" w:line="2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funds – hospitality revenue</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spacing w:after="0" w:line="21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receive deposits for events and rooms. Such deposits are deferred and included in other liabilities on the accompanying consolidated balance sheets. The deposits are credited to consolidated funds – hospitality revenue when the specific event takes place.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funds – other revenue</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Consolidated funds – other revenue primarily consists of rental revenue of $0.4 million and $1.0 million for the three months ended March 31, 2024 and 2023, respectively. Rental revenue includes the revenues generated primarily by the rental operations of the residential (multi-family and single-family) and commercial properties of our consolidated funds.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Fund Expenses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financial instruments is disclosed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3. Quantitative and Qualitative Disclosures About Market Risk</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market risk associated with financial instruments and derivative financial instruments is the risk of loss from adverse changes in market prices or interest rates. Our market risk arises primarily from interest rate risk relating to variable-rate borrowings. To meet our short and long-term liquidity requirements, we borrow funds at a combination of fixed and variable rates. Our interest rate risk management objectives are to limit the impact of interest rate changes on earnings and cash flows and to manage our overall borrowing costs. To achieve these objectives, from time to time, we may enter into interest rate hedge contracts such as swaps, caps, collars, treasury locks, options and forwards in order to mitigate our interest rate risk with respect to various debt instruments. We would not hold or issue these derivative contracts for trading or speculative purposes.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our debt included fixed-rate debt with a fair value and carrying value of $75.1 million and $68.8 million, respectively. Changes in market interest rates on our fixed rate debt impact the fair value of the debt, but they have no impact on interest incurred or cash flow. For instance, if interest rates rise 100 basis points, and the fixed rate debt balance remains constant, we expect the fair value of our debt to decrease, the same way the price of a bond declines as interest rates rise.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our debt included variable-rate debt with a fair value and carrying value of $25.8 million. The sensitivity analysis related to our variable-rate debt assumes an immediate 100 basis point move in interest rates from their March 31, 2024 levels, with all other variables held constant. A 100 basis point increase or decrease in variable interest rates on our variable-rate debt would increase or decrease our interest expense by $0.3 million annually.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revenues are generated from the management, ownership and/or operations of real estate assets located in Alaska, Arizona, Colorado, and Texas. The Company mitigates the associated risk by:</w:t>
      </w: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asset types, including hospitality, commercial, single-family, multi-family, and self-storage properties;</w:t>
      </w: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multiple geographic locations including different markets and sub-markets in which our real estate assets are located;</w:t>
      </w:r>
    </w:p>
    <w:p>
      <w:pPr>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investments in real estate assets across assets at differing points of stabilization, and in varying states of cash flow optimization; and</w:t>
      </w:r>
    </w:p>
    <w:p>
      <w:pPr>
        <w:ind w:left="66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financing relationships with a diversified mix of lenders (differing size and type), including large national banks, local community banks, private equity lenders, and insurance companies.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1D1C1D"/>
        </w:rPr>
        <w:t>Item 4. Controls and Procedures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Securities Exchange Act of 1934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Rules 13a-15(b) and 15d-15(b) of the Exchange Act, management, under the supervision and with the participation of our Chief Executive Officer and Chief Financial Officer, carried out an evaluation of the effectiveness of our disclosure controls and procedures as of March 31, 2024 and determined that the disclosure controls and procedures were effective at a reasonable assurance level as of that date.</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change occurred in our internal control over financial reporting (as defined in Rules 13a-15(f) and 15d -15(f) of the Exchange Act) during the three months ended March 31, 2024 that has materially affected, or is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1D1C1D"/>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 Legal Proceedings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1A. Risk Factors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the Risk Factors section in the Company’s annual report on Form 10-K filed with the SEC on April 15,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3. Defaults Upon Senior Securities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4. Mine Safety Disclosures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5. Other Information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6. Exhibit Index</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12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8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12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20" w:type="dxa"/>
            <w:vAlign w:val="bottom"/>
            <w:gridSpan w:val="18"/>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Third Amended and Restated Certificate of Incorporation of CaliberCos Inc. (incorporated by reference to Exhibit 3.1 of CaliberCos</w:t>
              </w:r>
            </w:hyperlink>
          </w:p>
        </w:tc>
        <w:tc>
          <w:tcPr>
            <w:tcW w:w="0" w:type="dxa"/>
            <w:vAlign w:val="bottom"/>
          </w:tcPr>
          <w:p>
            <w:pPr>
              <w:spacing w:after="0"/>
              <w:rPr>
                <w:sz w:val="1"/>
                <w:szCs w:val="1"/>
                <w:color w:val="auto"/>
              </w:rPr>
            </w:pPr>
          </w:p>
        </w:tc>
      </w:tr>
      <w:tr>
        <w:trPr>
          <w:trHeight w:val="169"/>
        </w:trPr>
        <w:tc>
          <w:tcPr>
            <w:tcW w:w="2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5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Inc.’s Form 8-K filed with the SEC on May 19, 2023</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8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12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20" w:type="dxa"/>
            <w:vAlign w:val="bottom"/>
            <w:gridSpan w:val="18"/>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Amended and Restated Bylaws of CaliberCos Inc. (incorporated by reference to Exhibit 3.2 of CaliberCos Inc.’s Form 8-K filed with</w:t>
              </w:r>
            </w:hyperlink>
          </w:p>
        </w:tc>
        <w:tc>
          <w:tcPr>
            <w:tcW w:w="0" w:type="dxa"/>
            <w:vAlign w:val="bottom"/>
          </w:tcPr>
          <w:p>
            <w:pPr>
              <w:spacing w:after="0"/>
              <w:rPr>
                <w:sz w:val="1"/>
                <w:szCs w:val="1"/>
                <w:color w:val="auto"/>
              </w:rPr>
            </w:pPr>
          </w:p>
        </w:tc>
      </w:tr>
      <w:tr>
        <w:trPr>
          <w:trHeight w:val="169"/>
        </w:trPr>
        <w:tc>
          <w:tcPr>
            <w:tcW w:w="2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58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the SEC on May 19, 2023)</w:t>
              </w:r>
            </w:hyperlink>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8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12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20" w:type="dxa"/>
            <w:vAlign w:val="bottom"/>
            <w:gridSpan w:val="18"/>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Description of Securities (incorporated by reference to Exhibit 4.1 of CaliberCos Inc.’s Form 10-K filed with the SEC on April 15,</w:t>
              </w:r>
            </w:hyperlink>
          </w:p>
        </w:tc>
        <w:tc>
          <w:tcPr>
            <w:tcW w:w="0" w:type="dxa"/>
            <w:vAlign w:val="bottom"/>
          </w:tcPr>
          <w:p>
            <w:pPr>
              <w:spacing w:after="0"/>
              <w:rPr>
                <w:sz w:val="1"/>
                <w:szCs w:val="1"/>
                <w:color w:val="auto"/>
              </w:rPr>
            </w:pPr>
          </w:p>
        </w:tc>
      </w:tr>
      <w:tr>
        <w:trPr>
          <w:trHeight w:val="169"/>
        </w:trPr>
        <w:tc>
          <w:tcPr>
            <w:tcW w:w="240" w:type="dxa"/>
            <w:vAlign w:val="bottom"/>
            <w:tcBorders>
              <w:bottom w:val="single" w:sz="8" w:color="0000FF"/>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89">
              <w:r>
                <w:rPr>
                  <w:rFonts w:ascii="Times New Roman" w:cs="Times New Roman" w:eastAsia="Times New Roman" w:hAnsi="Times New Roman"/>
                  <w:sz w:val="18"/>
                  <w:szCs w:val="18"/>
                  <w:color w:val="0000FF"/>
                  <w:w w:val="95"/>
                </w:rPr>
                <w:t>2024)</w:t>
              </w:r>
            </w:hyperlink>
          </w:p>
        </w:tc>
        <w:tc>
          <w:tcPr>
            <w:tcW w:w="150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6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12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20" w:type="dxa"/>
            <w:vAlign w:val="bottom"/>
            <w:gridSpan w:val="18"/>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Form of Class A common stock Certificate (incorporated by reference to Exhibit 4.1 to the Registrant’s Registration Statement on Form</w:t>
              </w:r>
            </w:hyperlink>
          </w:p>
        </w:tc>
        <w:tc>
          <w:tcPr>
            <w:tcW w:w="0" w:type="dxa"/>
            <w:vAlign w:val="bottom"/>
          </w:tcPr>
          <w:p>
            <w:pPr>
              <w:spacing w:after="0"/>
              <w:rPr>
                <w:sz w:val="1"/>
                <w:szCs w:val="1"/>
                <w:color w:val="auto"/>
              </w:rPr>
            </w:pPr>
          </w:p>
        </w:tc>
      </w:tr>
      <w:tr>
        <w:trPr>
          <w:trHeight w:val="169"/>
        </w:trPr>
        <w:tc>
          <w:tcPr>
            <w:tcW w:w="2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S-1/A, filed with the SEC on October 28, 2022 (File No. 333-267657))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00" w:type="dxa"/>
            <w:vAlign w:val="bottom"/>
            <w:gridSpan w:val="4"/>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Amended and Restated Stockholders’ Agreement dated March 22, 2023, by and among the Company, John C. Loeffler, Jennifer</w:t>
              </w:r>
            </w:hyperlink>
          </w:p>
        </w:tc>
        <w:tc>
          <w:tcPr>
            <w:tcW w:w="60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91">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12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20" w:type="dxa"/>
            <w:vAlign w:val="bottom"/>
            <w:gridSpan w:val="18"/>
          </w:tcPr>
          <w:p>
            <w:pPr>
              <w:spacing w:after="0" w:line="16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Schrader and Donnie Schrader (incorporated by reference to Exhibit 4.2 to the Registrant’s Registration Statement on Form S-1/A, filed</w:t>
              </w:r>
            </w:hyperlink>
          </w:p>
        </w:tc>
        <w:tc>
          <w:tcPr>
            <w:tcW w:w="0" w:type="dxa"/>
            <w:vAlign w:val="bottom"/>
          </w:tcPr>
          <w:p>
            <w:pPr>
              <w:spacing w:after="0"/>
              <w:rPr>
                <w:sz w:val="1"/>
                <w:szCs w:val="1"/>
                <w:color w:val="auto"/>
              </w:rPr>
            </w:pPr>
          </w:p>
        </w:tc>
      </w:tr>
      <w:tr>
        <w:trPr>
          <w:trHeight w:val="155"/>
        </w:trPr>
        <w:tc>
          <w:tcPr>
            <w:tcW w:w="240" w:type="dxa"/>
            <w:vAlign w:val="bottom"/>
            <w:tcBorders>
              <w:bottom w:val="single" w:sz="8" w:color="0000FF"/>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with the SEC on March 22, 2023 (File No. 333-267657))</w:t>
              </w:r>
            </w:hyperlink>
          </w:p>
        </w:tc>
        <w:tc>
          <w:tcPr>
            <w:tcW w:w="568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60" w:type="dxa"/>
            <w:vAlign w:val="bottom"/>
            <w:gridSpan w:val="2"/>
            <w:vMerge w:val="restart"/>
          </w:tcPr>
          <w:p>
            <w:pPr>
              <w:spacing w:after="0"/>
              <w:rPr>
                <w:rFonts w:ascii="Times New Roman" w:cs="Times New Roman" w:eastAsia="Times New Roman" w:hAnsi="Times New Roman"/>
                <w:sz w:val="18"/>
                <w:szCs w:val="18"/>
                <w:color w:val="0000FF"/>
                <w:w w:val="94"/>
              </w:rPr>
            </w:pPr>
            <w:hyperlink r:id="rId92">
              <w:r>
                <w:rPr>
                  <w:rFonts w:ascii="Times New Roman" w:cs="Times New Roman" w:eastAsia="Times New Roman" w:hAnsi="Times New Roman"/>
                  <w:sz w:val="18"/>
                  <w:szCs w:val="18"/>
                  <w:color w:val="0000FF"/>
                  <w:w w:val="94"/>
                </w:rPr>
                <w:t>4.</w:t>
              </w:r>
              <w:r>
                <w:rPr>
                  <w:rFonts w:ascii="Times New Roman" w:cs="Times New Roman" w:eastAsia="Times New Roman" w:hAnsi="Times New Roman"/>
                  <w:sz w:val="18"/>
                  <w:szCs w:val="18"/>
                  <w:u w:val="single" w:color="auto"/>
                  <w:color w:val="0000FF"/>
                  <w:w w:val="94"/>
                </w:rPr>
                <w:t>3.1</w:t>
              </w:r>
            </w:hyperlink>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20" w:type="dxa"/>
            <w:vAlign w:val="bottom"/>
            <w:gridSpan w:val="18"/>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Stock Purchase Agreement dated September 21, 2018, by and among the Company and Donnie Schrader (incorporated by reference to</w:t>
              </w:r>
            </w:hyperlink>
          </w:p>
        </w:tc>
        <w:tc>
          <w:tcPr>
            <w:tcW w:w="0" w:type="dxa"/>
            <w:vAlign w:val="bottom"/>
          </w:tcPr>
          <w:p>
            <w:pPr>
              <w:spacing w:after="0"/>
              <w:rPr>
                <w:sz w:val="1"/>
                <w:szCs w:val="1"/>
                <w:color w:val="auto"/>
              </w:rPr>
            </w:pPr>
          </w:p>
        </w:tc>
      </w:tr>
      <w:tr>
        <w:trPr>
          <w:trHeight w:val="169"/>
        </w:trPr>
        <w:tc>
          <w:tcPr>
            <w:tcW w:w="360" w:type="dxa"/>
            <w:vAlign w:val="bottom"/>
            <w:tcBorders>
              <w:bottom w:val="single" w:sz="8" w:color="0000FF"/>
            </w:tcBorders>
            <w:gridSpan w:val="2"/>
            <w:vMerge w:val="continue"/>
          </w:tcPr>
          <w:p>
            <w:pPr>
              <w:spacing w:after="0"/>
              <w:rPr>
                <w:sz w:val="14"/>
                <w:szCs w:val="14"/>
                <w:color w:val="auto"/>
              </w:rPr>
            </w:pPr>
          </w:p>
        </w:tc>
        <w:tc>
          <w:tcPr>
            <w:tcW w:w="60" w:type="dxa"/>
            <w:vAlign w:val="bottom"/>
            <w:tcBorders>
              <w:bottom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92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Exhibit 3.2 of CaliberCos Inc.’s offering statement on Form 1-A (File No.024-11016), filed with the SEC on June 13, 2019)</w:t>
              </w:r>
            </w:hyperlink>
          </w:p>
        </w:tc>
        <w:tc>
          <w:tcPr>
            <w:tcW w:w="760" w:type="dxa"/>
            <w:vAlign w:val="bottom"/>
            <w:tcBorders>
              <w:top w:val="single" w:sz="8" w:color="0000FF"/>
            </w:tcBorders>
            <w:gridSpan w:val="5"/>
          </w:tcPr>
          <w:p>
            <w:pPr>
              <w:spacing w:after="0"/>
              <w:rPr>
                <w:sz w:val="14"/>
                <w:szCs w:val="14"/>
                <w:color w:val="auto"/>
              </w:rPr>
            </w:pPr>
          </w:p>
        </w:tc>
        <w:tc>
          <w:tcPr>
            <w:tcW w:w="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w:t>
            </w:r>
          </w:p>
        </w:tc>
        <w:tc>
          <w:tcPr>
            <w:tcW w:w="358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w:t>
            </w:r>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8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32.</w:t>
            </w:r>
            <w:r>
              <w:rPr>
                <w:rFonts w:ascii="Times New Roman" w:cs="Times New Roman" w:eastAsia="Times New Roman" w:hAnsi="Times New Roman"/>
                <w:sz w:val="18"/>
                <w:szCs w:val="18"/>
                <w:u w:val="single" w:color="auto"/>
                <w:color w:val="0000FF"/>
                <w:w w:val="96"/>
              </w:rPr>
              <w:t>1**</w:t>
            </w:r>
          </w:p>
        </w:tc>
        <w:tc>
          <w:tcPr>
            <w:tcW w:w="860" w:type="dxa"/>
            <w:vAlign w:val="bottom"/>
          </w:tcPr>
          <w:p>
            <w:pPr>
              <w:spacing w:after="0"/>
              <w:rPr>
                <w:sz w:val="18"/>
                <w:szCs w:val="18"/>
                <w:color w:val="auto"/>
              </w:rPr>
            </w:pP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c>
          <w:tcPr>
            <w:tcW w:w="0" w:type="dxa"/>
            <w:vAlign w:val="bottom"/>
          </w:tcPr>
          <w:p>
            <w:pPr>
              <w:spacing w:after="0"/>
              <w:rPr>
                <w:sz w:val="1"/>
                <w:szCs w:val="1"/>
                <w:color w:val="auto"/>
              </w:rPr>
            </w:pPr>
          </w:p>
        </w:tc>
      </w:tr>
      <w:tr>
        <w:trPr>
          <w:trHeight w:val="210"/>
        </w:trPr>
        <w:tc>
          <w:tcPr>
            <w:tcW w:w="5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32.</w:t>
            </w:r>
            <w:r>
              <w:rPr>
                <w:rFonts w:ascii="Times New Roman" w:cs="Times New Roman" w:eastAsia="Times New Roman" w:hAnsi="Times New Roman"/>
                <w:sz w:val="18"/>
                <w:szCs w:val="18"/>
                <w:u w:val="single" w:color="auto"/>
                <w:color w:val="0000FF"/>
                <w:w w:val="96"/>
              </w:rPr>
              <w:t>2**</w:t>
            </w:r>
          </w:p>
        </w:tc>
        <w:tc>
          <w:tcPr>
            <w:tcW w:w="860" w:type="dxa"/>
            <w:vAlign w:val="bottom"/>
            <w:tcBorders>
              <w:bottom w:val="single" w:sz="8" w:color="0000FF"/>
            </w:tcBorders>
          </w:tcPr>
          <w:p>
            <w:pPr>
              <w:spacing w:after="0"/>
              <w:rPr>
                <w:sz w:val="18"/>
                <w:szCs w:val="18"/>
                <w:color w:val="auto"/>
              </w:rPr>
            </w:pPr>
          </w:p>
        </w:tc>
        <w:tc>
          <w:tcPr>
            <w:tcW w:w="56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w:t>
            </w:r>
          </w:p>
        </w:tc>
        <w:tc>
          <w:tcPr>
            <w:tcW w:w="40" w:type="dxa"/>
            <w:vAlign w:val="bottom"/>
            <w:tcBorders>
              <w:top w:val="single" w:sz="8" w:color="0000FF"/>
            </w:tcBorders>
          </w:tcPr>
          <w:p>
            <w:pPr>
              <w:spacing w:after="0"/>
              <w:rPr>
                <w:sz w:val="18"/>
                <w:szCs w:val="18"/>
                <w:color w:val="auto"/>
              </w:rPr>
            </w:pPr>
          </w:p>
        </w:tc>
        <w:tc>
          <w:tcPr>
            <w:tcW w:w="410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w:t>
            </w:r>
          </w:p>
        </w:tc>
        <w:tc>
          <w:tcPr>
            <w:tcW w:w="0" w:type="dxa"/>
            <w:vAlign w:val="bottom"/>
          </w:tcPr>
          <w:p>
            <w:pPr>
              <w:spacing w:after="0"/>
              <w:rPr>
                <w:sz w:val="1"/>
                <w:szCs w:val="1"/>
                <w:color w:val="auto"/>
              </w:rPr>
            </w:pPr>
          </w:p>
        </w:tc>
      </w:tr>
      <w:tr>
        <w:trPr>
          <w:trHeight w:val="22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2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0" w:type="dxa"/>
            <w:vAlign w:val="bottom"/>
          </w:tcPr>
          <w:p>
            <w:pPr>
              <w:spacing w:after="0"/>
              <w:rPr>
                <w:sz w:val="1"/>
                <w:szCs w:val="1"/>
                <w:color w:val="auto"/>
              </w:rPr>
            </w:pPr>
          </w:p>
        </w:tc>
      </w:tr>
      <w:tr>
        <w:trPr>
          <w:trHeight w:val="230"/>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c>
          <w:tcPr>
            <w:tcW w:w="0" w:type="dxa"/>
            <w:vAlign w:val="bottom"/>
          </w:tcPr>
          <w:p>
            <w:pPr>
              <w:spacing w:after="0"/>
              <w:rPr>
                <w:sz w:val="1"/>
                <w:szCs w:val="1"/>
                <w:color w:val="auto"/>
              </w:rPr>
            </w:pPr>
          </w:p>
        </w:tc>
      </w:tr>
      <w:tr>
        <w:trPr>
          <w:trHeight w:val="234"/>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0" w:type="dxa"/>
            <w:vAlign w:val="bottom"/>
          </w:tcPr>
          <w:p>
            <w:pPr>
              <w:spacing w:after="0"/>
              <w:rPr>
                <w:sz w:val="1"/>
                <w:szCs w:val="1"/>
                <w:color w:val="auto"/>
              </w:rPr>
            </w:pPr>
          </w:p>
        </w:tc>
      </w:tr>
    </w:tbl>
    <w:p>
      <w:pPr>
        <w:ind w:left="1380" w:hanging="593"/>
        <w:spacing w:after="0"/>
        <w:tabs>
          <w:tab w:leader="none" w:pos="13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p>
      <w:pPr>
        <w:spacing w:after="0" w:line="395"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49" w:lineRule="exact"/>
        <w:rPr>
          <w:rFonts w:ascii="Times New Roman" w:cs="Times New Roman" w:eastAsia="Times New Roman" w:hAnsi="Times New Roman"/>
          <w:sz w:val="18"/>
          <w:szCs w:val="18"/>
          <w:color w:val="auto"/>
        </w:rPr>
      </w:pPr>
    </w:p>
    <w:p>
      <w:pPr>
        <w:ind w:left="820" w:hanging="49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-299085</wp:posOffset>
            </wp:positionV>
            <wp:extent cx="67551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pacing w:after="0" w:line="30" w:lineRule="exact"/>
        <w:rPr>
          <w:sz w:val="20"/>
          <w:szCs w:val="20"/>
          <w:color w:val="auto"/>
        </w:rPr>
      </w:pPr>
    </w:p>
    <w:p>
      <w:pPr>
        <w:ind w:left="820" w:hanging="49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19" w:right="4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Quarterly Report on Form 10-Q to be signed on its behalf by the undersigned, thereunto duly authorized, in Scottsdale, Arizona, on May 9, 2024.</w:t>
      </w:r>
    </w:p>
    <w:p>
      <w:pPr>
        <w:spacing w:after="0" w:line="1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229" w:lineRule="exact"/>
        <w:rPr>
          <w:sz w:val="20"/>
          <w:szCs w:val="20"/>
          <w:color w:val="auto"/>
        </w:rPr>
      </w:pPr>
    </w:p>
    <w:tbl>
      <w:tblPr>
        <w:tblLayout w:type="fixed"/>
        <w:tblInd w:w="51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C. Loeffler, II</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C. Loeffler, II</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required under the Securities Act of 1933, this Quarterly Report on Form 10-Q has been signed below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66"/>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C. Loeffler, II</w:t>
            </w: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9, 2024</w:t>
            </w:r>
          </w:p>
        </w:tc>
      </w:tr>
      <w:tr>
        <w:trPr>
          <w:trHeight w:val="228"/>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C. Loeffler, II</w:t>
            </w:r>
          </w:p>
        </w:tc>
        <w:tc>
          <w:tcPr>
            <w:tcW w:w="100" w:type="dxa"/>
            <w:vAlign w:val="bottom"/>
          </w:tcPr>
          <w:p>
            <w:pPr>
              <w:spacing w:after="0"/>
              <w:rPr>
                <w:sz w:val="19"/>
                <w:szCs w:val="19"/>
                <w:color w:val="auto"/>
              </w:rPr>
            </w:pPr>
          </w:p>
        </w:tc>
        <w:tc>
          <w:tcPr>
            <w:tcW w:w="616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00" w:type="dxa"/>
            <w:vAlign w:val="bottom"/>
          </w:tcPr>
          <w:p>
            <w:pPr>
              <w:spacing w:after="0"/>
              <w:rPr>
                <w:sz w:val="19"/>
                <w:szCs w:val="19"/>
                <w:color w:val="auto"/>
              </w:rPr>
            </w:pPr>
          </w:p>
        </w:tc>
      </w:tr>
      <w:tr>
        <w:trPr>
          <w:trHeight w:val="481"/>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Jade Leung</w:t>
            </w: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9, 2024</w:t>
            </w:r>
          </w:p>
        </w:tc>
      </w:tr>
      <w:tr>
        <w:trPr>
          <w:trHeight w:val="228"/>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Jade Leung</w:t>
            </w:r>
          </w:p>
        </w:tc>
        <w:tc>
          <w:tcPr>
            <w:tcW w:w="10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81"/>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Schrader</w:t>
            </w: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Vice-Chairperson</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9, 2024</w:t>
            </w:r>
          </w:p>
        </w:tc>
      </w:tr>
      <w:tr>
        <w:trPr>
          <w:trHeight w:val="228"/>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Schrader</w:t>
            </w:r>
          </w:p>
        </w:tc>
        <w:tc>
          <w:tcPr>
            <w:tcW w:w="10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900"/>
        </w:trPr>
        <w:tc>
          <w:tcPr>
            <w:tcW w:w="2980" w:type="dxa"/>
            <w:vAlign w:val="bottom"/>
          </w:tcPr>
          <w:p>
            <w:pPr>
              <w:spacing w:after="0"/>
              <w:rPr>
                <w:sz w:val="24"/>
                <w:szCs w:val="24"/>
                <w:color w:val="auto"/>
              </w:rPr>
            </w:pPr>
          </w:p>
        </w:tc>
        <w:tc>
          <w:tcPr>
            <w:tcW w:w="6160" w:type="dxa"/>
            <w:vAlign w:val="bottom"/>
            <w:gridSpan w:val="2"/>
          </w:tcPr>
          <w:p>
            <w:pPr>
              <w:jc w:val="right"/>
              <w:ind w:right="33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240"/>
          </w:cols>
          <w:pgMar w:left="320" w:top="1103"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 Loeffler, II, certify that:</w:t>
      </w:r>
    </w:p>
    <w:p>
      <w:pPr>
        <w:spacing w:after="0" w:line="23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CaliberCos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50"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820" w:val="left"/>
          <w:tab w:leader="none" w:pos="6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John C. Loeffler,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18415</wp:posOffset>
            </wp:positionV>
            <wp:extent cx="25457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8"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John C. Loeffler, II</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Jade Leung, certify that:</w:t>
      </w:r>
    </w:p>
    <w:p>
      <w:pPr>
        <w:spacing w:after="0" w:line="23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CaliberCos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50"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840" w:val="left"/>
          <w:tab w:leader="none" w:pos="6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Jade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18415</wp:posOffset>
            </wp:positionV>
            <wp:extent cx="26142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Jade Leung</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0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CaliberCos Inc. (the “Company”) on Form 10-Q, for the fiscal quarter ended March 31, 2024, as filed with the Securities and Exchange Commission on the date hereof (the “Report”), I, John C. Loeffler, II, Chief Executive Officer of CaliberCos Inc., certify, pursuant to 18 U.S.C. ss.1350, as adopted pursuant to Section 906 of the Sarbanes-Oxley Act of 2002, that, to the best of my knowledge:</w:t>
      </w:r>
    </w:p>
    <w:p>
      <w:pPr>
        <w:spacing w:after="0" w:line="190"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41" w:lineRule="exact"/>
        <w:rPr>
          <w:sz w:val="20"/>
          <w:szCs w:val="20"/>
          <w:color w:val="auto"/>
        </w:rPr>
      </w:pPr>
    </w:p>
    <w:p>
      <w:pPr>
        <w:ind w:left="20"/>
        <w:spacing w:after="0"/>
        <w:tabs>
          <w:tab w:leader="none" w:pos="840" w:val="left"/>
          <w:tab w:leader="none" w:pos="6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John C. Loeffler,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18415</wp:posOffset>
            </wp:positionV>
            <wp:extent cx="26142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John C. Loeffler, II</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CaliberCos Inc. (the “Company”) on Form 10-Q, for the fiscal quarter ended March 31, 2024, as filed with the Securities and Exchange Commission on the date hereof (the “Report”), I, Jade Leung, Chief Financial Officer of CaliberCos Inc., certify, pursuant to 18 U.S.C. ss.1350, as adopted pursuant to Section 906 of the Sarbanes-Oxley Act of 2002, that, to the best of my knowledge:</w:t>
      </w:r>
    </w:p>
    <w:p>
      <w:pPr>
        <w:spacing w:after="0" w:line="190"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41" w:lineRule="exact"/>
        <w:rPr>
          <w:sz w:val="20"/>
          <w:szCs w:val="20"/>
          <w:color w:val="auto"/>
        </w:rPr>
      </w:pPr>
    </w:p>
    <w:p>
      <w:pPr>
        <w:ind w:left="20"/>
        <w:spacing w:after="0"/>
        <w:tabs>
          <w:tab w:leader="none" w:pos="840" w:val="left"/>
          <w:tab w:leader="none" w:pos="6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Jade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18415</wp:posOffset>
            </wp:positionV>
            <wp:extent cx="26142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Jade Leung</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Roman"/>
      <w:start w:val="3"/>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lowerRoman"/>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Roman"/>
      <w:start w:val="3"/>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lvl w:ilvl="1">
      <w:lvlJc w:val="left"/>
      <w:lvlText w:val="%2"/>
      <w:numFmt w:val="decimal"/>
      <w:start w:val="104"/>
    </w:lvl>
  </w:abstractNum>
  <w:abstractNum w:abstractNumId="23">
    <w:nsid w:val="189A769B"/>
    <w:multiLevelType w:val="hybridMultilevel"/>
    <w:lvl w:ilvl="0">
      <w:lvlJc w:val="left"/>
      <w:lvlText w:val="**"/>
      <w:numFmt w:val="bullet"/>
      <w:start w:val="1"/>
    </w:lvl>
    <w:lvl w:ilvl="1">
      <w:lvlJc w:val="left"/>
      <w:lvlText w:val="%2"/>
      <w:numFmt w:val="decimal"/>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87" Type="http://schemas.openxmlformats.org/officeDocument/2006/relationships/hyperlink" Target="https://www.sec.gov/Archives/edgar/data/1627282/000110465923062737/tm2316200d1_ex3-1.htm" TargetMode="External"/><Relationship Id="rId88" Type="http://schemas.openxmlformats.org/officeDocument/2006/relationships/hyperlink" Target="https://www.sec.gov/Archives/edgar/data/1627282/000110465923062737/tm2316200d1_ex3-2.htm" TargetMode="External"/><Relationship Id="rId89" Type="http://schemas.openxmlformats.org/officeDocument/2006/relationships/hyperlink" Target="https://www.sec.gov/Archives/edgar/data/1627282/000162728224000039/exhibit41-descriptionofsec.htm" TargetMode="External"/><Relationship Id="rId90" Type="http://schemas.openxmlformats.org/officeDocument/2006/relationships/hyperlink" Target="https://www.sec.gov/Archives/edgar/data/1627282/000110465922112555/tm2228946d1_ex4-1.htm" TargetMode="External"/><Relationship Id="rId91" Type="http://schemas.openxmlformats.org/officeDocument/2006/relationships/hyperlink" Target="https://www.sec.gov/Archives/edgar/data/1627282/000110465923035668/tm2230806d13_ex4-2.htm" TargetMode="External"/><Relationship Id="rId92" Type="http://schemas.openxmlformats.org/officeDocument/2006/relationships/hyperlink" Target="https://www.sec.gov/Archives/edgar/data/1627282/000114420419030743/tv515450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2024-05-10T05:21:15Z</dcterms:created>
  <dcterms:modified xsi:type="dcterms:W3CDTF">2024-05-10T05:21:15Z</dcterms:modified>
</cp:coreProperties>
</file>