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546100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563245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March 25, 2026</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CALIBERCOS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16" w:lineRule="exact"/>
        <w:rPr>
          <w:sz w:val="24"/>
          <w:szCs w:val="24"/>
          <w:color w:val="auto"/>
        </w:rPr>
      </w:pPr>
    </w:p>
    <w:tbl>
      <w:tblPr>
        <w:tblLayout w:type="fixed"/>
        <w:tblInd w:w="1460" w:type="dxa"/>
        <w:tblCellMar>
          <w:top w:w="0" w:type="dxa"/>
          <w:left w:w="0" w:type="dxa"/>
          <w:bottom w:w="0" w:type="dxa"/>
          <w:right w:w="0" w:type="dxa"/>
        </w:tblCellMar>
      </w:tblPr>
      <w:tr>
        <w:trPr>
          <w:trHeight w:val="148"/>
        </w:trPr>
        <w:tc>
          <w:tcPr>
            <w:tcW w:w="2880" w:type="dxa"/>
            <w:vAlign w:val="bottom"/>
          </w:tcPr>
          <w:p>
            <w:pPr>
              <w:spacing w:after="0"/>
              <w:rPr>
                <w:sz w:val="12"/>
                <w:szCs w:val="12"/>
                <w:color w:val="auto"/>
              </w:rPr>
            </w:pPr>
          </w:p>
        </w:tc>
        <w:tc>
          <w:tcPr>
            <w:tcW w:w="4980" w:type="dxa"/>
            <w:vAlign w:val="bottom"/>
          </w:tcPr>
          <w:p>
            <w:pPr>
              <w:jc w:val="center"/>
              <w:ind w:right="2320"/>
              <w:spacing w:after="0"/>
              <w:rPr>
                <w:sz w:val="20"/>
                <w:szCs w:val="20"/>
                <w:color w:val="auto"/>
              </w:rPr>
            </w:pPr>
            <w:r>
              <w:rPr>
                <w:rFonts w:ascii="Times New Roman" w:cs="Times New Roman" w:eastAsia="Times New Roman" w:hAnsi="Times New Roman"/>
                <w:sz w:val="12"/>
                <w:szCs w:val="12"/>
                <w:b w:val="1"/>
                <w:bCs w:val="1"/>
                <w:color w:val="auto"/>
                <w:w w:val="98"/>
              </w:rPr>
              <w:t>Delaware</w:t>
            </w:r>
          </w:p>
        </w:tc>
      </w:tr>
      <w:tr>
        <w:trPr>
          <w:trHeight w:val="155"/>
        </w:trPr>
        <w:tc>
          <w:tcPr>
            <w:tcW w:w="2880" w:type="dxa"/>
            <w:vAlign w:val="bottom"/>
          </w:tcPr>
          <w:p>
            <w:pPr>
              <w:spacing w:after="0"/>
              <w:rPr>
                <w:sz w:val="13"/>
                <w:szCs w:val="13"/>
                <w:color w:val="auto"/>
              </w:rPr>
            </w:pPr>
          </w:p>
        </w:tc>
        <w:tc>
          <w:tcPr>
            <w:tcW w:w="4980" w:type="dxa"/>
            <w:vAlign w:val="bottom"/>
          </w:tcPr>
          <w:p>
            <w:pPr>
              <w:jc w:val="center"/>
              <w:ind w:right="2320"/>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r>
      <w:tr>
        <w:trPr>
          <w:trHeight w:val="297"/>
        </w:trPr>
        <w:tc>
          <w:tcPr>
            <w:tcW w:w="288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001-41703</w:t>
            </w:r>
          </w:p>
        </w:tc>
        <w:tc>
          <w:tcPr>
            <w:tcW w:w="498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47-2426901</w:t>
            </w:r>
          </w:p>
        </w:tc>
      </w:tr>
      <w:tr>
        <w:trPr>
          <w:trHeight w:val="180"/>
        </w:trPr>
        <w:tc>
          <w:tcPr>
            <w:tcW w:w="288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4980" w:type="dxa"/>
            <w:vAlign w:val="bottom"/>
          </w:tcPr>
          <w:p>
            <w:pPr>
              <w:jc w:val="center"/>
              <w:ind w:left="3260"/>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378"/>
        </w:trPr>
        <w:tc>
          <w:tcPr>
            <w:tcW w:w="288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8901 E. Mountain View Rd. Ste. 150, Scottsdale, AZ</w:t>
            </w:r>
          </w:p>
        </w:tc>
        <w:tc>
          <w:tcPr>
            <w:tcW w:w="4980" w:type="dxa"/>
            <w:vAlign w:val="bottom"/>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85258</w:t>
            </w:r>
          </w:p>
        </w:tc>
      </w:tr>
      <w:tr>
        <w:trPr>
          <w:trHeight w:val="180"/>
        </w:trPr>
        <w:tc>
          <w:tcPr>
            <w:tcW w:w="288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4980" w:type="dxa"/>
            <w:vAlign w:val="bottom"/>
          </w:tcPr>
          <w:p>
            <w:pPr>
              <w:jc w:val="center"/>
              <w:ind w:left="3260"/>
              <w:spacing w:after="0"/>
              <w:rPr>
                <w:sz w:val="20"/>
                <w:szCs w:val="20"/>
                <w:color w:val="auto"/>
              </w:rPr>
            </w:pPr>
            <w:r>
              <w:rPr>
                <w:rFonts w:ascii="Times New Roman" w:cs="Times New Roman" w:eastAsia="Times New Roman" w:hAnsi="Times New Roman"/>
                <w:sz w:val="12"/>
                <w:szCs w:val="12"/>
                <w:color w:val="auto"/>
              </w:rPr>
              <w:t>(Zip Code)</w:t>
            </w:r>
          </w:p>
        </w:tc>
      </w:tr>
    </w:tbl>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(480) 295-7600</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19"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116" w:lineRule="exact"/>
        <w:rPr>
          <w:sz w:val="24"/>
          <w:szCs w:val="24"/>
          <w:color w:val="auto"/>
        </w:rPr>
      </w:pPr>
    </w:p>
    <w:p>
      <w:pPr>
        <w:ind w:left="680" w:hanging="460"/>
        <w:spacing w:after="0"/>
        <w:tabs>
          <w:tab w:leader="none" w:pos="6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Wingdings" w:cs="Wingdings" w:eastAsia="Wingdings" w:hAnsi="Wingdings"/>
          <w:sz w:val="12"/>
          <w:szCs w:val="12"/>
          <w:b w:val="1"/>
          <w:bCs w:val="1"/>
          <w:color w:val="auto"/>
        </w:rPr>
      </w:pPr>
    </w:p>
    <w:p>
      <w:pPr>
        <w:ind w:left="680" w:hanging="460"/>
        <w:spacing w:after="0"/>
        <w:tabs>
          <w:tab w:leader="none" w:pos="6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Wingdings" w:cs="Wingdings" w:eastAsia="Wingdings" w:hAnsi="Wingdings"/>
          <w:sz w:val="12"/>
          <w:szCs w:val="12"/>
          <w:b w:val="1"/>
          <w:bCs w:val="1"/>
          <w:color w:val="auto"/>
        </w:rPr>
      </w:pPr>
    </w:p>
    <w:p>
      <w:pPr>
        <w:ind w:left="680" w:hanging="460"/>
        <w:spacing w:after="0"/>
        <w:tabs>
          <w:tab w:leader="none" w:pos="6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Wingdings" w:cs="Wingdings" w:eastAsia="Wingdings" w:hAnsi="Wingdings"/>
          <w:sz w:val="12"/>
          <w:szCs w:val="12"/>
          <w:b w:val="1"/>
          <w:bCs w:val="1"/>
          <w:color w:val="auto"/>
        </w:rPr>
      </w:pPr>
    </w:p>
    <w:p>
      <w:pPr>
        <w:ind w:left="680" w:hanging="460"/>
        <w:spacing w:after="0"/>
        <w:tabs>
          <w:tab w:leader="none" w:pos="6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87" w:lineRule="exact"/>
        <w:rPr>
          <w:sz w:val="24"/>
          <w:szCs w:val="24"/>
          <w:color w:val="auto"/>
        </w:rPr>
      </w:pPr>
    </w:p>
    <w:tbl>
      <w:tblPr>
        <w:tblLayout w:type="fixed"/>
        <w:tblInd w:w="10" w:type="dxa"/>
        <w:tblCellMar>
          <w:top w:w="0" w:type="dxa"/>
          <w:left w:w="0" w:type="dxa"/>
          <w:bottom w:w="0" w:type="dxa"/>
          <w:right w:w="0" w:type="dxa"/>
        </w:tblCellMar>
      </w:tblPr>
      <w:tr>
        <w:trPr>
          <w:trHeight w:val="180"/>
        </w:trPr>
        <w:tc>
          <w:tcPr>
            <w:tcW w:w="4060" w:type="dxa"/>
            <w:vAlign w:val="bottom"/>
            <w:tcBorders>
              <w:top w:val="single" w:sz="8" w:color="auto"/>
              <w:left w:val="single" w:sz="8" w:color="auto"/>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69"/>
        </w:trPr>
        <w:tc>
          <w:tcPr>
            <w:tcW w:w="4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Class A Common Stock, par value $0.001</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CWD</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24" w:lineRule="exact"/>
        <w:rPr>
          <w:sz w:val="24"/>
          <w:szCs w:val="24"/>
          <w:color w:val="auto"/>
        </w:rPr>
      </w:pPr>
    </w:p>
    <w:p>
      <w:pPr>
        <w:jc w:val="both"/>
        <w:ind w:left="9820" w:hanging="9836"/>
        <w:spacing w:after="0" w:line="375"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Wingdings" w:cs="Wingdings" w:eastAsia="Wingdings" w:hAnsi="Wingdings"/>
          <w:sz w:val="12"/>
          <w:szCs w:val="12"/>
          <w:b w:val="1"/>
          <w:bCs w:val="1"/>
          <w:color w:val="auto"/>
        </w:rPr>
        <w:t>x</w:t>
      </w:r>
    </w:p>
    <w:p>
      <w:pPr>
        <w:spacing w:after="0" w:line="1"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493395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54610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71755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053"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March 25, 2026, CaliberCos Inc. (the “Company”) issued a press release and earnings supplemental reporting fourth quarter financial results. The Company also released supplemental financial results for its asset management “Platform” business. A copy of the press release, earnings supplemental, and Platform supplemental financial results are attached hereto as Exhibit 99.1, Exhibit 99.2, and Exhibit 99.3 and the information therein is incorporated herein by reference.</w:t>
      </w:r>
    </w:p>
    <w:p>
      <w:pPr>
        <w:spacing w:after="0" w:line="13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2"/>
          <w:szCs w:val="12"/>
          <w:i w:val="1"/>
          <w:iCs w:val="1"/>
          <w:color w:val="auto"/>
        </w:rPr>
        <w:t>The information contained in this Item 2.02 and in the accompanying Exhibit 99.1, Exhibit 99.2, and Exhibit 99.3 shall not be deemed filed for purposes of Section 18 of the Securities Exchange Act of 1934, as amended (the “Exchange Act”), or incorporated by reference in any filing under the Exchange Act or the Securities Act of 1933, as amended (the “Securities Act”), except as shall be expressly set forth by specific reference in such filing.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information under Item 2.02, above, is incorporated herein by reference.</w:t>
      </w:r>
    </w:p>
    <w:p>
      <w:pPr>
        <w:spacing w:after="0" w:line="1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i w:val="1"/>
          <w:iCs w:val="1"/>
          <w:color w:val="auto"/>
        </w:rPr>
        <w:t>The information reported under Items 2.02 and 7.01 in this Current Report on Form 8-K, including Exhibit 99.1, Exhibit 99.3, and Exhibit 99.3 attached hereto, shall not be deemed filed for purposes of Section 18 of the Exchange Act or otherwise subject to the liabilities of that section, nor shall it be deemed incorporated by reference in any filing under the Securities Act or the Exchange Act, regardless of any general incorporation language in such filing.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00" w:type="dxa"/>
            <w:vAlign w:val="bottom"/>
            <w:gridSpan w:val="4"/>
          </w:tcPr>
          <w:p>
            <w:pPr>
              <w:ind w:left="200"/>
              <w:spacing w:after="0"/>
              <w:rPr>
                <w:sz w:val="20"/>
                <w:szCs w:val="20"/>
                <w:color w:val="auto"/>
              </w:rPr>
            </w:pPr>
            <w:r>
              <w:rPr>
                <w:rFonts w:ascii="Times New Roman" w:cs="Times New Roman" w:eastAsia="Times New Roman" w:hAnsi="Times New Roman"/>
                <w:sz w:val="12"/>
                <w:szCs w:val="12"/>
                <w:color w:val="auto"/>
              </w:rPr>
              <w:t>(d) Exhibits</w:t>
            </w:r>
          </w:p>
        </w:tc>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40" w:type="dxa"/>
            <w:vAlign w:val="bottom"/>
          </w:tcPr>
          <w:p>
            <w:pPr>
              <w:spacing w:after="0"/>
              <w:rPr>
                <w:sz w:val="13"/>
                <w:szCs w:val="13"/>
                <w:color w:val="auto"/>
              </w:rPr>
            </w:pPr>
          </w:p>
        </w:tc>
      </w:tr>
      <w:tr>
        <w:trPr>
          <w:trHeight w:val="309"/>
        </w:trPr>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68"/>
        </w:trPr>
        <w:tc>
          <w:tcPr>
            <w:tcW w:w="480" w:type="dxa"/>
            <w:vAlign w:val="bottom"/>
          </w:tcPr>
          <w:p>
            <w:pPr>
              <w:spacing w:after="0"/>
              <w:rPr>
                <w:sz w:val="14"/>
                <w:szCs w:val="14"/>
                <w:color w:val="auto"/>
              </w:rPr>
            </w:pPr>
          </w:p>
        </w:tc>
        <w:tc>
          <w:tcPr>
            <w:tcW w:w="720" w:type="dxa"/>
            <w:vAlign w:val="bottom"/>
            <w:gridSpan w:val="3"/>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w w:val="90"/>
              </w:rPr>
              <w:t>No.</w:t>
            </w:r>
          </w:p>
        </w:tc>
        <w:tc>
          <w:tcPr>
            <w:tcW w:w="20" w:type="dxa"/>
            <w:vAlign w:val="bottom"/>
          </w:tcPr>
          <w:p>
            <w:pPr>
              <w:spacing w:after="0"/>
              <w:rPr>
                <w:sz w:val="14"/>
                <w:szCs w:val="14"/>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r>
      <w:tr>
        <w:trPr>
          <w:trHeight w:val="133"/>
        </w:trPr>
        <w:tc>
          <w:tcPr>
            <w:tcW w:w="660" w:type="dxa"/>
            <w:vAlign w:val="bottom"/>
            <w:tcBorders>
              <w:top w:val="single" w:sz="8" w:color="auto"/>
            </w:tcBorders>
            <w:gridSpan w:val="2"/>
          </w:tcPr>
          <w:p>
            <w:pPr>
              <w:jc w:val="center"/>
              <w:ind w:left="400"/>
              <w:spacing w:after="0" w:line="133"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80" w:type="dxa"/>
            <w:vAlign w:val="bottom"/>
            <w:tcBorders>
              <w:top w:val="single" w:sz="8" w:color="auto"/>
            </w:tcBorders>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Press release dated March 27, 2026 relating to fourth quarter financial results and related matters</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160"/>
        </w:trPr>
        <w:tc>
          <w:tcPr>
            <w:tcW w:w="660" w:type="dxa"/>
            <w:vAlign w:val="bottom"/>
            <w:gridSpan w:val="2"/>
          </w:tcPr>
          <w:p>
            <w:pPr>
              <w:jc w:val="center"/>
              <w:ind w:left="400"/>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Earnings supplemental related to the fourth quarter financial results and related matters</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160"/>
        </w:trPr>
        <w:tc>
          <w:tcPr>
            <w:tcW w:w="660" w:type="dxa"/>
            <w:vAlign w:val="bottom"/>
            <w:gridSpan w:val="2"/>
          </w:tcPr>
          <w:p>
            <w:pPr>
              <w:jc w:val="center"/>
              <w:ind w:left="400"/>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3</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Platform supplemental financial results with fourth quarter financial results</w:t>
            </w:r>
          </w:p>
        </w:tc>
      </w:tr>
      <w:tr>
        <w:trPr>
          <w:trHeight w:val="20"/>
        </w:trPr>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6480" w:type="dxa"/>
            <w:vAlign w:val="bottom"/>
            <w:gridSpan w:val="3"/>
          </w:tcPr>
          <w:p>
            <w:pPr>
              <w:spacing w:after="0" w:line="20" w:lineRule="exact"/>
              <w:rPr>
                <w:sz w:val="1"/>
                <w:szCs w:val="1"/>
                <w:color w:val="auto"/>
              </w:rPr>
            </w:pPr>
          </w:p>
        </w:tc>
      </w:tr>
      <w:tr>
        <w:trPr>
          <w:trHeight w:val="187"/>
        </w:trPr>
        <w:tc>
          <w:tcPr>
            <w:tcW w:w="660" w:type="dxa"/>
            <w:vAlign w:val="bottom"/>
            <w:gridSpan w:val="2"/>
          </w:tcPr>
          <w:p>
            <w:pPr>
              <w:jc w:val="center"/>
              <w:ind w:left="380"/>
              <w:spacing w:after="0"/>
              <w:rPr>
                <w:sz w:val="20"/>
                <w:szCs w:val="20"/>
                <w:color w:val="auto"/>
              </w:rPr>
            </w:pPr>
            <w:r>
              <w:rPr>
                <w:rFonts w:ascii="Times New Roman" w:cs="Times New Roman" w:eastAsia="Times New Roman" w:hAnsi="Times New Roman"/>
                <w:sz w:val="12"/>
                <w:szCs w:val="12"/>
                <w:color w:val="auto"/>
                <w:w w:val="99"/>
              </w:rPr>
              <w:t>104</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93"/>
        </w:trPr>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280" w:type="dxa"/>
            <w:vAlign w:val="bottom"/>
            <w:gridSpan w:val="2"/>
          </w:tcPr>
          <w:p>
            <w:pPr>
              <w:ind w:left="5280"/>
              <w:spacing w:after="0"/>
              <w:rPr>
                <w:sz w:val="20"/>
                <w:szCs w:val="20"/>
                <w:color w:val="auto"/>
              </w:rPr>
            </w:pPr>
            <w:r>
              <w:rPr>
                <w:rFonts w:ascii="Times New Roman" w:cs="Times New Roman" w:eastAsia="Times New Roman" w:hAnsi="Times New Roman"/>
                <w:sz w:val="12"/>
                <w:szCs w:val="12"/>
                <w:b w:val="1"/>
                <w:bCs w:val="1"/>
                <w:color w:val="auto"/>
              </w:rPr>
              <w:t>CaliberCos Inc.</w:t>
            </w:r>
          </w:p>
        </w:tc>
      </w:tr>
      <w:tr>
        <w:trPr>
          <w:trHeight w:val="360"/>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March 25, 2026</w:t>
            </w:r>
          </w:p>
        </w:tc>
        <w:tc>
          <w:tcPr>
            <w:tcW w:w="5280" w:type="dxa"/>
            <w:vAlign w:val="bottom"/>
          </w:tcPr>
          <w:p>
            <w:pPr>
              <w:spacing w:after="0"/>
              <w:rPr>
                <w:sz w:val="24"/>
                <w:szCs w:val="24"/>
                <w:color w:val="auto"/>
              </w:rPr>
            </w:pPr>
          </w:p>
        </w:tc>
      </w:tr>
      <w:tr>
        <w:trPr>
          <w:trHeight w:val="369"/>
        </w:trPr>
        <w:tc>
          <w:tcPr>
            <w:tcW w:w="6000" w:type="dxa"/>
            <w:vAlign w:val="bottom"/>
          </w:tcPr>
          <w:p>
            <w:pPr>
              <w:ind w:left="5280"/>
              <w:spacing w:after="0"/>
              <w:rPr>
                <w:sz w:val="20"/>
                <w:szCs w:val="20"/>
                <w:color w:val="auto"/>
              </w:rPr>
            </w:pPr>
            <w:r>
              <w:rPr>
                <w:rFonts w:ascii="Times New Roman" w:cs="Times New Roman" w:eastAsia="Times New Roman" w:hAnsi="Times New Roman"/>
                <w:sz w:val="12"/>
                <w:szCs w:val="12"/>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/s/ John C. Loeffler, II</w:t>
            </w:r>
          </w:p>
        </w:tc>
      </w:tr>
      <w:tr>
        <w:trPr>
          <w:trHeight w:val="160"/>
        </w:trPr>
        <w:tc>
          <w:tcPr>
            <w:tcW w:w="6000" w:type="dxa"/>
            <w:vAlign w:val="bottom"/>
          </w:tcPr>
          <w:p>
            <w:pPr>
              <w:ind w:left="5280"/>
              <w:spacing w:after="0"/>
              <w:rPr>
                <w:sz w:val="20"/>
                <w:szCs w:val="20"/>
                <w:color w:val="auto"/>
              </w:rPr>
            </w:pPr>
            <w:r>
              <w:rPr>
                <w:rFonts w:ascii="Times New Roman" w:cs="Times New Roman" w:eastAsia="Times New Roman" w:hAnsi="Times New Roman"/>
                <w:sz w:val="12"/>
                <w:szCs w:val="12"/>
                <w:color w:val="auto"/>
              </w:rPr>
              <w:t>Name:</w:t>
            </w: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John C. Loeffler, II</w:t>
            </w:r>
          </w:p>
        </w:tc>
      </w:tr>
      <w:tr>
        <w:trPr>
          <w:trHeight w:val="180"/>
        </w:trPr>
        <w:tc>
          <w:tcPr>
            <w:tcW w:w="6000" w:type="dxa"/>
            <w:vAlign w:val="bottom"/>
          </w:tcPr>
          <w:p>
            <w:pPr>
              <w:ind w:left="5280"/>
              <w:spacing w:after="0"/>
              <w:rPr>
                <w:sz w:val="20"/>
                <w:szCs w:val="20"/>
                <w:color w:val="auto"/>
              </w:rPr>
            </w:pPr>
            <w:r>
              <w:rPr>
                <w:rFonts w:ascii="Times New Roman" w:cs="Times New Roman" w:eastAsia="Times New Roman" w:hAnsi="Times New Roman"/>
                <w:sz w:val="12"/>
                <w:szCs w:val="12"/>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Chairman and Chief Executive Officer</w:t>
            </w:r>
          </w:p>
        </w:tc>
      </w:tr>
    </w:tbl>
    <w:p>
      <w:pPr>
        <w:sectPr>
          <w:pgSz w:w="11900" w:h="16838" w:orient="portrait"/>
          <w:cols w:equalWidth="0" w:num="1">
            <w:col w:w="11280"/>
          </w:cols>
          <w:pgMar w:left="300" w:top="809"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161925</wp:posOffset>
            </wp:positionV>
            <wp:extent cx="2943225" cy="891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4322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Caliber Reports Fourth Quarter and Full Year 2025 Results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Establishes 2026 Guidance: Revenue Range of $18 Million to $22 Million with Positive Net Operating Income and Adjusted EBITDA Profitability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SCOTTSDALE, AZ, </w:t>
      </w:r>
      <w:r>
        <w:rPr>
          <w:rFonts w:ascii="Times New Roman" w:cs="Times New Roman" w:eastAsia="Times New Roman" w:hAnsi="Times New Roman"/>
          <w:sz w:val="14"/>
          <w:szCs w:val="14"/>
          <w:color w:val="auto"/>
        </w:rPr>
        <w:t>March 25, 2026</w:t>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auto"/>
        </w:rPr>
        <w:t>Caliber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252525"/>
        </w:rPr>
        <w:t>(Nasdaq: CWD), a diversified real estate and digital asset management platform,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today reported results for the fourth quarter and full year ended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December 31, 2025. Caliber enters 2026 with a streamlined platform and a clear path toward revenue growth and profitability, driven by the expected execution of project-level financings and continued capital formation activities.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Fourth Quarter </w:t>
      </w:r>
      <w:r>
        <w:rPr>
          <w:rFonts w:ascii="Times New Roman" w:cs="Times New Roman" w:eastAsia="Times New Roman" w:hAnsi="Times New Roman"/>
          <w:sz w:val="15"/>
          <w:szCs w:val="15"/>
          <w:b w:val="1"/>
          <w:bCs w:val="1"/>
          <w:color w:val="auto"/>
        </w:rPr>
        <w:t>2025</w:t>
      </w:r>
      <w:r>
        <w:rPr>
          <w:rFonts w:ascii="Times New Roman" w:cs="Times New Roman" w:eastAsia="Times New Roman" w:hAnsi="Times New Roman"/>
          <w:sz w:val="14"/>
          <w:szCs w:val="14"/>
          <w:b w:val="1"/>
          <w:bCs w:val="1"/>
          <w:color w:val="auto"/>
        </w:rPr>
        <w:t xml:space="preserve"> (compared to Fourth Quarter </w:t>
      </w:r>
      <w:r>
        <w:rPr>
          <w:rFonts w:ascii="Times New Roman" w:cs="Times New Roman" w:eastAsia="Times New Roman" w:hAnsi="Times New Roman"/>
          <w:sz w:val="15"/>
          <w:szCs w:val="15"/>
          <w:b w:val="1"/>
          <w:bCs w:val="1"/>
          <w:color w:val="auto"/>
        </w:rPr>
        <w:t>2024</w:t>
      </w:r>
      <w:r>
        <w:rPr>
          <w:rFonts w:ascii="Times New Roman" w:cs="Times New Roman" w:eastAsia="Times New Roman" w:hAnsi="Times New Roman"/>
          <w:sz w:val="14"/>
          <w:szCs w:val="14"/>
          <w:b w:val="1"/>
          <w:bCs w:val="1"/>
          <w:color w:val="auto"/>
        </w:rPr>
        <w:t>)</w:t>
      </w:r>
    </w:p>
    <w:p>
      <w:pPr>
        <w:spacing w:after="0" w:line="175"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Platform revenue of $4.0 million, compared to $4.6 million</w:t>
      </w:r>
    </w:p>
    <w:p>
      <w:pPr>
        <w:spacing w:after="0" w:line="17"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management revenue of $4.0 million drove the stated results</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Platform net loss of $7.7 million, or $1.24 per diluted share, compared to Platform net loss of $11.6 million, or $10.34 per diluted share</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largely impacted by $5.1 million unrealized loss in Caliber’s LINK treasury, driven by the change in fair value of digital assets</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Platform Adjusted EBITDA loss of $0.4 million, compared to Platform Adjusted EBITDA loss of $1.0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Full Year 2025 Platform Financial Highlights (compared to Full Year 2024)</w:t>
      </w:r>
    </w:p>
    <w:p>
      <w:pPr>
        <w:spacing w:after="0" w:line="165"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Platform revenue of $15.2 million, compared to $20.9 million</w:t>
      </w:r>
    </w:p>
    <w:p>
      <w:pPr>
        <w:spacing w:after="0" w:line="17"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management revenue of $15.2 million reflecting the timing of project financings and development activity, drove the stated results</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Platform net loss of $21.2 million, or $7.50 per diluted share, compared to Platform net loss of $19.6 million</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or $17.86 per diluted share</w:t>
      </w:r>
    </w:p>
    <w:p>
      <w:pPr>
        <w:ind w:left="860" w:hanging="220"/>
        <w:spacing w:after="0"/>
        <w:tabs>
          <w:tab w:leader="none" w:pos="86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Losses largely impacted by $5.8 million change in fair value of digital assets</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Platform Adjusted EBITDA loss of $2.4 million, compared to Platform Adjusted EBITDA loss of $2.7 million</w:t>
      </w:r>
    </w:p>
    <w:p>
      <w:pPr>
        <w:spacing w:after="0" w:line="1" w:lineRule="exact"/>
        <w:rPr>
          <w:rFonts w:ascii="Times New Roman" w:cs="Times New Roman" w:eastAsia="Times New Roman" w:hAnsi="Times New Roman"/>
          <w:sz w:val="14"/>
          <w:szCs w:val="14"/>
          <w:color w:val="auto"/>
        </w:rPr>
      </w:pPr>
    </w:p>
    <w:p>
      <w:pPr>
        <w:ind w:left="420" w:right="20" w:hanging="212"/>
        <w:spacing w:after="0" w:line="258" w:lineRule="auto"/>
        <w:tabs>
          <w:tab w:leader="none" w:pos="4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assets under management (“FV AUM”) of $779.7 million, a 1.9% decrease compared to December 31, 2024, primarily due to disposition of three hospitality assets and various land parcels, partially offset by the acquisition of a self-storage property and a land parcel intended for hotel development</w:t>
      </w:r>
    </w:p>
    <w:p>
      <w:pPr>
        <w:sectPr>
          <w:pgSz w:w="11900" w:h="16838" w:orient="portrait"/>
          <w:cols w:equalWidth="0" w:num="1">
            <w:col w:w="11300"/>
          </w:cols>
          <w:pgMar w:left="300" w:top="611" w:right="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37"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Managed capital of $517.2 million, a 5.0% increase compared to December 31, 2024, with originations of $26.5 million, partially offset by return of capital of $1.9 million</w:t>
      </w:r>
    </w:p>
    <w:p>
      <w:pPr>
        <w:spacing w:after="0" w:line="3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The year-over-year decrease in platform revenue was primarily driven by the timing of development and financing activities, as several projects progressed but did not reach revenue-generating milestones within the fiscal year.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Fourth Quarter </w:t>
      </w:r>
      <w:r>
        <w:rPr>
          <w:rFonts w:ascii="Times New Roman" w:cs="Times New Roman" w:eastAsia="Times New Roman" w:hAnsi="Times New Roman"/>
          <w:sz w:val="15"/>
          <w:szCs w:val="15"/>
          <w:b w:val="1"/>
          <w:bCs w:val="1"/>
          <w:color w:val="auto"/>
        </w:rPr>
        <w:t>2025 Digital Strategy Update</w:t>
      </w:r>
    </w:p>
    <w:p>
      <w:pPr>
        <w:spacing w:after="0" w:line="178"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Caliber’s digital asset treasury held 562,535 of LINK tokens valued at $6.9 million as of the end of the fourth quarter of 2025.</w:t>
      </w:r>
    </w:p>
    <w:p>
      <w:pPr>
        <w:ind w:left="420" w:hanging="212"/>
        <w:spacing w:after="0"/>
        <w:tabs>
          <w:tab w:leader="none" w:pos="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Caliber staked 75,000 LINK tokens directly with a top echelon node operator for the Chainlink oracle network, commencing the process of generating yield on its treasury assets.</w:t>
      </w:r>
    </w:p>
    <w:p>
      <w:pPr>
        <w:spacing w:after="0" w:line="1" w:lineRule="exact"/>
        <w:rPr>
          <w:rFonts w:ascii="Times New Roman" w:cs="Times New Roman" w:eastAsia="Times New Roman" w:hAnsi="Times New Roman"/>
          <w:sz w:val="14"/>
          <w:szCs w:val="14"/>
          <w:color w:val="auto"/>
        </w:rPr>
      </w:pPr>
    </w:p>
    <w:p>
      <w:pPr>
        <w:ind w:left="420" w:hanging="212"/>
        <w:spacing w:after="0" w:line="258" w:lineRule="auto"/>
        <w:tabs>
          <w:tab w:leader="none" w:pos="4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Caliber began the process of tokenizing two real estate projects, which is expected to enhance investor liquidity, improve transparency, and expand future fundraising capabilities through tokenized offerings.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 Commentary</w:t>
      </w:r>
    </w:p>
    <w:p>
      <w:pPr>
        <w:spacing w:after="0" w:line="16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4"/>
          <w:szCs w:val="14"/>
          <w:color w:val="auto"/>
        </w:rPr>
        <w:t>“While 2025 was impacted by delays in capital markets activity, our underlying assets and development projects continued to advance, positioning us for what we expect to be meaningful revenue realization as project financings close.” said Chris Loeffler, CEO of Caliber. “Management’s efforts to streamline our real estate platform and narrow our focus toward hospitality and multifamily investments gives us the confidence to offer forward-looking guidance on our anticipated financial results for 2026.”</w:t>
      </w:r>
    </w:p>
    <w:p>
      <w:pPr>
        <w:spacing w:after="0" w:line="11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“We are encouraged by the early progress of our digital asset strategy and believe blockchain technology has the potential to enhance liquidity, broaden investor access, and expand capital formation for our funds. We see a clear opportunity for Caliber to participate in the evolution of real estate investing as tokenization becomes more widely adopted.”</w:t>
      </w:r>
    </w:p>
    <w:p>
      <w:pPr>
        <w:sectPr>
          <w:pgSz w:w="11900" w:h="16838" w:orient="portrait"/>
          <w:cols w:equalWidth="0" w:num="1">
            <w:col w:w="11300"/>
          </w:cols>
          <w:pgMar w:left="300" w:top="611"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2026 Outlook and Path to Profitability</w:t>
      </w:r>
    </w:p>
    <w:p>
      <w:pPr>
        <w:spacing w:after="0" w:line="16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Caliber enters 2026 with what management believes is a path to profitability driven by the anticipated conversion of the Company’s existing project pipeline into realized revenue. The Company’s platform generates the majority of its revenues from asset management, development, and financing activities tied to its portfolio of real estate projects.</w:t>
      </w:r>
    </w:p>
    <w:p>
      <w:pPr>
        <w:spacing w:after="0" w:line="9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During 2025, revenue generation was impacted by delays in capital markets activity, which affected the timing of project financings and related fee realization. Importantly, management believes that these delays did not reduce the underlying value of the Company’s assets or its embedded revenue opportunities, but instead shifted the timing of when those revenues are expected to be recognized.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2026, Caliber expects a significant increase in revenue driven by:</w:t>
      </w:r>
    </w:p>
    <w:p>
      <w:pPr>
        <w:spacing w:after="0" w:line="172"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Execution of project-level financings across its existing portfolio, which are expected to generate development, financing, and transaction-related fees</w:t>
      </w:r>
    </w:p>
    <w:p>
      <w:pPr>
        <w:spacing w:after="0" w:line="17"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growth in managed capital through new fundraising initiatives</w:t>
      </w:r>
    </w:p>
    <w:p>
      <w:pPr>
        <w:spacing w:after="0" w:line="10"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Monetization of development projects as they reach key milestones</w:t>
      </w:r>
    </w:p>
    <w:p>
      <w:pPr>
        <w:spacing w:after="0" w:line="14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The Company expects 2026 revenue to be in the range of $18.0 million to $22.0 million with approximately 60% of its anticipated 2026 revenue growth to be driven by debt financing-related activities within its existing portfolio, with the remaining 40% of revenue growth driven by capital formation and asset management activities.</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Based on current visibility into its project pipeline and financing initiatives, Caliber believes it is well positioned to achieve adjusted EBITDA profitability and positive net operating income in 2026.</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Update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key milestones completed both during and subsequent to the fourth quarter ended December 31, 2025.</w:t>
      </w:r>
    </w:p>
    <w:p>
      <w:pPr>
        <w:spacing w:after="0" w:line="163" w:lineRule="exact"/>
        <w:rPr>
          <w:sz w:val="20"/>
          <w:szCs w:val="20"/>
          <w:color w:val="auto"/>
        </w:rPr>
      </w:pPr>
    </w:p>
    <w:p>
      <w:pPr>
        <w:jc w:val="both"/>
        <w:ind w:left="420" w:right="20" w:hanging="212"/>
        <w:spacing w:after="0" w:line="236" w:lineRule="auto"/>
        <w:tabs>
          <w:tab w:leader="none" w:pos="4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7, 2025, Caliber announced a partnership to deploy EV charging infrastructure, advancing sustainable asset enhancements across its portfolio. Caliber has partnered with Current, a leading EV infrastructure investor and developer, and InCharge Energy, the industry leader for design-build EV charging infrastructure and InService</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the Company’s customizable offering for all-brand charger service, maintenance, and on-demand repair.</w:t>
      </w:r>
    </w:p>
    <w:p>
      <w:pPr>
        <w:spacing w:after="0" w:line="136" w:lineRule="exact"/>
        <w:rPr>
          <w:rFonts w:ascii="Times New Roman" w:cs="Times New Roman" w:eastAsia="Times New Roman" w:hAnsi="Times New Roman"/>
          <w:sz w:val="14"/>
          <w:szCs w:val="14"/>
          <w:color w:val="auto"/>
        </w:rPr>
      </w:pPr>
    </w:p>
    <w:p>
      <w:pPr>
        <w:ind w:left="420" w:right="20" w:hanging="212"/>
        <w:spacing w:after="0" w:line="294" w:lineRule="auto"/>
        <w:tabs>
          <w:tab w:leader="none" w:pos="416" w:val="left"/>
        </w:tabs>
        <w:numPr>
          <w:ilvl w:val="0"/>
          <w:numId w:val="7"/>
        </w:numPr>
        <w:rPr>
          <w:rFonts w:ascii="Arial" w:cs="Arial" w:eastAsia="Arial" w:hAnsi="Arial"/>
          <w:sz w:val="14"/>
          <w:szCs w:val="14"/>
          <w:color w:val="auto"/>
        </w:rPr>
      </w:pPr>
      <w:r>
        <w:rPr>
          <w:rFonts w:ascii="Times New Roman" w:cs="Times New Roman" w:eastAsia="Times New Roman" w:hAnsi="Times New Roman"/>
          <w:sz w:val="14"/>
          <w:szCs w:val="14"/>
          <w:color w:val="auto"/>
        </w:rPr>
        <w:t>On October 31, 2025, Caliber announced that its Board of Directors has approved a Noteholder Conversion Program authorizing the ability of holders of certain of Caliber’s unsecured corporate notes to convert such notes into shares of the Company’s Class A common stock.</w:t>
      </w:r>
    </w:p>
    <w:p>
      <w:pPr>
        <w:spacing w:after="0" w:line="99" w:lineRule="exact"/>
        <w:rPr>
          <w:rFonts w:ascii="Arial" w:cs="Arial" w:eastAsia="Arial" w:hAnsi="Arial"/>
          <w:sz w:val="14"/>
          <w:szCs w:val="14"/>
          <w:color w:val="auto"/>
        </w:rPr>
      </w:pPr>
    </w:p>
    <w:p>
      <w:pPr>
        <w:ind w:left="420" w:right="20" w:hanging="212"/>
        <w:spacing w:after="0" w:line="295" w:lineRule="auto"/>
        <w:tabs>
          <w:tab w:leader="none" w:pos="4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11, 2025, Caliber announced that it had staked 75,000 LINK tokens directly with a leading Chainlink node operator. This marked the Company’s first direct participation in the core infrastructure that secures the Chainlink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983" w:right="299" w:bottom="1440" w:gutter="0" w:footer="0" w:header="0"/>
        </w:sectPr>
      </w:pPr>
    </w:p>
    <w:bookmarkStart w:id="6" w:name="page7"/>
    <w:bookmarkEnd w:id="6"/>
    <w:p>
      <w:pPr>
        <w:jc w:val="both"/>
        <w:ind w:left="420" w:right="20" w:hanging="212"/>
        <w:spacing w:after="0" w:line="268" w:lineRule="auto"/>
        <w:tabs>
          <w:tab w:leader="none" w:pos="416" w:val="left"/>
        </w:tabs>
        <w:numPr>
          <w:ilvl w:val="0"/>
          <w:numId w:val="8"/>
        </w:numPr>
        <w:rPr>
          <w:rFonts w:ascii="Arial" w:cs="Arial" w:eastAsia="Arial" w:hAnsi="Arial"/>
          <w:sz w:val="14"/>
          <w:szCs w:val="14"/>
          <w:color w:val="auto"/>
        </w:rPr>
      </w:pPr>
      <w:r>
        <w:rPr>
          <w:rFonts w:ascii="Times New Roman" w:cs="Times New Roman" w:eastAsia="Times New Roman" w:hAnsi="Times New Roman"/>
          <w:sz w:val="14"/>
          <w:szCs w:val="14"/>
          <w:color w:val="auto"/>
        </w:rPr>
        <w:t>On February 27, 2026, Caliber announced the sale of the Holiday Inn Ocotillo in the Phoenix-Chandler submarket for $13.0 million. The asset was owned by Caliber Hospitality Trust, Inc. (CHT); Caliber’s private Umbrella Partnership C-Corporation (Up-C) vehicle focused on transformational and value enhancing opportunities in the hospitality space. Sale generated liquidity intended for continued growth of the CHT platform.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Fourth Quarter </w:t>
      </w:r>
      <w:r>
        <w:rPr>
          <w:rFonts w:ascii="Times New Roman" w:cs="Times New Roman" w:eastAsia="Times New Roman" w:hAnsi="Times New Roman"/>
          <w:sz w:val="15"/>
          <w:szCs w:val="15"/>
          <w:b w:val="1"/>
          <w:bCs w:val="1"/>
          <w:color w:val="auto"/>
        </w:rPr>
        <w:t>2025</w:t>
      </w:r>
      <w:r>
        <w:rPr>
          <w:rFonts w:ascii="Times New Roman" w:cs="Times New Roman" w:eastAsia="Times New Roman" w:hAnsi="Times New Roman"/>
          <w:sz w:val="14"/>
          <w:szCs w:val="14"/>
          <w:b w:val="1"/>
          <w:bCs w:val="1"/>
          <w:color w:val="auto"/>
        </w:rPr>
        <w:t xml:space="preserve"> Consolidated Financial Results (compared to Fourth Quarter 2024)</w:t>
      </w:r>
    </w:p>
    <w:p>
      <w:pPr>
        <w:spacing w:after="0" w:line="175" w:lineRule="exact"/>
        <w:rPr>
          <w:sz w:val="20"/>
          <w:szCs w:val="20"/>
          <w:color w:val="auto"/>
        </w:rPr>
      </w:pPr>
    </w:p>
    <w:p>
      <w:pPr>
        <w:ind w:left="420" w:hanging="212"/>
        <w:spacing w:after="0"/>
        <w:tabs>
          <w:tab w:leader="none" w:pos="4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consolidated revenue of $4.1 million, compared to $8.7 million reflecting the deconsolidation of DoubleTree by Hilton Tucson Convention Center in Q2 2025</w:t>
      </w:r>
    </w:p>
    <w:p>
      <w:pPr>
        <w:spacing w:after="0" w:line="17"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loss attributable to Caliber of $7.7 million, or $1.24 per diluted share, compared to net loss attributable to Caliber of $11.4 million or $10.12 per diluted share</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Adjusted EBITDA of $0.2 million, compared to Consolidated Adjusted EBITDA of $1.5 million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Full Year </w:t>
      </w:r>
      <w:r>
        <w:rPr>
          <w:rFonts w:ascii="Times New Roman" w:cs="Times New Roman" w:eastAsia="Times New Roman" w:hAnsi="Times New Roman"/>
          <w:sz w:val="15"/>
          <w:szCs w:val="15"/>
          <w:b w:val="1"/>
          <w:bCs w:val="1"/>
          <w:color w:val="auto"/>
        </w:rPr>
        <w:t>2025</w:t>
      </w:r>
      <w:r>
        <w:rPr>
          <w:rFonts w:ascii="Times New Roman" w:cs="Times New Roman" w:eastAsia="Times New Roman" w:hAnsi="Times New Roman"/>
          <w:sz w:val="14"/>
          <w:szCs w:val="14"/>
          <w:b w:val="1"/>
          <w:bCs w:val="1"/>
          <w:color w:val="auto"/>
        </w:rPr>
        <w:t xml:space="preserve"> Consolidated Financial Results (compared to Full Year 2024)</w:t>
      </w:r>
    </w:p>
    <w:p>
      <w:pPr>
        <w:spacing w:after="0" w:line="175" w:lineRule="exact"/>
        <w:rPr>
          <w:sz w:val="20"/>
          <w:szCs w:val="20"/>
          <w:color w:val="auto"/>
        </w:rPr>
      </w:pPr>
    </w:p>
    <w:p>
      <w:pPr>
        <w:ind w:left="420" w:hanging="212"/>
        <w:spacing w:after="0"/>
        <w:tabs>
          <w:tab w:leader="none" w:pos="42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Total consolidated revenue of $20.1 million, compared to $51.1 million reflecting the deconsolidation of DoubleTree by Hilton Tucson Convention Center in Q2 2025</w:t>
      </w:r>
    </w:p>
    <w:p>
      <w:pPr>
        <w:spacing w:after="0" w:line="17" w:lineRule="exact"/>
        <w:rPr>
          <w:rFonts w:ascii="Times New Roman" w:cs="Times New Roman" w:eastAsia="Times New Roman" w:hAnsi="Times New Roman"/>
          <w:sz w:val="14"/>
          <w:szCs w:val="14"/>
          <w:i w:val="1"/>
          <w:iCs w:val="1"/>
          <w:color w:val="auto"/>
        </w:rPr>
      </w:pPr>
    </w:p>
    <w:p>
      <w:pPr>
        <w:ind w:left="420" w:hanging="212"/>
        <w:spacing w:after="0"/>
        <w:tabs>
          <w:tab w:leader="none" w:pos="4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loss attributable to Caliber of $21.8 million, or $7.70 per diluted share, compared to net loss attributable to Caliber of $19.8 million or $17.90 per diluted share</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Adjusted EBITDA loss of $0.8 million, compared to Consolidated Adjusted EBITDA of $7.0 million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Conference Call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Caliber will host a conference call today, Wednesday, March 25, 2026, at 5:00 p.m. Eastern Time (ET) to discuss its fourth quarter and full year 2025 financial results and business outlook.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access this call, dial 1-800-715-9871 (domestic) or 1-646-307-1963 (international) and ask to join the Caliber call or use conference ID 9236380.</w:t>
      </w:r>
    </w:p>
    <w:p>
      <w:pPr>
        <w:spacing w:after="0" w:line="16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4"/>
          <w:szCs w:val="14"/>
          <w:color w:val="auto"/>
        </w:rPr>
        <w:t>A live webcast of the conference call will be available via the investor relations section of Caliber’s website under “Financial Results.” The webcast replay of the conference call will be available on Caliber’s website shortly after the call concludes.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Platform Definition</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Within this earnings release, we refer to performance results of the “Platform”. Platform refers to the performance of CWD itself, excluding the performance of certain assets &amp; funds that are included in our consolidated results, as required by the United States generally accepted accounting principles (“GAAP”). Management believes that Platform performance offers the most meaningful information needed to understand the value of CWD. The assets and funds that are consolidated into our GAAP presentation are included because Caliber is a guarantor of debt held by these assets and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985" w:right="29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4"/>
          <w:szCs w:val="14"/>
          <w:color w:val="auto"/>
        </w:rPr>
        <w:t>While GAAP consolidation rules require CWD to include the performance and cash flows of these assets &amp; funds in our consolidated financial information, CWD does not benefit from the performance of those assets &amp; funds, except to the extent that CWD earns fees from managing the assets and funds (which are included in the Platform results). Management believes presenting Platform results, which exclude consolidated assets, directly shows the business performance that CWD stockholders benefit from.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Caliber (CaliberCos Inc.) (NASDAQ: CWD)</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Caliber (Nasdaq: CWD) is an alternative investment manager with over $2.6 billion in Managed Assets and a 16-year track record in private equity real estate investing across hospitality, multi-family, and industrial real estate. In 2025, Caliber became the first U.S. public real estate platform to launch a Digital Asset Treasury strategy anchored in Chainlink (LINK). This initiative bridges real and digital asset investing through an equity-funded, disciplined approach that includes staking for yield. Investors can participate via Caliber’s publicly traded equity (Nasdaq: CWD) and private real estate funds.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This press release contains “forward-looking statements”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“target,” “aim,” “should,” "will” “would,” or the negative of these words or other similar expressions, although not all forward-looking statements contain these words.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These and other risks and uncertainties are described more fully in the section titled “Risk Factors” in the final prospectus related to the Company’s public offering filed with the SEC and other reports filed with the SEC thereafter. Forward-looking statements contained in this announcement are made as of this date, and the Company undertakes no duty to update such information except as required under applicable law.</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52525"/>
        </w:rPr>
        <w:t>CONTACTS</w:t>
      </w:r>
      <w:r>
        <w:rPr>
          <w:rFonts w:ascii="Times New Roman" w:cs="Times New Roman" w:eastAsia="Times New Roman" w:hAnsi="Times New Roman"/>
          <w:sz w:val="14"/>
          <w:szCs w:val="14"/>
          <w:color w:val="252525"/>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52525"/>
        </w:rPr>
        <w:t>Caliber Investor Relations: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52525"/>
        </w:rPr>
        <w:t>Ilya Grozovsky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52525"/>
        </w:rPr>
        <w:t>+1 480-214-1915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52525"/>
        </w:rPr>
        <w:t>Ilya@CaliberCo.com</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985"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color w:val="auto"/>
        </w:rPr>
        <w:t>NON-GAAP RECONCILIATIONS</w:t>
      </w:r>
    </w:p>
    <w:p>
      <w:pPr>
        <w:spacing w:after="0" w:line="16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The following information reconciles the performance of the Platform to the consolidated GAAP presentation. Management believes that the Platform view of Caliber’s performance is more meaningful to a CWD shareholder as it includes all revenues and expenses generated by Caliber and its wholly-owned subsidiaries.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ASSET MANAGEMENT PLATFORM </w:t>
      </w:r>
      <w:r>
        <w:rPr>
          <w:rFonts w:ascii="Times New Roman" w:cs="Times New Roman" w:eastAsia="Times New Roman" w:hAnsi="Times New Roman"/>
          <w:sz w:val="15"/>
          <w:szCs w:val="15"/>
          <w:b w:val="1"/>
          <w:bCs w:val="1"/>
          <w:color w:val="auto"/>
          <w:vertAlign w:val="superscript"/>
        </w:rPr>
        <w:t>(1)</w:t>
      </w:r>
    </w:p>
    <w:p>
      <w:pPr>
        <w:spacing w:after="0"/>
        <w:rPr>
          <w:sz w:val="20"/>
          <w:szCs w:val="20"/>
          <w:color w:val="auto"/>
        </w:rPr>
      </w:pPr>
      <w:r>
        <w:rPr>
          <w:rFonts w:ascii="Times New Roman" w:cs="Times New Roman" w:eastAsia="Times New Roman" w:hAnsi="Times New Roman"/>
          <w:sz w:val="12"/>
          <w:szCs w:val="12"/>
          <w:b w:val="1"/>
          <w:bCs w:val="1"/>
          <w:color w:val="auto"/>
        </w:rPr>
        <w:t>(AMOUNTS IN THOUSANDS, EXCEPT SHARE AND PER SHARE DATA) (UNAUDITED)</w:t>
      </w:r>
    </w:p>
    <w:p>
      <w:pPr>
        <w:spacing w:after="0" w:line="35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b w:val="1"/>
          <w:bCs w:val="1"/>
          <w:color w:val="auto"/>
        </w:rPr>
        <w:t>Three Months Ended December 31, 2025</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5780" w:type="dxa"/>
            <w:vAlign w:val="bottom"/>
          </w:tcPr>
          <w:p>
            <w:pPr>
              <w:spacing w:after="0"/>
              <w:rPr>
                <w:sz w:val="8"/>
                <w:szCs w:val="8"/>
                <w:color w:val="auto"/>
              </w:rPr>
            </w:pPr>
          </w:p>
        </w:tc>
        <w:tc>
          <w:tcPr>
            <w:tcW w:w="1220" w:type="dxa"/>
            <w:vAlign w:val="bottom"/>
            <w:tcBorders>
              <w:top w:val="single" w:sz="8" w:color="auto"/>
            </w:tcBorders>
            <w:vMerge w:val="restart"/>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rPr>
              <w:t>Platform</w:t>
            </w: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740" w:type="dxa"/>
            <w:vAlign w:val="bottom"/>
            <w:tcBorders>
              <w:top w:val="single" w:sz="8" w:color="auto"/>
            </w:tcBorders>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5"/>
              </w:rPr>
              <w:t>Impact of Consolidated Fund and</w:t>
            </w:r>
          </w:p>
        </w:tc>
        <w:tc>
          <w:tcPr>
            <w:tcW w:w="34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vMerge w:val="restart"/>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25"/>
        </w:trPr>
        <w:tc>
          <w:tcPr>
            <w:tcW w:w="57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Eliminations</w:t>
            </w:r>
          </w:p>
        </w:tc>
        <w:tc>
          <w:tcPr>
            <w:tcW w:w="3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5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Asset management</w:t>
            </w:r>
          </w:p>
        </w:tc>
        <w:tc>
          <w:tcPr>
            <w:tcW w:w="1220" w:type="dxa"/>
            <w:vAlign w:val="bottom"/>
          </w:tcPr>
          <w:p>
            <w:pPr>
              <w:jc w:val="right"/>
              <w:ind w:right="1083"/>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2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3,963</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Performance allocations</w:t>
            </w:r>
          </w:p>
        </w:tc>
        <w:tc>
          <w:tcPr>
            <w:tcW w:w="1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55"/>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other revenue</w:t>
            </w:r>
          </w:p>
        </w:tc>
        <w:tc>
          <w:tcPr>
            <w:tcW w:w="1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162</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162</w:t>
            </w:r>
          </w:p>
        </w:tc>
        <w:tc>
          <w:tcPr>
            <w:tcW w:w="0" w:type="dxa"/>
            <w:vAlign w:val="bottom"/>
          </w:tcPr>
          <w:p>
            <w:pPr>
              <w:spacing w:after="0"/>
              <w:rPr>
                <w:sz w:val="1"/>
                <w:szCs w:val="1"/>
                <w:color w:val="auto"/>
              </w:rPr>
            </w:pPr>
          </w:p>
        </w:tc>
      </w:tr>
      <w:tr>
        <w:trPr>
          <w:trHeight w:val="142"/>
        </w:trPr>
        <w:tc>
          <w:tcPr>
            <w:tcW w:w="57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revenues</w:t>
            </w:r>
          </w:p>
        </w:tc>
        <w:tc>
          <w:tcPr>
            <w:tcW w:w="1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3,997</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130</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4,127</w:t>
            </w:r>
          </w:p>
        </w:tc>
        <w:tc>
          <w:tcPr>
            <w:tcW w:w="0" w:type="dxa"/>
            <w:vAlign w:val="bottom"/>
          </w:tcPr>
          <w:p>
            <w:pPr>
              <w:spacing w:after="0"/>
              <w:rPr>
                <w:sz w:val="1"/>
                <w:szCs w:val="1"/>
                <w:color w:val="auto"/>
              </w:rPr>
            </w:pPr>
          </w:p>
        </w:tc>
      </w:tr>
      <w:tr>
        <w:trPr>
          <w:trHeight w:val="131"/>
        </w:trPr>
        <w:tc>
          <w:tcPr>
            <w:tcW w:w="578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Expenses</w:t>
            </w:r>
          </w:p>
        </w:tc>
        <w:tc>
          <w:tcPr>
            <w:tcW w:w="1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costs</w:t>
            </w:r>
          </w:p>
        </w:tc>
        <w:tc>
          <w:tcPr>
            <w:tcW w:w="1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2,882</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1,530</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Marketing and advertising</w:t>
            </w:r>
          </w:p>
        </w:tc>
        <w:tc>
          <w:tcPr>
            <w:tcW w:w="1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333</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181</w:t>
            </w:r>
          </w:p>
        </w:tc>
        <w:tc>
          <w:tcPr>
            <w:tcW w:w="0" w:type="dxa"/>
            <w:vAlign w:val="bottom"/>
          </w:tcPr>
          <w:p>
            <w:pPr>
              <w:spacing w:after="0"/>
              <w:rPr>
                <w:sz w:val="1"/>
                <w:szCs w:val="1"/>
                <w:color w:val="auto"/>
              </w:rPr>
            </w:pPr>
          </w:p>
        </w:tc>
      </w:tr>
      <w:tr>
        <w:trPr>
          <w:trHeight w:val="155"/>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other expenses</w:t>
            </w:r>
          </w:p>
        </w:tc>
        <w:tc>
          <w:tcPr>
            <w:tcW w:w="1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474</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474</w:t>
            </w:r>
          </w:p>
        </w:tc>
        <w:tc>
          <w:tcPr>
            <w:tcW w:w="0" w:type="dxa"/>
            <w:vAlign w:val="bottom"/>
          </w:tcPr>
          <w:p>
            <w:pPr>
              <w:spacing w:after="0"/>
              <w:rPr>
                <w:sz w:val="1"/>
                <w:szCs w:val="1"/>
                <w:color w:val="auto"/>
              </w:rPr>
            </w:pPr>
          </w:p>
        </w:tc>
      </w:tr>
      <w:tr>
        <w:trPr>
          <w:trHeight w:val="142"/>
        </w:trPr>
        <w:tc>
          <w:tcPr>
            <w:tcW w:w="57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expenses</w:t>
            </w:r>
          </w:p>
        </w:tc>
        <w:tc>
          <w:tcPr>
            <w:tcW w:w="1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5,098</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302</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5,400</w:t>
            </w:r>
          </w:p>
        </w:tc>
        <w:tc>
          <w:tcPr>
            <w:tcW w:w="0" w:type="dxa"/>
            <w:vAlign w:val="bottom"/>
          </w:tcPr>
          <w:p>
            <w:pPr>
              <w:spacing w:after="0"/>
              <w:rPr>
                <w:sz w:val="1"/>
                <w:szCs w:val="1"/>
                <w:color w:val="auto"/>
              </w:rPr>
            </w:pPr>
          </w:p>
        </w:tc>
      </w:tr>
      <w:tr>
        <w:trPr>
          <w:trHeight w:val="311"/>
        </w:trPr>
        <w:tc>
          <w:tcPr>
            <w:tcW w:w="5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expenses, net</w:t>
            </w:r>
          </w:p>
        </w:tc>
        <w:tc>
          <w:tcPr>
            <w:tcW w:w="1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0" w:type="dxa"/>
            <w:vAlign w:val="bottom"/>
          </w:tcPr>
          <w:p>
            <w:pPr>
              <w:spacing w:after="0"/>
              <w:rPr>
                <w:sz w:val="1"/>
                <w:szCs w:val="1"/>
                <w:color w:val="auto"/>
              </w:rPr>
            </w:pPr>
          </w:p>
        </w:tc>
      </w:tr>
      <w:tr>
        <w:trPr>
          <w:trHeight w:val="153"/>
        </w:trPr>
        <w:tc>
          <w:tcPr>
            <w:tcW w:w="5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fair value of digital assets</w:t>
            </w:r>
          </w:p>
        </w:tc>
        <w:tc>
          <w:tcPr>
            <w:tcW w:w="1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(5,116)</w:t>
            </w:r>
          </w:p>
        </w:tc>
        <w:tc>
          <w:tcPr>
            <w:tcW w:w="0" w:type="dxa"/>
            <w:vAlign w:val="bottom"/>
          </w:tcPr>
          <w:p>
            <w:pPr>
              <w:spacing w:after="0"/>
              <w:rPr>
                <w:sz w:val="1"/>
                <w:szCs w:val="1"/>
                <w:color w:val="auto"/>
              </w:rPr>
            </w:pPr>
          </w:p>
        </w:tc>
      </w:tr>
      <w:tr>
        <w:trPr>
          <w:trHeight w:val="153"/>
        </w:trPr>
        <w:tc>
          <w:tcPr>
            <w:tcW w:w="5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income</w:t>
            </w:r>
          </w:p>
        </w:tc>
        <w:tc>
          <w:tcPr>
            <w:tcW w:w="1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266</w:t>
            </w:r>
          </w:p>
        </w:tc>
        <w:tc>
          <w:tcPr>
            <w:tcW w:w="0" w:type="dxa"/>
            <w:vAlign w:val="bottom"/>
          </w:tcPr>
          <w:p>
            <w:pPr>
              <w:spacing w:after="0"/>
              <w:rPr>
                <w:sz w:val="1"/>
                <w:szCs w:val="1"/>
                <w:color w:val="auto"/>
              </w:rPr>
            </w:pPr>
          </w:p>
        </w:tc>
      </w:tr>
      <w:tr>
        <w:trPr>
          <w:trHeight w:val="155"/>
        </w:trPr>
        <w:tc>
          <w:tcPr>
            <w:tcW w:w="5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1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(1,487)</w:t>
            </w:r>
          </w:p>
        </w:tc>
        <w:tc>
          <w:tcPr>
            <w:tcW w:w="0" w:type="dxa"/>
            <w:vAlign w:val="bottom"/>
          </w:tcPr>
          <w:p>
            <w:pPr>
              <w:spacing w:after="0"/>
              <w:rPr>
                <w:sz w:val="1"/>
                <w:szCs w:val="1"/>
                <w:color w:val="auto"/>
              </w:rPr>
            </w:pPr>
          </w:p>
        </w:tc>
      </w:tr>
      <w:tr>
        <w:trPr>
          <w:trHeight w:val="140"/>
        </w:trPr>
        <w:tc>
          <w:tcPr>
            <w:tcW w:w="5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before income taxes</w:t>
            </w:r>
          </w:p>
        </w:tc>
        <w:tc>
          <w:tcPr>
            <w:tcW w:w="1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(7,732)</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(8,060)</w:t>
            </w:r>
          </w:p>
        </w:tc>
        <w:tc>
          <w:tcPr>
            <w:tcW w:w="0" w:type="dxa"/>
            <w:vAlign w:val="bottom"/>
          </w:tcPr>
          <w:p>
            <w:pPr>
              <w:spacing w:after="0"/>
              <w:rPr>
                <w:sz w:val="1"/>
                <w:szCs w:val="1"/>
                <w:color w:val="auto"/>
              </w:rPr>
            </w:pPr>
          </w:p>
        </w:tc>
      </w:tr>
      <w:tr>
        <w:trPr>
          <w:trHeight w:val="155"/>
        </w:trPr>
        <w:tc>
          <w:tcPr>
            <w:tcW w:w="5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578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(7,732)</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(8,060)</w:t>
            </w:r>
          </w:p>
        </w:tc>
        <w:tc>
          <w:tcPr>
            <w:tcW w:w="0" w:type="dxa"/>
            <w:vAlign w:val="bottom"/>
          </w:tcPr>
          <w:p>
            <w:pPr>
              <w:spacing w:after="0"/>
              <w:rPr>
                <w:sz w:val="1"/>
                <w:szCs w:val="1"/>
                <w:color w:val="auto"/>
              </w:rPr>
            </w:pPr>
          </w:p>
        </w:tc>
      </w:tr>
      <w:tr>
        <w:trPr>
          <w:trHeight w:val="155"/>
        </w:trPr>
        <w:tc>
          <w:tcPr>
            <w:tcW w:w="57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1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(339)</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(339)</w:t>
            </w:r>
          </w:p>
        </w:tc>
        <w:tc>
          <w:tcPr>
            <w:tcW w:w="0" w:type="dxa"/>
            <w:vAlign w:val="bottom"/>
          </w:tcPr>
          <w:p>
            <w:pPr>
              <w:spacing w:after="0"/>
              <w:rPr>
                <w:sz w:val="1"/>
                <w:szCs w:val="1"/>
                <w:color w:val="auto"/>
              </w:rPr>
            </w:pPr>
          </w:p>
        </w:tc>
      </w:tr>
      <w:tr>
        <w:trPr>
          <w:trHeight w:val="142"/>
        </w:trPr>
        <w:tc>
          <w:tcPr>
            <w:tcW w:w="578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Net loss attributable to CaliberCos Inc.</w:t>
            </w:r>
          </w:p>
        </w:tc>
        <w:tc>
          <w:tcPr>
            <w:tcW w:w="1220" w:type="dxa"/>
            <w:vAlign w:val="bottom"/>
            <w:tcBorders>
              <w:bottom w:val="single" w:sz="8" w:color="auto"/>
            </w:tcBorders>
          </w:tcPr>
          <w:p>
            <w:pPr>
              <w:jc w:val="right"/>
              <w:ind w:right="1083"/>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(7,732)</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(7,721)</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Basic and diluted net loss per share</w:t>
            </w: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780" w:type="dxa"/>
            <w:vAlign w:val="bottom"/>
            <w:vMerge w:val="continue"/>
          </w:tcPr>
          <w:p>
            <w:pPr>
              <w:spacing w:after="0"/>
              <w:rPr>
                <w:sz w:val="9"/>
                <w:szCs w:val="9"/>
                <w:color w:val="auto"/>
              </w:rPr>
            </w:pPr>
          </w:p>
        </w:tc>
        <w:tc>
          <w:tcPr>
            <w:tcW w:w="1220" w:type="dxa"/>
            <w:vAlign w:val="bottom"/>
            <w:tcBorders>
              <w:bottom w:val="single" w:sz="8" w:color="auto"/>
            </w:tcBorders>
          </w:tcPr>
          <w:p>
            <w:pPr>
              <w:jc w:val="right"/>
              <w:ind w:right="1083"/>
              <w:spacing w:after="0" w:line="111"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(1.24)</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auto"/>
            </w:tcBorders>
          </w:tcPr>
          <w:p>
            <w:pPr>
              <w:jc w:val="right"/>
              <w:ind w:right="200"/>
              <w:spacing w:after="0" w:line="111" w:lineRule="exact"/>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(1.24)</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7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6,229</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6,229</w:t>
            </w:r>
          </w:p>
        </w:tc>
        <w:tc>
          <w:tcPr>
            <w:tcW w:w="0" w:type="dxa"/>
            <w:vAlign w:val="bottom"/>
          </w:tcPr>
          <w:p>
            <w:pPr>
              <w:spacing w:after="0"/>
              <w:rPr>
                <w:sz w:val="1"/>
                <w:szCs w:val="1"/>
                <w:color w:val="auto"/>
              </w:rPr>
            </w:pPr>
          </w:p>
        </w:tc>
      </w:tr>
      <w:tr>
        <w:trPr>
          <w:trHeight w:val="153"/>
        </w:trPr>
        <w:tc>
          <w:tcPr>
            <w:tcW w:w="578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w:t>
            </w:r>
          </w:p>
        </w:tc>
        <w:tc>
          <w:tcPr>
            <w:tcW w:w="1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989" w:right="299" w:bottom="1440" w:gutter="0" w:footer="0" w:header="0"/>
        </w:sectPr>
      </w:pPr>
    </w:p>
    <w:bookmarkStart w:id="9" w:name="page10"/>
    <w:bookmarkEnd w:id="9"/>
    <w:p>
      <w:pPr>
        <w:ind w:left="7500"/>
        <w:spacing w:after="0"/>
        <w:rPr>
          <w:sz w:val="20"/>
          <w:szCs w:val="20"/>
          <w:color w:val="auto"/>
        </w:rPr>
      </w:pPr>
      <w:r>
        <w:rPr>
          <w:rFonts w:ascii="Times New Roman" w:cs="Times New Roman" w:eastAsia="Times New Roman" w:hAnsi="Times New Roman"/>
          <w:sz w:val="12"/>
          <w:szCs w:val="12"/>
          <w:b w:val="1"/>
          <w:bCs w:val="1"/>
          <w:color w:val="auto"/>
        </w:rPr>
        <w:t>Three Months Ended December 31,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5780" w:type="dxa"/>
            <w:vAlign w:val="bottom"/>
          </w:tcPr>
          <w:p>
            <w:pPr>
              <w:spacing w:after="0"/>
              <w:rPr>
                <w:sz w:val="8"/>
                <w:szCs w:val="8"/>
                <w:color w:val="auto"/>
              </w:rPr>
            </w:pPr>
          </w:p>
        </w:tc>
        <w:tc>
          <w:tcPr>
            <w:tcW w:w="1200" w:type="dxa"/>
            <w:vAlign w:val="bottom"/>
            <w:tcBorders>
              <w:top w:val="single" w:sz="8" w:color="auto"/>
            </w:tcBorders>
            <w:vMerge w:val="restart"/>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Platform</w:t>
            </w: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740" w:type="dxa"/>
            <w:vAlign w:val="bottom"/>
            <w:tcBorders>
              <w:top w:val="single" w:sz="8" w:color="auto"/>
            </w:tcBorders>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5"/>
              </w:rPr>
              <w:t>Impact of Consolidated Fund and</w:t>
            </w:r>
          </w:p>
        </w:tc>
        <w:tc>
          <w:tcPr>
            <w:tcW w:w="34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vMerge w:val="restart"/>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25"/>
        </w:trPr>
        <w:tc>
          <w:tcPr>
            <w:tcW w:w="57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Eliminations</w:t>
            </w:r>
          </w:p>
        </w:tc>
        <w:tc>
          <w:tcPr>
            <w:tcW w:w="3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5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Asset management fees</w:t>
            </w:r>
          </w:p>
        </w:tc>
        <w:tc>
          <w:tcPr>
            <w:tcW w:w="1200" w:type="dxa"/>
            <w:vAlign w:val="bottom"/>
          </w:tcPr>
          <w:p>
            <w:pPr>
              <w:jc w:val="right"/>
              <w:ind w:right="1063"/>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(634)</w:t>
            </w:r>
          </w:p>
        </w:tc>
        <w:tc>
          <w:tcPr>
            <w:tcW w:w="12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3,953</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Performance allocations</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hospitality revenue</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2,943</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2,943</w:t>
            </w:r>
          </w:p>
        </w:tc>
        <w:tc>
          <w:tcPr>
            <w:tcW w:w="0" w:type="dxa"/>
            <w:vAlign w:val="bottom"/>
          </w:tcPr>
          <w:p>
            <w:pPr>
              <w:spacing w:after="0"/>
              <w:rPr>
                <w:sz w:val="1"/>
                <w:szCs w:val="1"/>
                <w:color w:val="auto"/>
              </w:rPr>
            </w:pPr>
          </w:p>
        </w:tc>
      </w:tr>
      <w:tr>
        <w:trPr>
          <w:trHeight w:val="155"/>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other revenue</w:t>
            </w:r>
          </w:p>
        </w:tc>
        <w:tc>
          <w:tcPr>
            <w:tcW w:w="1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1,790</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1,790</w:t>
            </w:r>
          </w:p>
        </w:tc>
        <w:tc>
          <w:tcPr>
            <w:tcW w:w="0" w:type="dxa"/>
            <w:vAlign w:val="bottom"/>
          </w:tcPr>
          <w:p>
            <w:pPr>
              <w:spacing w:after="0"/>
              <w:rPr>
                <w:sz w:val="1"/>
                <w:szCs w:val="1"/>
                <w:color w:val="auto"/>
              </w:rPr>
            </w:pPr>
          </w:p>
        </w:tc>
      </w:tr>
      <w:tr>
        <w:trPr>
          <w:trHeight w:val="142"/>
        </w:trPr>
        <w:tc>
          <w:tcPr>
            <w:tcW w:w="57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revenues</w:t>
            </w:r>
          </w:p>
        </w:tc>
        <w:tc>
          <w:tcPr>
            <w:tcW w:w="1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4,588</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4,099</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8,687</w:t>
            </w:r>
          </w:p>
        </w:tc>
        <w:tc>
          <w:tcPr>
            <w:tcW w:w="0" w:type="dxa"/>
            <w:vAlign w:val="bottom"/>
          </w:tcPr>
          <w:p>
            <w:pPr>
              <w:spacing w:after="0"/>
              <w:rPr>
                <w:sz w:val="1"/>
                <w:szCs w:val="1"/>
                <w:color w:val="auto"/>
              </w:rPr>
            </w:pPr>
          </w:p>
        </w:tc>
      </w:tr>
      <w:tr>
        <w:trPr>
          <w:trHeight w:val="131"/>
        </w:trPr>
        <w:tc>
          <w:tcPr>
            <w:tcW w:w="578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Expenses</w:t>
            </w: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costs</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8,933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8,550</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1,316</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Marketing and advertising</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244</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154</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hospitality expenses</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3,312</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3,312</w:t>
            </w:r>
          </w:p>
        </w:tc>
        <w:tc>
          <w:tcPr>
            <w:tcW w:w="0" w:type="dxa"/>
            <w:vAlign w:val="bottom"/>
          </w:tcPr>
          <w:p>
            <w:pPr>
              <w:spacing w:after="0"/>
              <w:rPr>
                <w:sz w:val="1"/>
                <w:szCs w:val="1"/>
                <w:color w:val="auto"/>
              </w:rPr>
            </w:pPr>
          </w:p>
        </w:tc>
      </w:tr>
      <w:tr>
        <w:trPr>
          <w:trHeight w:val="155"/>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other expenses</w:t>
            </w:r>
          </w:p>
        </w:tc>
        <w:tc>
          <w:tcPr>
            <w:tcW w:w="1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465</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465</w:t>
            </w:r>
          </w:p>
        </w:tc>
        <w:tc>
          <w:tcPr>
            <w:tcW w:w="0" w:type="dxa"/>
            <w:vAlign w:val="bottom"/>
          </w:tcPr>
          <w:p>
            <w:pPr>
              <w:spacing w:after="0"/>
              <w:rPr>
                <w:sz w:val="1"/>
                <w:szCs w:val="1"/>
                <w:color w:val="auto"/>
              </w:rPr>
            </w:pPr>
          </w:p>
        </w:tc>
      </w:tr>
      <w:tr>
        <w:trPr>
          <w:trHeight w:val="142"/>
        </w:trPr>
        <w:tc>
          <w:tcPr>
            <w:tcW w:w="57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expenses</w:t>
            </w:r>
          </w:p>
        </w:tc>
        <w:tc>
          <w:tcPr>
            <w:tcW w:w="1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10,654</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3,387</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14,041</w:t>
            </w:r>
          </w:p>
        </w:tc>
        <w:tc>
          <w:tcPr>
            <w:tcW w:w="0" w:type="dxa"/>
            <w:vAlign w:val="bottom"/>
          </w:tcPr>
          <w:p>
            <w:pPr>
              <w:spacing w:after="0"/>
              <w:rPr>
                <w:sz w:val="1"/>
                <w:szCs w:val="1"/>
                <w:color w:val="auto"/>
              </w:rPr>
            </w:pPr>
          </w:p>
        </w:tc>
      </w:tr>
      <w:tr>
        <w:trPr>
          <w:trHeight w:val="302"/>
        </w:trPr>
        <w:tc>
          <w:tcPr>
            <w:tcW w:w="5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expenses, net</w:t>
            </w:r>
          </w:p>
        </w:tc>
        <w:tc>
          <w:tcPr>
            <w:tcW w:w="1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(4,108)</w:t>
            </w:r>
          </w:p>
        </w:tc>
        <w:tc>
          <w:tcPr>
            <w:tcW w:w="0" w:type="dxa"/>
            <w:vAlign w:val="bottom"/>
          </w:tcPr>
          <w:p>
            <w:pPr>
              <w:spacing w:after="0"/>
              <w:rPr>
                <w:sz w:val="1"/>
                <w:szCs w:val="1"/>
                <w:color w:val="auto"/>
              </w:rPr>
            </w:pPr>
          </w:p>
        </w:tc>
      </w:tr>
      <w:tr>
        <w:trPr>
          <w:trHeight w:val="153"/>
        </w:trPr>
        <w:tc>
          <w:tcPr>
            <w:tcW w:w="5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income</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55"/>
        </w:trPr>
        <w:tc>
          <w:tcPr>
            <w:tcW w:w="5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(1,466)</w:t>
            </w:r>
          </w:p>
        </w:tc>
        <w:tc>
          <w:tcPr>
            <w:tcW w:w="0" w:type="dxa"/>
            <w:vAlign w:val="bottom"/>
          </w:tcPr>
          <w:p>
            <w:pPr>
              <w:spacing w:after="0"/>
              <w:rPr>
                <w:sz w:val="1"/>
                <w:szCs w:val="1"/>
                <w:color w:val="auto"/>
              </w:rPr>
            </w:pPr>
          </w:p>
        </w:tc>
      </w:tr>
      <w:tr>
        <w:trPr>
          <w:trHeight w:val="140"/>
        </w:trPr>
        <w:tc>
          <w:tcPr>
            <w:tcW w:w="5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before income taxes</w:t>
            </w:r>
          </w:p>
        </w:tc>
        <w:tc>
          <w:tcPr>
            <w:tcW w:w="1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(11,609)</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716</w:t>
            </w: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(10,893)</w:t>
            </w:r>
          </w:p>
        </w:tc>
        <w:tc>
          <w:tcPr>
            <w:tcW w:w="0" w:type="dxa"/>
            <w:vAlign w:val="bottom"/>
          </w:tcPr>
          <w:p>
            <w:pPr>
              <w:spacing w:after="0"/>
              <w:rPr>
                <w:sz w:val="1"/>
                <w:szCs w:val="1"/>
                <w:color w:val="auto"/>
              </w:rPr>
            </w:pPr>
          </w:p>
        </w:tc>
      </w:tr>
      <w:tr>
        <w:trPr>
          <w:trHeight w:val="155"/>
        </w:trPr>
        <w:tc>
          <w:tcPr>
            <w:tcW w:w="5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578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(11,609)</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716</w:t>
            </w: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(10,893)</w:t>
            </w:r>
          </w:p>
        </w:tc>
        <w:tc>
          <w:tcPr>
            <w:tcW w:w="0" w:type="dxa"/>
            <w:vAlign w:val="bottom"/>
          </w:tcPr>
          <w:p>
            <w:pPr>
              <w:spacing w:after="0"/>
              <w:rPr>
                <w:sz w:val="1"/>
                <w:szCs w:val="1"/>
                <w:color w:val="auto"/>
              </w:rPr>
            </w:pPr>
          </w:p>
        </w:tc>
      </w:tr>
      <w:tr>
        <w:trPr>
          <w:trHeight w:val="155"/>
        </w:trPr>
        <w:tc>
          <w:tcPr>
            <w:tcW w:w="57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Net loss attributable to noncontrolling interests</w:t>
            </w:r>
          </w:p>
        </w:tc>
        <w:tc>
          <w:tcPr>
            <w:tcW w:w="1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495</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495</w:t>
            </w:r>
          </w:p>
        </w:tc>
        <w:tc>
          <w:tcPr>
            <w:tcW w:w="0" w:type="dxa"/>
            <w:vAlign w:val="bottom"/>
          </w:tcPr>
          <w:p>
            <w:pPr>
              <w:spacing w:after="0"/>
              <w:rPr>
                <w:sz w:val="1"/>
                <w:szCs w:val="1"/>
                <w:color w:val="auto"/>
              </w:rPr>
            </w:pPr>
          </w:p>
        </w:tc>
      </w:tr>
      <w:tr>
        <w:trPr>
          <w:trHeight w:val="142"/>
        </w:trPr>
        <w:tc>
          <w:tcPr>
            <w:tcW w:w="578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Net loss attributable to CaliberCos Inc.</w:t>
            </w:r>
          </w:p>
        </w:tc>
        <w:tc>
          <w:tcPr>
            <w:tcW w:w="1200" w:type="dxa"/>
            <w:vAlign w:val="bottom"/>
            <w:tcBorders>
              <w:bottom w:val="single" w:sz="8" w:color="auto"/>
            </w:tcBorders>
          </w:tcPr>
          <w:p>
            <w:pPr>
              <w:jc w:val="right"/>
              <w:ind w:right="1063"/>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(11,609)</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221</w:t>
            </w:r>
          </w:p>
        </w:tc>
        <w:tc>
          <w:tcPr>
            <w:tcW w:w="12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(11,388)</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Basic and diluted loss per share</w:t>
            </w: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780" w:type="dxa"/>
            <w:vAlign w:val="bottom"/>
            <w:vMerge w:val="continue"/>
          </w:tcPr>
          <w:p>
            <w:pPr>
              <w:spacing w:after="0"/>
              <w:rPr>
                <w:sz w:val="9"/>
                <w:szCs w:val="9"/>
                <w:color w:val="auto"/>
              </w:rPr>
            </w:pPr>
          </w:p>
        </w:tc>
        <w:tc>
          <w:tcPr>
            <w:tcW w:w="1200" w:type="dxa"/>
            <w:vAlign w:val="bottom"/>
            <w:tcBorders>
              <w:bottom w:val="single" w:sz="8" w:color="auto"/>
            </w:tcBorders>
          </w:tcPr>
          <w:p>
            <w:pPr>
              <w:jc w:val="right"/>
              <w:ind w:right="1063"/>
              <w:spacing w:after="0" w:line="111"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(10.34)</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auto"/>
            </w:tcBorders>
          </w:tcPr>
          <w:p>
            <w:pPr>
              <w:jc w:val="right"/>
              <w:ind w:right="200"/>
              <w:spacing w:after="0" w:line="111" w:lineRule="exact"/>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(10.12)</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7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1,123</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1,123</w:t>
            </w:r>
          </w:p>
        </w:tc>
        <w:tc>
          <w:tcPr>
            <w:tcW w:w="0" w:type="dxa"/>
            <w:vAlign w:val="bottom"/>
          </w:tcPr>
          <w:p>
            <w:pPr>
              <w:spacing w:after="0"/>
              <w:rPr>
                <w:sz w:val="1"/>
                <w:szCs w:val="1"/>
                <w:color w:val="auto"/>
              </w:rPr>
            </w:pPr>
          </w:p>
        </w:tc>
      </w:tr>
      <w:tr>
        <w:trPr>
          <w:trHeight w:val="153"/>
        </w:trPr>
        <w:tc>
          <w:tcPr>
            <w:tcW w:w="578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w:t>
            </w:r>
          </w:p>
        </w:tc>
        <w:tc>
          <w:tcPr>
            <w:tcW w:w="1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1025" w:right="299" w:bottom="1440" w:gutter="0" w:footer="0" w:header="0"/>
        </w:sectPr>
      </w:pPr>
    </w:p>
    <w:bookmarkStart w:id="10" w:name="page11"/>
    <w:bookmarkEnd w:id="10"/>
    <w:p>
      <w:pPr>
        <w:ind w:left="7740"/>
        <w:spacing w:after="0"/>
        <w:rPr>
          <w:sz w:val="20"/>
          <w:szCs w:val="20"/>
          <w:color w:val="auto"/>
        </w:rPr>
      </w:pPr>
      <w:r>
        <w:rPr>
          <w:rFonts w:ascii="Times New Roman" w:cs="Times New Roman" w:eastAsia="Times New Roman" w:hAnsi="Times New Roman"/>
          <w:sz w:val="12"/>
          <w:szCs w:val="12"/>
          <w:b w:val="1"/>
          <w:bCs w:val="1"/>
          <w:color w:val="auto"/>
        </w:rPr>
        <w:t>Year Ended December 31, 2025</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5780" w:type="dxa"/>
            <w:vAlign w:val="bottom"/>
          </w:tcPr>
          <w:p>
            <w:pPr>
              <w:spacing w:after="0"/>
              <w:rPr>
                <w:sz w:val="8"/>
                <w:szCs w:val="8"/>
                <w:color w:val="auto"/>
              </w:rPr>
            </w:pPr>
          </w:p>
        </w:tc>
        <w:tc>
          <w:tcPr>
            <w:tcW w:w="1200" w:type="dxa"/>
            <w:vAlign w:val="bottom"/>
            <w:tcBorders>
              <w:top w:val="single" w:sz="8" w:color="auto"/>
            </w:tcBorders>
            <w:vMerge w:val="restart"/>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Platform</w:t>
            </w: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740" w:type="dxa"/>
            <w:vAlign w:val="bottom"/>
            <w:tcBorders>
              <w:top w:val="single" w:sz="8" w:color="auto"/>
            </w:tcBorders>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5"/>
              </w:rPr>
              <w:t>Impact of Consolidated Fund and</w:t>
            </w:r>
          </w:p>
        </w:tc>
        <w:tc>
          <w:tcPr>
            <w:tcW w:w="34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vMerge w:val="restart"/>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25"/>
        </w:trPr>
        <w:tc>
          <w:tcPr>
            <w:tcW w:w="57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Eliminations</w:t>
            </w:r>
          </w:p>
        </w:tc>
        <w:tc>
          <w:tcPr>
            <w:tcW w:w="3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5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Asset management</w:t>
            </w:r>
          </w:p>
        </w:tc>
        <w:tc>
          <w:tcPr>
            <w:tcW w:w="1200" w:type="dxa"/>
            <w:vAlign w:val="bottom"/>
          </w:tcPr>
          <w:p>
            <w:pPr>
              <w:jc w:val="right"/>
              <w:ind w:right="1063"/>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15,155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(764)</w:t>
            </w:r>
          </w:p>
        </w:tc>
        <w:tc>
          <w:tcPr>
            <w:tcW w:w="12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14,391</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Performance allocations</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27</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hospitality revenue</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5,057</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5,057</w:t>
            </w:r>
          </w:p>
        </w:tc>
        <w:tc>
          <w:tcPr>
            <w:tcW w:w="0" w:type="dxa"/>
            <w:vAlign w:val="bottom"/>
          </w:tcPr>
          <w:p>
            <w:pPr>
              <w:spacing w:after="0"/>
              <w:rPr>
                <w:sz w:val="1"/>
                <w:szCs w:val="1"/>
                <w:color w:val="auto"/>
              </w:rPr>
            </w:pPr>
          </w:p>
        </w:tc>
      </w:tr>
      <w:tr>
        <w:trPr>
          <w:trHeight w:val="155"/>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other revenue</w:t>
            </w:r>
          </w:p>
        </w:tc>
        <w:tc>
          <w:tcPr>
            <w:tcW w:w="1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622</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622</w:t>
            </w:r>
          </w:p>
        </w:tc>
        <w:tc>
          <w:tcPr>
            <w:tcW w:w="0" w:type="dxa"/>
            <w:vAlign w:val="bottom"/>
          </w:tcPr>
          <w:p>
            <w:pPr>
              <w:spacing w:after="0"/>
              <w:rPr>
                <w:sz w:val="1"/>
                <w:szCs w:val="1"/>
                <w:color w:val="auto"/>
              </w:rPr>
            </w:pPr>
          </w:p>
        </w:tc>
      </w:tr>
      <w:tr>
        <w:trPr>
          <w:trHeight w:val="142"/>
        </w:trPr>
        <w:tc>
          <w:tcPr>
            <w:tcW w:w="57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revenues</w:t>
            </w:r>
          </w:p>
        </w:tc>
        <w:tc>
          <w:tcPr>
            <w:tcW w:w="1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15,188</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4,909</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20,097</w:t>
            </w:r>
          </w:p>
        </w:tc>
        <w:tc>
          <w:tcPr>
            <w:tcW w:w="0" w:type="dxa"/>
            <w:vAlign w:val="bottom"/>
          </w:tcPr>
          <w:p>
            <w:pPr>
              <w:spacing w:after="0"/>
              <w:rPr>
                <w:sz w:val="1"/>
                <w:szCs w:val="1"/>
                <w:color w:val="auto"/>
              </w:rPr>
            </w:pPr>
          </w:p>
        </w:tc>
      </w:tr>
      <w:tr>
        <w:trPr>
          <w:trHeight w:val="131"/>
        </w:trPr>
        <w:tc>
          <w:tcPr>
            <w:tcW w:w="578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Expenses</w:t>
            </w: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costs</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14,455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13,848</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5,755</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Marketing and advertising</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796</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664</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hospitality expenses</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4,743</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4,743</w:t>
            </w:r>
          </w:p>
        </w:tc>
        <w:tc>
          <w:tcPr>
            <w:tcW w:w="0" w:type="dxa"/>
            <w:vAlign w:val="bottom"/>
          </w:tcPr>
          <w:p>
            <w:pPr>
              <w:spacing w:after="0"/>
              <w:rPr>
                <w:sz w:val="1"/>
                <w:szCs w:val="1"/>
                <w:color w:val="auto"/>
              </w:rPr>
            </w:pPr>
          </w:p>
        </w:tc>
      </w:tr>
      <w:tr>
        <w:trPr>
          <w:trHeight w:val="155"/>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other expenses</w:t>
            </w:r>
          </w:p>
        </w:tc>
        <w:tc>
          <w:tcPr>
            <w:tcW w:w="1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1,865</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1,865</w:t>
            </w:r>
          </w:p>
        </w:tc>
        <w:tc>
          <w:tcPr>
            <w:tcW w:w="0" w:type="dxa"/>
            <w:vAlign w:val="bottom"/>
          </w:tcPr>
          <w:p>
            <w:pPr>
              <w:spacing w:after="0"/>
              <w:rPr>
                <w:sz w:val="1"/>
                <w:szCs w:val="1"/>
                <w:color w:val="auto"/>
              </w:rPr>
            </w:pPr>
          </w:p>
        </w:tc>
      </w:tr>
      <w:tr>
        <w:trPr>
          <w:trHeight w:val="142"/>
        </w:trPr>
        <w:tc>
          <w:tcPr>
            <w:tcW w:w="57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expenses</w:t>
            </w:r>
          </w:p>
        </w:tc>
        <w:tc>
          <w:tcPr>
            <w:tcW w:w="1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21,737</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5,934</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27,671</w:t>
            </w:r>
          </w:p>
        </w:tc>
        <w:tc>
          <w:tcPr>
            <w:tcW w:w="0" w:type="dxa"/>
            <w:vAlign w:val="bottom"/>
          </w:tcPr>
          <w:p>
            <w:pPr>
              <w:spacing w:after="0"/>
              <w:rPr>
                <w:sz w:val="1"/>
                <w:szCs w:val="1"/>
                <w:color w:val="auto"/>
              </w:rPr>
            </w:pPr>
          </w:p>
        </w:tc>
      </w:tr>
      <w:tr>
        <w:trPr>
          <w:trHeight w:val="302"/>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expenses, net</w:t>
            </w:r>
          </w:p>
        </w:tc>
        <w:tc>
          <w:tcPr>
            <w:tcW w:w="1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(3,304)</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fair value of digital assets</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(5,793)</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income</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356</w:t>
            </w:r>
          </w:p>
        </w:tc>
        <w:tc>
          <w:tcPr>
            <w:tcW w:w="0" w:type="dxa"/>
            <w:vAlign w:val="bottom"/>
          </w:tcPr>
          <w:p>
            <w:pPr>
              <w:spacing w:after="0"/>
              <w:rPr>
                <w:sz w:val="1"/>
                <w:szCs w:val="1"/>
                <w:color w:val="auto"/>
              </w:rPr>
            </w:pPr>
          </w:p>
        </w:tc>
      </w:tr>
      <w:tr>
        <w:trPr>
          <w:trHeight w:val="155"/>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(6,712)</w:t>
            </w:r>
          </w:p>
        </w:tc>
        <w:tc>
          <w:tcPr>
            <w:tcW w:w="0" w:type="dxa"/>
            <w:vAlign w:val="bottom"/>
          </w:tcPr>
          <w:p>
            <w:pPr>
              <w:spacing w:after="0"/>
              <w:rPr>
                <w:sz w:val="1"/>
                <w:szCs w:val="1"/>
                <w:color w:val="auto"/>
              </w:rPr>
            </w:pPr>
          </w:p>
        </w:tc>
      </w:tr>
      <w:tr>
        <w:trPr>
          <w:trHeight w:val="140"/>
        </w:trPr>
        <w:tc>
          <w:tcPr>
            <w:tcW w:w="5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before income taxes</w:t>
            </w:r>
          </w:p>
        </w:tc>
        <w:tc>
          <w:tcPr>
            <w:tcW w:w="1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(21,230)</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(1,797)</w:t>
            </w: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(23,027)</w:t>
            </w:r>
          </w:p>
        </w:tc>
        <w:tc>
          <w:tcPr>
            <w:tcW w:w="0" w:type="dxa"/>
            <w:vAlign w:val="bottom"/>
          </w:tcPr>
          <w:p>
            <w:pPr>
              <w:spacing w:after="0"/>
              <w:rPr>
                <w:sz w:val="1"/>
                <w:szCs w:val="1"/>
                <w:color w:val="auto"/>
              </w:rPr>
            </w:pPr>
          </w:p>
        </w:tc>
      </w:tr>
      <w:tr>
        <w:trPr>
          <w:trHeight w:val="155"/>
        </w:trPr>
        <w:tc>
          <w:tcPr>
            <w:tcW w:w="5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578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(21,230)</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(1,797)</w:t>
            </w: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(23,027)</w:t>
            </w:r>
          </w:p>
        </w:tc>
        <w:tc>
          <w:tcPr>
            <w:tcW w:w="0" w:type="dxa"/>
            <w:vAlign w:val="bottom"/>
          </w:tcPr>
          <w:p>
            <w:pPr>
              <w:spacing w:after="0"/>
              <w:rPr>
                <w:sz w:val="1"/>
                <w:szCs w:val="1"/>
                <w:color w:val="auto"/>
              </w:rPr>
            </w:pPr>
          </w:p>
        </w:tc>
      </w:tr>
      <w:tr>
        <w:trPr>
          <w:trHeight w:val="155"/>
        </w:trPr>
        <w:tc>
          <w:tcPr>
            <w:tcW w:w="57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1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(1,229)</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(1,229)</w:t>
            </w:r>
          </w:p>
        </w:tc>
        <w:tc>
          <w:tcPr>
            <w:tcW w:w="0" w:type="dxa"/>
            <w:vAlign w:val="bottom"/>
          </w:tcPr>
          <w:p>
            <w:pPr>
              <w:spacing w:after="0"/>
              <w:rPr>
                <w:sz w:val="1"/>
                <w:szCs w:val="1"/>
                <w:color w:val="auto"/>
              </w:rPr>
            </w:pPr>
          </w:p>
        </w:tc>
      </w:tr>
      <w:tr>
        <w:trPr>
          <w:trHeight w:val="142"/>
        </w:trPr>
        <w:tc>
          <w:tcPr>
            <w:tcW w:w="578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Net loss attributable to CaliberCos Inc.</w:t>
            </w:r>
          </w:p>
        </w:tc>
        <w:tc>
          <w:tcPr>
            <w:tcW w:w="1200" w:type="dxa"/>
            <w:vAlign w:val="bottom"/>
            <w:tcBorders>
              <w:bottom w:val="single" w:sz="8" w:color="auto"/>
            </w:tcBorders>
          </w:tcPr>
          <w:p>
            <w:pPr>
              <w:jc w:val="right"/>
              <w:ind w:right="1063"/>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(21,230)</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(568)</w:t>
            </w:r>
          </w:p>
        </w:tc>
        <w:tc>
          <w:tcPr>
            <w:tcW w:w="12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(21,798)</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Basic and diluted net loss per share</w:t>
            </w: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780" w:type="dxa"/>
            <w:vAlign w:val="bottom"/>
            <w:vMerge w:val="continue"/>
          </w:tcPr>
          <w:p>
            <w:pPr>
              <w:spacing w:after="0"/>
              <w:rPr>
                <w:sz w:val="9"/>
                <w:szCs w:val="9"/>
                <w:color w:val="auto"/>
              </w:rPr>
            </w:pPr>
          </w:p>
        </w:tc>
        <w:tc>
          <w:tcPr>
            <w:tcW w:w="1200" w:type="dxa"/>
            <w:vAlign w:val="bottom"/>
            <w:tcBorders>
              <w:bottom w:val="single" w:sz="8" w:color="auto"/>
            </w:tcBorders>
          </w:tcPr>
          <w:p>
            <w:pPr>
              <w:jc w:val="right"/>
              <w:ind w:right="1063"/>
              <w:spacing w:after="0" w:line="111"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(7.50)</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auto"/>
            </w:tcBorders>
          </w:tcPr>
          <w:p>
            <w:pPr>
              <w:jc w:val="right"/>
              <w:ind w:right="200"/>
              <w:spacing w:after="0" w:line="111" w:lineRule="exact"/>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(7.70)</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7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2,830</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2,830</w:t>
            </w:r>
          </w:p>
        </w:tc>
        <w:tc>
          <w:tcPr>
            <w:tcW w:w="0" w:type="dxa"/>
            <w:vAlign w:val="bottom"/>
          </w:tcPr>
          <w:p>
            <w:pPr>
              <w:spacing w:after="0"/>
              <w:rPr>
                <w:sz w:val="1"/>
                <w:szCs w:val="1"/>
                <w:color w:val="auto"/>
              </w:rPr>
            </w:pPr>
          </w:p>
        </w:tc>
      </w:tr>
      <w:tr>
        <w:trPr>
          <w:trHeight w:val="153"/>
        </w:trPr>
        <w:tc>
          <w:tcPr>
            <w:tcW w:w="578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w:t>
            </w:r>
          </w:p>
        </w:tc>
        <w:tc>
          <w:tcPr>
            <w:tcW w:w="1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0"/>
          </w:cols>
          <w:pgMar w:left="300" w:top="1187" w:right="299" w:bottom="1440" w:gutter="0" w:footer="0" w:header="0"/>
        </w:sectPr>
      </w:pPr>
    </w:p>
    <w:bookmarkStart w:id="11" w:name="page12"/>
    <w:bookmarkEnd w:id="11"/>
    <w:p>
      <w:pPr>
        <w:ind w:left="7748"/>
        <w:spacing w:after="0"/>
        <w:rPr>
          <w:sz w:val="20"/>
          <w:szCs w:val="20"/>
          <w:color w:val="auto"/>
        </w:rPr>
      </w:pPr>
      <w:r>
        <w:rPr>
          <w:rFonts w:ascii="Times New Roman" w:cs="Times New Roman" w:eastAsia="Times New Roman" w:hAnsi="Times New Roman"/>
          <w:sz w:val="12"/>
          <w:szCs w:val="12"/>
          <w:b w:val="1"/>
          <w:bCs w:val="1"/>
          <w:color w:val="auto"/>
        </w:rPr>
        <w:t>Year Ended December 31, 2024</w:t>
      </w:r>
    </w:p>
    <w:p>
      <w:pPr>
        <w:spacing w:after="0" w:line="21" w:lineRule="exact"/>
        <w:rPr>
          <w:sz w:val="20"/>
          <w:szCs w:val="20"/>
          <w:color w:val="auto"/>
        </w:rPr>
      </w:pPr>
    </w:p>
    <w:tbl>
      <w:tblPr>
        <w:tblLayout w:type="fixed"/>
        <w:tblInd w:w="8" w:type="dxa"/>
        <w:tblCellMar>
          <w:top w:w="0" w:type="dxa"/>
          <w:left w:w="0" w:type="dxa"/>
          <w:bottom w:w="0" w:type="dxa"/>
          <w:right w:w="0" w:type="dxa"/>
        </w:tblCellMar>
      </w:tblPr>
      <w:tr>
        <w:trPr>
          <w:trHeight w:val="99"/>
        </w:trPr>
        <w:tc>
          <w:tcPr>
            <w:tcW w:w="5780" w:type="dxa"/>
            <w:vAlign w:val="bottom"/>
          </w:tcPr>
          <w:p>
            <w:pPr>
              <w:spacing w:after="0"/>
              <w:rPr>
                <w:sz w:val="8"/>
                <w:szCs w:val="8"/>
                <w:color w:val="auto"/>
              </w:rPr>
            </w:pPr>
          </w:p>
        </w:tc>
        <w:tc>
          <w:tcPr>
            <w:tcW w:w="1200" w:type="dxa"/>
            <w:vAlign w:val="bottom"/>
            <w:tcBorders>
              <w:top w:val="single" w:sz="8" w:color="auto"/>
            </w:tcBorders>
            <w:vMerge w:val="restart"/>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Platform</w:t>
            </w: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740" w:type="dxa"/>
            <w:vAlign w:val="bottom"/>
            <w:tcBorders>
              <w:top w:val="single" w:sz="8" w:color="auto"/>
            </w:tcBorders>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5"/>
              </w:rPr>
              <w:t>Impact of Consolidated Fund and</w:t>
            </w:r>
          </w:p>
        </w:tc>
        <w:tc>
          <w:tcPr>
            <w:tcW w:w="34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vMerge w:val="restart"/>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25"/>
        </w:trPr>
        <w:tc>
          <w:tcPr>
            <w:tcW w:w="57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Eliminations</w:t>
            </w:r>
          </w:p>
        </w:tc>
        <w:tc>
          <w:tcPr>
            <w:tcW w:w="3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5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Asset management</w:t>
            </w:r>
          </w:p>
        </w:tc>
        <w:tc>
          <w:tcPr>
            <w:tcW w:w="1200" w:type="dxa"/>
            <w:vAlign w:val="bottom"/>
          </w:tcPr>
          <w:p>
            <w:pPr>
              <w:jc w:val="right"/>
              <w:ind w:right="1063"/>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(3,684)</w:t>
            </w:r>
          </w:p>
        </w:tc>
        <w:tc>
          <w:tcPr>
            <w:tcW w:w="12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16,879</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Performance allocations</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358</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hospitality revenue</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26,476</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26,476</w:t>
            </w:r>
          </w:p>
        </w:tc>
        <w:tc>
          <w:tcPr>
            <w:tcW w:w="0" w:type="dxa"/>
            <w:vAlign w:val="bottom"/>
          </w:tcPr>
          <w:p>
            <w:pPr>
              <w:spacing w:after="0"/>
              <w:rPr>
                <w:sz w:val="1"/>
                <w:szCs w:val="1"/>
                <w:color w:val="auto"/>
              </w:rPr>
            </w:pPr>
          </w:p>
        </w:tc>
      </w:tr>
      <w:tr>
        <w:trPr>
          <w:trHeight w:val="155"/>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other revenue</w:t>
            </w:r>
          </w:p>
        </w:tc>
        <w:tc>
          <w:tcPr>
            <w:tcW w:w="1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7,406</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7,406</w:t>
            </w:r>
          </w:p>
        </w:tc>
        <w:tc>
          <w:tcPr>
            <w:tcW w:w="0" w:type="dxa"/>
            <w:vAlign w:val="bottom"/>
          </w:tcPr>
          <w:p>
            <w:pPr>
              <w:spacing w:after="0"/>
              <w:rPr>
                <w:sz w:val="1"/>
                <w:szCs w:val="1"/>
                <w:color w:val="auto"/>
              </w:rPr>
            </w:pPr>
          </w:p>
        </w:tc>
      </w:tr>
      <w:tr>
        <w:trPr>
          <w:trHeight w:val="142"/>
        </w:trPr>
        <w:tc>
          <w:tcPr>
            <w:tcW w:w="57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revenues</w:t>
            </w:r>
          </w:p>
        </w:tc>
        <w:tc>
          <w:tcPr>
            <w:tcW w:w="1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20,942</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30,177</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51,119</w:t>
            </w:r>
          </w:p>
        </w:tc>
        <w:tc>
          <w:tcPr>
            <w:tcW w:w="0" w:type="dxa"/>
            <w:vAlign w:val="bottom"/>
          </w:tcPr>
          <w:p>
            <w:pPr>
              <w:spacing w:after="0"/>
              <w:rPr>
                <w:sz w:val="1"/>
                <w:szCs w:val="1"/>
                <w:color w:val="auto"/>
              </w:rPr>
            </w:pPr>
          </w:p>
        </w:tc>
      </w:tr>
      <w:tr>
        <w:trPr>
          <w:trHeight w:val="131"/>
        </w:trPr>
        <w:tc>
          <w:tcPr>
            <w:tcW w:w="578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Expenses</w:t>
            </w: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costs</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24,904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(965)</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23,939</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6,776</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Marketing and advertising</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751</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593</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hospitality expenses</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26,503</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26,503</w:t>
            </w:r>
          </w:p>
        </w:tc>
        <w:tc>
          <w:tcPr>
            <w:tcW w:w="0" w:type="dxa"/>
            <w:vAlign w:val="bottom"/>
          </w:tcPr>
          <w:p>
            <w:pPr>
              <w:spacing w:after="0"/>
              <w:rPr>
                <w:sz w:val="1"/>
                <w:szCs w:val="1"/>
                <w:color w:val="auto"/>
              </w:rPr>
            </w:pPr>
          </w:p>
        </w:tc>
      </w:tr>
      <w:tr>
        <w:trPr>
          <w:trHeight w:val="155"/>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other expenses</w:t>
            </w:r>
          </w:p>
        </w:tc>
        <w:tc>
          <w:tcPr>
            <w:tcW w:w="1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5,870</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5,870</w:t>
            </w:r>
          </w:p>
        </w:tc>
        <w:tc>
          <w:tcPr>
            <w:tcW w:w="0" w:type="dxa"/>
            <w:vAlign w:val="bottom"/>
          </w:tcPr>
          <w:p>
            <w:pPr>
              <w:spacing w:after="0"/>
              <w:rPr>
                <w:sz w:val="1"/>
                <w:szCs w:val="1"/>
                <w:color w:val="auto"/>
              </w:rPr>
            </w:pPr>
          </w:p>
        </w:tc>
      </w:tr>
      <w:tr>
        <w:trPr>
          <w:trHeight w:val="142"/>
        </w:trPr>
        <w:tc>
          <w:tcPr>
            <w:tcW w:w="57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expenses</w:t>
            </w:r>
          </w:p>
        </w:tc>
        <w:tc>
          <w:tcPr>
            <w:tcW w:w="1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33,070</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31,362</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64,432</w:t>
            </w:r>
          </w:p>
        </w:tc>
        <w:tc>
          <w:tcPr>
            <w:tcW w:w="0" w:type="dxa"/>
            <w:vAlign w:val="bottom"/>
          </w:tcPr>
          <w:p>
            <w:pPr>
              <w:spacing w:after="0"/>
              <w:rPr>
                <w:sz w:val="1"/>
                <w:szCs w:val="1"/>
                <w:color w:val="auto"/>
              </w:rPr>
            </w:pPr>
          </w:p>
        </w:tc>
      </w:tr>
      <w:tr>
        <w:trPr>
          <w:trHeight w:val="302"/>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expenses, net</w:t>
            </w:r>
          </w:p>
        </w:tc>
        <w:tc>
          <w:tcPr>
            <w:tcW w:w="1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(3,093)</w:t>
            </w:r>
          </w:p>
        </w:tc>
        <w:tc>
          <w:tcPr>
            <w:tcW w:w="0" w:type="dxa"/>
            <w:vAlign w:val="bottom"/>
          </w:tcPr>
          <w:p>
            <w:pPr>
              <w:spacing w:after="0"/>
              <w:rPr>
                <w:sz w:val="1"/>
                <w:szCs w:val="1"/>
                <w:color w:val="auto"/>
              </w:rPr>
            </w:pPr>
          </w:p>
        </w:tc>
      </w:tr>
      <w:tr>
        <w:trPr>
          <w:trHeight w:val="153"/>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income</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360</w:t>
            </w:r>
          </w:p>
        </w:tc>
        <w:tc>
          <w:tcPr>
            <w:tcW w:w="0" w:type="dxa"/>
            <w:vAlign w:val="bottom"/>
          </w:tcPr>
          <w:p>
            <w:pPr>
              <w:spacing w:after="0"/>
              <w:rPr>
                <w:sz w:val="1"/>
                <w:szCs w:val="1"/>
                <w:color w:val="auto"/>
              </w:rPr>
            </w:pPr>
          </w:p>
        </w:tc>
      </w:tr>
      <w:tr>
        <w:trPr>
          <w:trHeight w:val="155"/>
        </w:trPr>
        <w:tc>
          <w:tcPr>
            <w:tcW w:w="5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(5,424)</w:t>
            </w:r>
          </w:p>
        </w:tc>
        <w:tc>
          <w:tcPr>
            <w:tcW w:w="0" w:type="dxa"/>
            <w:vAlign w:val="bottom"/>
          </w:tcPr>
          <w:p>
            <w:pPr>
              <w:spacing w:after="0"/>
              <w:rPr>
                <w:sz w:val="1"/>
                <w:szCs w:val="1"/>
                <w:color w:val="auto"/>
              </w:rPr>
            </w:pPr>
          </w:p>
        </w:tc>
      </w:tr>
      <w:tr>
        <w:trPr>
          <w:trHeight w:val="140"/>
        </w:trPr>
        <w:tc>
          <w:tcPr>
            <w:tcW w:w="5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before income taxes</w:t>
            </w:r>
          </w:p>
        </w:tc>
        <w:tc>
          <w:tcPr>
            <w:tcW w:w="1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(19,647)</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(1,823)</w:t>
            </w: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(21,470)</w:t>
            </w:r>
          </w:p>
        </w:tc>
        <w:tc>
          <w:tcPr>
            <w:tcW w:w="0" w:type="dxa"/>
            <w:vAlign w:val="bottom"/>
          </w:tcPr>
          <w:p>
            <w:pPr>
              <w:spacing w:after="0"/>
              <w:rPr>
                <w:sz w:val="1"/>
                <w:szCs w:val="1"/>
                <w:color w:val="auto"/>
              </w:rPr>
            </w:pPr>
          </w:p>
        </w:tc>
      </w:tr>
      <w:tr>
        <w:trPr>
          <w:trHeight w:val="155"/>
        </w:trPr>
        <w:tc>
          <w:tcPr>
            <w:tcW w:w="5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578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(19,647)</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(1,823)</w:t>
            </w: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(21,470)</w:t>
            </w:r>
          </w:p>
        </w:tc>
        <w:tc>
          <w:tcPr>
            <w:tcW w:w="0" w:type="dxa"/>
            <w:vAlign w:val="bottom"/>
          </w:tcPr>
          <w:p>
            <w:pPr>
              <w:spacing w:after="0"/>
              <w:rPr>
                <w:sz w:val="1"/>
                <w:szCs w:val="1"/>
                <w:color w:val="auto"/>
              </w:rPr>
            </w:pPr>
          </w:p>
        </w:tc>
      </w:tr>
      <w:tr>
        <w:trPr>
          <w:trHeight w:val="155"/>
        </w:trPr>
        <w:tc>
          <w:tcPr>
            <w:tcW w:w="57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Net loss attributable to noncontrolling interests</w:t>
            </w:r>
          </w:p>
        </w:tc>
        <w:tc>
          <w:tcPr>
            <w:tcW w:w="1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(1,693)</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(1,693)</w:t>
            </w:r>
          </w:p>
        </w:tc>
        <w:tc>
          <w:tcPr>
            <w:tcW w:w="0" w:type="dxa"/>
            <w:vAlign w:val="bottom"/>
          </w:tcPr>
          <w:p>
            <w:pPr>
              <w:spacing w:after="0"/>
              <w:rPr>
                <w:sz w:val="1"/>
                <w:szCs w:val="1"/>
                <w:color w:val="auto"/>
              </w:rPr>
            </w:pPr>
          </w:p>
        </w:tc>
      </w:tr>
      <w:tr>
        <w:trPr>
          <w:trHeight w:val="142"/>
        </w:trPr>
        <w:tc>
          <w:tcPr>
            <w:tcW w:w="578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Net loss attributable to CaliberCos Inc.</w:t>
            </w:r>
          </w:p>
        </w:tc>
        <w:tc>
          <w:tcPr>
            <w:tcW w:w="1200" w:type="dxa"/>
            <w:vAlign w:val="bottom"/>
            <w:tcBorders>
              <w:bottom w:val="single" w:sz="8" w:color="auto"/>
            </w:tcBorders>
          </w:tcPr>
          <w:p>
            <w:pPr>
              <w:jc w:val="right"/>
              <w:ind w:right="1063"/>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(19,647)</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12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(19,777)</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Basic and diluted loss per share</w:t>
            </w: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780" w:type="dxa"/>
            <w:vAlign w:val="bottom"/>
            <w:vMerge w:val="continue"/>
          </w:tcPr>
          <w:p>
            <w:pPr>
              <w:spacing w:after="0"/>
              <w:rPr>
                <w:sz w:val="9"/>
                <w:szCs w:val="9"/>
                <w:color w:val="auto"/>
              </w:rPr>
            </w:pPr>
          </w:p>
        </w:tc>
        <w:tc>
          <w:tcPr>
            <w:tcW w:w="1200" w:type="dxa"/>
            <w:vAlign w:val="bottom"/>
            <w:tcBorders>
              <w:bottom w:val="single" w:sz="8" w:color="auto"/>
            </w:tcBorders>
          </w:tcPr>
          <w:p>
            <w:pPr>
              <w:jc w:val="right"/>
              <w:ind w:right="1063"/>
              <w:spacing w:after="0" w:line="111"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(17.86)</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auto"/>
            </w:tcBorders>
          </w:tcPr>
          <w:p>
            <w:pPr>
              <w:jc w:val="right"/>
              <w:ind w:right="200"/>
              <w:spacing w:after="0" w:line="111" w:lineRule="exact"/>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(17.90)</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7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1,100</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1,100</w:t>
            </w:r>
          </w:p>
        </w:tc>
        <w:tc>
          <w:tcPr>
            <w:tcW w:w="0" w:type="dxa"/>
            <w:vAlign w:val="bottom"/>
          </w:tcPr>
          <w:p>
            <w:pPr>
              <w:spacing w:after="0"/>
              <w:rPr>
                <w:sz w:val="1"/>
                <w:szCs w:val="1"/>
                <w:color w:val="auto"/>
              </w:rPr>
            </w:pPr>
          </w:p>
        </w:tc>
      </w:tr>
      <w:tr>
        <w:trPr>
          <w:trHeight w:val="153"/>
        </w:trPr>
        <w:tc>
          <w:tcPr>
            <w:tcW w:w="578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w:t>
            </w:r>
          </w:p>
        </w:tc>
        <w:tc>
          <w:tcPr>
            <w:tcW w:w="1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__________________________________________</w:t>
      </w:r>
    </w:p>
    <w:p>
      <w:pPr>
        <w:ind w:left="168" w:hanging="168"/>
        <w:spacing w:after="0" w:line="209" w:lineRule="auto"/>
        <w:tabs>
          <w:tab w:leader="none" w:pos="168"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the results of our asset management platform, which are presented on a basis that deconsolidates our consolidated funds (intercompany eliminations) and eliminates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8"/>
          </w:cols>
          <w:pgMar w:left="292" w:top="1025" w:right="299" w:bottom="1440" w:gutter="0" w:footer="0" w:header="0"/>
        </w:sectPr>
      </w:pPr>
    </w:p>
    <w:bookmarkStart w:id="12" w:name="page13"/>
    <w:bookmarkEnd w:id="12"/>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PLATFORM REVENUE </w:t>
      </w:r>
      <w:r>
        <w:rPr>
          <w:rFonts w:ascii="Times New Roman" w:cs="Times New Roman" w:eastAsia="Times New Roman" w:hAnsi="Times New Roman"/>
          <w:sz w:val="15"/>
          <w:szCs w:val="15"/>
          <w:b w:val="1"/>
          <w:bCs w:val="1"/>
          <w:color w:val="auto"/>
          <w:vertAlign w:val="superscript"/>
        </w:rPr>
        <w:t>(1)</w:t>
      </w:r>
    </w:p>
    <w:p>
      <w:pPr>
        <w:ind w:left="8"/>
        <w:spacing w:after="0"/>
        <w:rPr>
          <w:sz w:val="20"/>
          <w:szCs w:val="20"/>
          <w:color w:val="auto"/>
        </w:rPr>
      </w:pPr>
      <w:r>
        <w:rPr>
          <w:rFonts w:ascii="Times New Roman" w:cs="Times New Roman" w:eastAsia="Times New Roman" w:hAnsi="Times New Roman"/>
          <w:sz w:val="12"/>
          <w:szCs w:val="12"/>
          <w:b w:val="1"/>
          <w:bCs w:val="1"/>
          <w:color w:val="auto"/>
        </w:rPr>
        <w:t>(AMOUNTS IN THOUSANDS) (UNAUDITED)</w:t>
      </w:r>
    </w:p>
    <w:p>
      <w:pPr>
        <w:spacing w:after="0" w:line="350" w:lineRule="exact"/>
        <w:rPr>
          <w:sz w:val="20"/>
          <w:szCs w:val="20"/>
          <w:color w:val="auto"/>
        </w:rPr>
      </w:pPr>
    </w:p>
    <w:tbl>
      <w:tblPr>
        <w:tblLayout w:type="fixed"/>
        <w:tblInd w:w="28" w:type="dxa"/>
        <w:tblCellMar>
          <w:top w:w="0" w:type="dxa"/>
          <w:left w:w="0" w:type="dxa"/>
          <w:bottom w:w="0" w:type="dxa"/>
          <w:right w:w="0" w:type="dxa"/>
        </w:tblCellMar>
      </w:tblPr>
      <w:tr>
        <w:trPr>
          <w:trHeight w:val="168"/>
        </w:trPr>
        <w:tc>
          <w:tcPr>
            <w:tcW w:w="3780" w:type="dxa"/>
            <w:vAlign w:val="bottom"/>
          </w:tcPr>
          <w:p>
            <w:pPr>
              <w:spacing w:after="0"/>
              <w:rPr>
                <w:sz w:val="14"/>
                <w:szCs w:val="14"/>
                <w:color w:val="auto"/>
              </w:rPr>
            </w:pPr>
          </w:p>
        </w:tc>
        <w:tc>
          <w:tcPr>
            <w:tcW w:w="3200" w:type="dxa"/>
            <w:vAlign w:val="bottom"/>
            <w:tcBorders>
              <w:bottom w:val="single" w:sz="8" w:color="auto"/>
            </w:tcBorders>
            <w:gridSpan w:val="4"/>
          </w:tcPr>
          <w:p>
            <w:pPr>
              <w:jc w:val="right"/>
              <w:ind w:right="344"/>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060" w:type="dxa"/>
            <w:vAlign w:val="bottom"/>
            <w:tcBorders>
              <w:bottom w:val="single" w:sz="8" w:color="auto"/>
            </w:tcBorders>
          </w:tcPr>
          <w:p>
            <w:pPr>
              <w:spacing w:after="0"/>
              <w:rPr>
                <w:sz w:val="14"/>
                <w:szCs w:val="14"/>
                <w:color w:val="auto"/>
              </w:rPr>
            </w:pPr>
          </w:p>
        </w:tc>
      </w:tr>
      <w:tr>
        <w:trPr>
          <w:trHeight w:val="151"/>
        </w:trPr>
        <w:tc>
          <w:tcPr>
            <w:tcW w:w="3780" w:type="dxa"/>
            <w:vAlign w:val="bottom"/>
          </w:tcPr>
          <w:p>
            <w:pPr>
              <w:spacing w:after="0"/>
              <w:rPr>
                <w:sz w:val="13"/>
                <w:szCs w:val="13"/>
                <w:color w:val="auto"/>
              </w:rPr>
            </w:pPr>
          </w:p>
        </w:tc>
        <w:tc>
          <w:tcPr>
            <w:tcW w:w="12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2"/>
                <w:szCs w:val="12"/>
                <w:b w:val="1"/>
                <w:bCs w:val="1"/>
                <w:color w:val="auto"/>
              </w:rPr>
              <w:t>2024</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2025</w:t>
            </w: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0"/>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Fund management fees</w:t>
            </w:r>
          </w:p>
        </w:tc>
        <w:tc>
          <w:tcPr>
            <w:tcW w:w="1260" w:type="dxa"/>
            <w:vAlign w:val="bottom"/>
          </w:tcPr>
          <w:p>
            <w:pPr>
              <w:jc w:val="right"/>
              <w:ind w:right="112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3,016</w:t>
            </w:r>
          </w:p>
        </w:tc>
        <w:tc>
          <w:tcPr>
            <w:tcW w:w="140" w:type="dxa"/>
            <w:vAlign w:val="bottom"/>
          </w:tcPr>
          <w:p>
            <w:pPr>
              <w:spacing w:after="0"/>
              <w:rPr>
                <w:sz w:val="12"/>
                <w:szCs w:val="12"/>
                <w:color w:val="auto"/>
              </w:rPr>
            </w:pPr>
          </w:p>
        </w:tc>
        <w:tc>
          <w:tcPr>
            <w:tcW w:w="1240" w:type="dxa"/>
            <w:vAlign w:val="bottom"/>
          </w:tcPr>
          <w:p>
            <w:pPr>
              <w:jc w:val="right"/>
              <w:ind w:right="11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2,844</w:t>
            </w:r>
          </w:p>
        </w:tc>
        <w:tc>
          <w:tcPr>
            <w:tcW w:w="140" w:type="dxa"/>
            <w:vAlign w:val="bottom"/>
          </w:tcPr>
          <w:p>
            <w:pPr>
              <w:spacing w:after="0"/>
              <w:rPr>
                <w:sz w:val="12"/>
                <w:szCs w:val="12"/>
                <w:color w:val="auto"/>
              </w:rPr>
            </w:pPr>
          </w:p>
        </w:tc>
        <w:tc>
          <w:tcPr>
            <w:tcW w:w="1060" w:type="dxa"/>
            <w:vAlign w:val="bottom"/>
          </w:tcPr>
          <w:p>
            <w:pPr>
              <w:jc w:val="right"/>
              <w:ind w:right="9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11,281</w:t>
            </w:r>
          </w:p>
        </w:tc>
        <w:tc>
          <w:tcPr>
            <w:tcW w:w="140" w:type="dxa"/>
            <w:vAlign w:val="bottom"/>
          </w:tcPr>
          <w:p>
            <w:pPr>
              <w:spacing w:after="0"/>
              <w:rPr>
                <w:sz w:val="12"/>
                <w:szCs w:val="12"/>
                <w:color w:val="auto"/>
              </w:rPr>
            </w:pPr>
          </w:p>
        </w:tc>
        <w:tc>
          <w:tcPr>
            <w:tcW w:w="660" w:type="dxa"/>
            <w:vAlign w:val="bottom"/>
          </w:tcPr>
          <w:p>
            <w:pPr>
              <w:jc w:val="right"/>
              <w:ind w:right="52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12,318</w:t>
            </w:r>
          </w:p>
        </w:tc>
      </w:tr>
      <w:tr>
        <w:trPr>
          <w:trHeight w:val="153"/>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Financing fees</w:t>
            </w:r>
          </w:p>
        </w:tc>
        <w:tc>
          <w:tcPr>
            <w:tcW w:w="1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643</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w:t>
            </w:r>
          </w:p>
        </w:tc>
      </w:tr>
      <w:tr>
        <w:trPr>
          <w:trHeight w:val="153"/>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Development and construction fees</w:t>
            </w:r>
          </w:p>
        </w:tc>
        <w:tc>
          <w:tcPr>
            <w:tcW w:w="1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1,685</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2,442</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6,751</w:t>
            </w:r>
          </w:p>
        </w:tc>
      </w:tr>
      <w:tr>
        <w:trPr>
          <w:trHeight w:val="155"/>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Brokerage fees</w:t>
            </w:r>
          </w:p>
        </w:tc>
        <w:tc>
          <w:tcPr>
            <w:tcW w:w="1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402</w:t>
            </w:r>
          </w:p>
        </w:tc>
        <w:tc>
          <w:tcPr>
            <w:tcW w:w="14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789</w:t>
            </w:r>
          </w:p>
        </w:tc>
        <w:tc>
          <w:tcPr>
            <w:tcW w:w="1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844</w:t>
            </w:r>
          </w:p>
        </w:tc>
      </w:tr>
      <w:tr>
        <w:trPr>
          <w:trHeight w:val="140"/>
        </w:trPr>
        <w:tc>
          <w:tcPr>
            <w:tcW w:w="3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Total asset management</w:t>
            </w:r>
          </w:p>
        </w:tc>
        <w:tc>
          <w:tcPr>
            <w:tcW w:w="1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3,996</w:t>
            </w: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4,587</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15,155</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20,563</w:t>
            </w:r>
          </w:p>
        </w:tc>
      </w:tr>
      <w:tr>
        <w:trPr>
          <w:trHeight w:val="155"/>
        </w:trPr>
        <w:tc>
          <w:tcPr>
            <w:tcW w:w="3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Performance allocations</w:t>
            </w:r>
          </w:p>
        </w:tc>
        <w:tc>
          <w:tcPr>
            <w:tcW w:w="1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379</w:t>
            </w:r>
          </w:p>
        </w:tc>
      </w:tr>
      <w:tr>
        <w:trPr>
          <w:trHeight w:val="142"/>
        </w:trPr>
        <w:tc>
          <w:tcPr>
            <w:tcW w:w="37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revenue</w:t>
            </w:r>
          </w:p>
        </w:tc>
        <w:tc>
          <w:tcPr>
            <w:tcW w:w="1260" w:type="dxa"/>
            <w:vAlign w:val="bottom"/>
            <w:tcBorders>
              <w:bottom w:val="single" w:sz="8" w:color="auto"/>
            </w:tcBorders>
          </w:tcPr>
          <w:p>
            <w:pPr>
              <w:jc w:val="right"/>
              <w:ind w:right="112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3,997</w:t>
            </w:r>
          </w:p>
        </w:tc>
        <w:tc>
          <w:tcPr>
            <w:tcW w:w="140" w:type="dxa"/>
            <w:vAlign w:val="bottom"/>
          </w:tcPr>
          <w:p>
            <w:pPr>
              <w:spacing w:after="0"/>
              <w:rPr>
                <w:sz w:val="12"/>
                <w:szCs w:val="12"/>
                <w:color w:val="auto"/>
              </w:rPr>
            </w:pPr>
          </w:p>
        </w:tc>
        <w:tc>
          <w:tcPr>
            <w:tcW w:w="1240" w:type="dxa"/>
            <w:vAlign w:val="bottom"/>
            <w:tcBorders>
              <w:bottom w:val="single" w:sz="8" w:color="auto"/>
            </w:tcBorders>
          </w:tcPr>
          <w:p>
            <w:pPr>
              <w:jc w:val="right"/>
              <w:ind w:right="11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4,588</w:t>
            </w:r>
          </w:p>
        </w:tc>
        <w:tc>
          <w:tcPr>
            <w:tcW w:w="140" w:type="dxa"/>
            <w:vAlign w:val="bottom"/>
          </w:tcPr>
          <w:p>
            <w:pPr>
              <w:spacing w:after="0"/>
              <w:rPr>
                <w:sz w:val="12"/>
                <w:szCs w:val="12"/>
                <w:color w:val="auto"/>
              </w:rPr>
            </w:pPr>
          </w:p>
        </w:tc>
        <w:tc>
          <w:tcPr>
            <w:tcW w:w="106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15,188</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20,942</w:t>
            </w:r>
          </w:p>
        </w:tc>
      </w:tr>
      <w:tr>
        <w:trPr>
          <w:trHeight w:val="20"/>
        </w:trPr>
        <w:tc>
          <w:tcPr>
            <w:tcW w:w="37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___________________________________________</w:t>
      </w:r>
    </w:p>
    <w:p>
      <w:pPr>
        <w:ind w:left="168" w:hanging="168"/>
        <w:spacing w:after="0" w:line="209" w:lineRule="auto"/>
        <w:tabs>
          <w:tab w:leader="none" w:pos="168"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the results of our asset management platform, which are presented on a basis that deconsolidates our consolidated funds (intercompany eliminations) and eliminates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288"/>
          </w:cols>
          <w:pgMar w:left="292" w:top="976" w:right="319" w:bottom="1440" w:gutter="0" w:footer="0" w:header="0"/>
        </w:sectPr>
      </w:pPr>
    </w:p>
    <w:bookmarkStart w:id="13" w:name="page14"/>
    <w:bookmarkEnd w:id="13"/>
    <w:p>
      <w:pPr>
        <w:ind w:left="8"/>
        <w:spacing w:after="0"/>
        <w:rPr>
          <w:sz w:val="20"/>
          <w:szCs w:val="20"/>
          <w:color w:val="auto"/>
        </w:rPr>
      </w:pPr>
      <w:r>
        <w:rPr>
          <w:rFonts w:ascii="Times New Roman" w:cs="Times New Roman" w:eastAsia="Times New Roman" w:hAnsi="Times New Roman"/>
          <w:sz w:val="12"/>
          <w:szCs w:val="12"/>
          <w:b w:val="1"/>
          <w:bCs w:val="1"/>
          <w:color w:val="auto"/>
        </w:rPr>
        <w:t>FVAUM and Managed Capital (UNAUDITED)</w:t>
      </w:r>
    </w:p>
    <w:p>
      <w:pPr>
        <w:spacing w:after="0" w:line="163" w:lineRule="exact"/>
        <w:rPr>
          <w:sz w:val="20"/>
          <w:szCs w:val="20"/>
          <w:color w:val="auto"/>
        </w:rPr>
      </w:pPr>
    </w:p>
    <w:p>
      <w:pPr>
        <w:jc w:val="both"/>
        <w:ind w:left="8"/>
        <w:spacing w:after="0" w:line="249" w:lineRule="auto"/>
        <w:rPr>
          <w:sz w:val="20"/>
          <w:szCs w:val="20"/>
          <w:color w:val="auto"/>
        </w:rPr>
      </w:pPr>
      <w:r>
        <w:rPr>
          <w:rFonts w:ascii="Times New Roman" w:cs="Times New Roman" w:eastAsia="Times New Roman" w:hAnsi="Times New Roman"/>
          <w:sz w:val="12"/>
          <w:szCs w:val="12"/>
          <w:color w:val="auto"/>
        </w:rPr>
        <w:t>The following information summarizes management’s estimates of fair value related to the entire portfolio of investments that Caliber manages and the total amount of capital that is being managed across the portfolio. The fair value of our AUM conveys an indication of the overall health of our investments and potentially how much performance allocation Caliber would earn if those assets were sold. Managed Capital is used to evaluate, among other things, the amount of asset management fees we generate from the portfolio.</w:t>
      </w:r>
    </w:p>
    <w:p>
      <w:pPr>
        <w:spacing w:after="0" w:line="1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FV AUM</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(AMOUNTS IN THOUSANDS) (UNAUDITED)</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8840" w:type="dxa"/>
            <w:vAlign w:val="bottom"/>
          </w:tcPr>
          <w:p>
            <w:pPr>
              <w:spacing w:after="0"/>
              <w:rPr>
                <w:sz w:val="20"/>
                <w:szCs w:val="20"/>
                <w:color w:val="auto"/>
              </w:rPr>
            </w:pPr>
            <w:r>
              <w:rPr>
                <w:rFonts w:ascii="Times New Roman" w:cs="Times New Roman" w:eastAsia="Times New Roman" w:hAnsi="Times New Roman"/>
                <w:sz w:val="12"/>
                <w:szCs w:val="12"/>
                <w:color w:val="auto"/>
              </w:rPr>
              <w:t>Balances as of December 31, 2024</w:t>
            </w:r>
          </w:p>
        </w:tc>
        <w:tc>
          <w:tcPr>
            <w:tcW w:w="1040" w:type="dxa"/>
            <w:vAlign w:val="bottom"/>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794,923</w:t>
            </w:r>
          </w:p>
        </w:tc>
      </w:tr>
      <w:tr>
        <w:trPr>
          <w:trHeight w:val="178"/>
        </w:trPr>
        <w:tc>
          <w:tcPr>
            <w:tcW w:w="8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xml:space="preserve">Assets acquired </w:t>
            </w:r>
            <w:r>
              <w:rPr>
                <w:rFonts w:ascii="Times New Roman" w:cs="Times New Roman" w:eastAsia="Times New Roman" w:hAnsi="Times New Roman"/>
                <w:sz w:val="15"/>
                <w:szCs w:val="15"/>
                <w:color w:val="auto"/>
                <w:vertAlign w:val="superscript"/>
              </w:rPr>
              <w:t>(1)</w:t>
            </w:r>
          </w:p>
        </w:tc>
        <w:tc>
          <w:tcPr>
            <w:tcW w:w="10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10,300</w:t>
            </w:r>
          </w:p>
        </w:tc>
      </w:tr>
      <w:tr>
        <w:trPr>
          <w:trHeight w:val="155"/>
        </w:trPr>
        <w:tc>
          <w:tcPr>
            <w:tcW w:w="8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Construction and net market appreciation</w:t>
            </w:r>
          </w:p>
        </w:tc>
        <w:tc>
          <w:tcPr>
            <w:tcW w:w="10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25,800</w:t>
            </w:r>
          </w:p>
        </w:tc>
      </w:tr>
      <w:tr>
        <w:trPr>
          <w:trHeight w:val="184"/>
        </w:trPr>
        <w:tc>
          <w:tcPr>
            <w:tcW w:w="8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xml:space="preserve">Credit </w:t>
            </w:r>
            <w:r>
              <w:rPr>
                <w:rFonts w:ascii="Times New Roman" w:cs="Times New Roman" w:eastAsia="Times New Roman" w:hAnsi="Times New Roman"/>
                <w:sz w:val="15"/>
                <w:szCs w:val="15"/>
                <w:color w:val="auto"/>
                <w:vertAlign w:val="superscript"/>
              </w:rPr>
              <w:t>(3)</w:t>
            </w:r>
          </w:p>
        </w:tc>
        <w:tc>
          <w:tcPr>
            <w:tcW w:w="10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w:t>
            </w:r>
          </w:p>
        </w:tc>
      </w:tr>
      <w:tr>
        <w:trPr>
          <w:trHeight w:val="176"/>
        </w:trPr>
        <w:tc>
          <w:tcPr>
            <w:tcW w:w="8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5"/>
                <w:szCs w:val="15"/>
                <w:color w:val="auto"/>
                <w:vertAlign w:val="superscript"/>
              </w:rPr>
              <w:t>(3)</w:t>
            </w:r>
          </w:p>
        </w:tc>
        <w:tc>
          <w:tcPr>
            <w:tcW w:w="10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(644)</w:t>
            </w:r>
          </w:p>
        </w:tc>
      </w:tr>
      <w:tr>
        <w:trPr>
          <w:trHeight w:val="140"/>
        </w:trPr>
        <w:tc>
          <w:tcPr>
            <w:tcW w:w="8840" w:type="dxa"/>
            <w:vAlign w:val="bottom"/>
          </w:tcPr>
          <w:p>
            <w:pPr>
              <w:spacing w:after="0"/>
              <w:rPr>
                <w:sz w:val="20"/>
                <w:szCs w:val="20"/>
                <w:color w:val="auto"/>
              </w:rPr>
            </w:pPr>
            <w:r>
              <w:rPr>
                <w:rFonts w:ascii="Times New Roman" w:cs="Times New Roman" w:eastAsia="Times New Roman" w:hAnsi="Times New Roman"/>
                <w:sz w:val="12"/>
                <w:szCs w:val="12"/>
                <w:color w:val="auto"/>
              </w:rPr>
              <w:t>Balances as of March 31, 2025</w:t>
            </w:r>
          </w:p>
        </w:tc>
        <w:tc>
          <w:tcPr>
            <w:tcW w:w="10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830,758</w:t>
            </w:r>
          </w:p>
        </w:tc>
      </w:tr>
      <w:tr>
        <w:trPr>
          <w:trHeight w:val="149"/>
        </w:trPr>
        <w:tc>
          <w:tcPr>
            <w:tcW w:w="8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Construction and net market appreciation</w:t>
            </w:r>
          </w:p>
        </w:tc>
        <w:tc>
          <w:tcPr>
            <w:tcW w:w="10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(25,313)</w:t>
            </w:r>
          </w:p>
        </w:tc>
      </w:tr>
      <w:tr>
        <w:trPr>
          <w:trHeight w:val="162"/>
        </w:trPr>
        <w:tc>
          <w:tcPr>
            <w:tcW w:w="8840" w:type="dxa"/>
            <w:vAlign w:val="bottom"/>
          </w:tcPr>
          <w:p>
            <w:pPr>
              <w:ind w:left="120"/>
              <w:spacing w:after="0" w:line="162" w:lineRule="exact"/>
              <w:rPr>
                <w:sz w:val="20"/>
                <w:szCs w:val="20"/>
                <w:color w:val="auto"/>
              </w:rPr>
            </w:pPr>
            <w:r>
              <w:rPr>
                <w:rFonts w:ascii="Times New Roman" w:cs="Times New Roman" w:eastAsia="Times New Roman" w:hAnsi="Times New Roman"/>
                <w:sz w:val="12"/>
                <w:szCs w:val="12"/>
                <w:color w:val="auto"/>
              </w:rPr>
              <w:t xml:space="preserve">Assets sold or disposed </w:t>
            </w:r>
            <w:r>
              <w:rPr>
                <w:rFonts w:ascii="Times New Roman" w:cs="Times New Roman" w:eastAsia="Times New Roman" w:hAnsi="Times New Roman"/>
                <w:sz w:val="15"/>
                <w:szCs w:val="15"/>
                <w:color w:val="auto"/>
                <w:vertAlign w:val="superscript"/>
              </w:rPr>
              <w:t>(2)</w:t>
            </w:r>
          </w:p>
        </w:tc>
        <w:tc>
          <w:tcPr>
            <w:tcW w:w="10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(1,487)</w:t>
            </w:r>
          </w:p>
        </w:tc>
      </w:tr>
      <w:tr>
        <w:trPr>
          <w:trHeight w:val="180"/>
        </w:trPr>
        <w:tc>
          <w:tcPr>
            <w:tcW w:w="8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xml:space="preserve">Credit </w:t>
            </w:r>
            <w:r>
              <w:rPr>
                <w:rFonts w:ascii="Times New Roman" w:cs="Times New Roman" w:eastAsia="Times New Roman" w:hAnsi="Times New Roman"/>
                <w:sz w:val="15"/>
                <w:szCs w:val="15"/>
                <w:color w:val="auto"/>
                <w:vertAlign w:val="superscript"/>
              </w:rPr>
              <w:t>(3)</w:t>
            </w:r>
          </w:p>
        </w:tc>
        <w:tc>
          <w:tcPr>
            <w:tcW w:w="10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627</w:t>
            </w:r>
          </w:p>
        </w:tc>
      </w:tr>
      <w:tr>
        <w:trPr>
          <w:trHeight w:val="176"/>
        </w:trPr>
        <w:tc>
          <w:tcPr>
            <w:tcW w:w="8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5"/>
                <w:szCs w:val="15"/>
                <w:color w:val="auto"/>
                <w:vertAlign w:val="superscript"/>
              </w:rPr>
              <w:t>(3)</w:t>
            </w:r>
          </w:p>
        </w:tc>
        <w:tc>
          <w:tcPr>
            <w:tcW w:w="10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(1,409)</w:t>
            </w:r>
          </w:p>
        </w:tc>
      </w:tr>
      <w:tr>
        <w:trPr>
          <w:trHeight w:val="140"/>
        </w:trPr>
        <w:tc>
          <w:tcPr>
            <w:tcW w:w="8840" w:type="dxa"/>
            <w:vAlign w:val="bottom"/>
          </w:tcPr>
          <w:p>
            <w:pPr>
              <w:spacing w:after="0"/>
              <w:rPr>
                <w:sz w:val="20"/>
                <w:szCs w:val="20"/>
                <w:color w:val="auto"/>
              </w:rPr>
            </w:pPr>
            <w:r>
              <w:rPr>
                <w:rFonts w:ascii="Times New Roman" w:cs="Times New Roman" w:eastAsia="Times New Roman" w:hAnsi="Times New Roman"/>
                <w:sz w:val="12"/>
                <w:szCs w:val="12"/>
                <w:color w:val="auto"/>
              </w:rPr>
              <w:t>Balances as of June 30, 2025</w:t>
            </w:r>
          </w:p>
        </w:tc>
        <w:tc>
          <w:tcPr>
            <w:tcW w:w="10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803,176</w:t>
            </w:r>
          </w:p>
        </w:tc>
      </w:tr>
      <w:tr>
        <w:trPr>
          <w:trHeight w:val="149"/>
        </w:trPr>
        <w:tc>
          <w:tcPr>
            <w:tcW w:w="8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Construction and net market appreciation</w:t>
            </w:r>
          </w:p>
        </w:tc>
        <w:tc>
          <w:tcPr>
            <w:tcW w:w="10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(6,683)</w:t>
            </w:r>
          </w:p>
        </w:tc>
      </w:tr>
      <w:tr>
        <w:trPr>
          <w:trHeight w:val="162"/>
        </w:trPr>
        <w:tc>
          <w:tcPr>
            <w:tcW w:w="8840" w:type="dxa"/>
            <w:vAlign w:val="bottom"/>
          </w:tcPr>
          <w:p>
            <w:pPr>
              <w:ind w:left="120"/>
              <w:spacing w:after="0" w:line="162" w:lineRule="exact"/>
              <w:rPr>
                <w:sz w:val="20"/>
                <w:szCs w:val="20"/>
                <w:color w:val="auto"/>
              </w:rPr>
            </w:pPr>
            <w:r>
              <w:rPr>
                <w:rFonts w:ascii="Times New Roman" w:cs="Times New Roman" w:eastAsia="Times New Roman" w:hAnsi="Times New Roman"/>
                <w:sz w:val="12"/>
                <w:szCs w:val="12"/>
                <w:color w:val="auto"/>
              </w:rPr>
              <w:t xml:space="preserve">Assets sold or disposed </w:t>
            </w:r>
            <w:r>
              <w:rPr>
                <w:rFonts w:ascii="Times New Roman" w:cs="Times New Roman" w:eastAsia="Times New Roman" w:hAnsi="Times New Roman"/>
                <w:sz w:val="15"/>
                <w:szCs w:val="15"/>
                <w:color w:val="auto"/>
                <w:vertAlign w:val="superscript"/>
              </w:rPr>
              <w:t>(2)</w:t>
            </w:r>
          </w:p>
        </w:tc>
        <w:tc>
          <w:tcPr>
            <w:tcW w:w="10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(1,917)</w:t>
            </w:r>
          </w:p>
        </w:tc>
      </w:tr>
      <w:tr>
        <w:trPr>
          <w:trHeight w:val="180"/>
        </w:trPr>
        <w:tc>
          <w:tcPr>
            <w:tcW w:w="8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xml:space="preserve">Credit </w:t>
            </w:r>
            <w:r>
              <w:rPr>
                <w:rFonts w:ascii="Times New Roman" w:cs="Times New Roman" w:eastAsia="Times New Roman" w:hAnsi="Times New Roman"/>
                <w:sz w:val="15"/>
                <w:szCs w:val="15"/>
                <w:color w:val="auto"/>
                <w:vertAlign w:val="superscript"/>
              </w:rPr>
              <w:t>(3)</w:t>
            </w:r>
          </w:p>
        </w:tc>
        <w:tc>
          <w:tcPr>
            <w:tcW w:w="10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2,334</w:t>
            </w:r>
          </w:p>
        </w:tc>
      </w:tr>
      <w:tr>
        <w:trPr>
          <w:trHeight w:val="176"/>
        </w:trPr>
        <w:tc>
          <w:tcPr>
            <w:tcW w:w="8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5"/>
                <w:szCs w:val="15"/>
                <w:color w:val="auto"/>
                <w:vertAlign w:val="superscript"/>
              </w:rPr>
              <w:t>(3)</w:t>
            </w:r>
          </w:p>
        </w:tc>
        <w:tc>
          <w:tcPr>
            <w:tcW w:w="10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w:t>
            </w:r>
          </w:p>
        </w:tc>
      </w:tr>
      <w:tr>
        <w:trPr>
          <w:trHeight w:val="144"/>
        </w:trPr>
        <w:tc>
          <w:tcPr>
            <w:tcW w:w="8840" w:type="dxa"/>
            <w:vAlign w:val="bottom"/>
          </w:tcPr>
          <w:p>
            <w:pPr>
              <w:spacing w:after="0"/>
              <w:rPr>
                <w:sz w:val="20"/>
                <w:szCs w:val="20"/>
                <w:color w:val="auto"/>
              </w:rPr>
            </w:pPr>
            <w:r>
              <w:rPr>
                <w:rFonts w:ascii="Times New Roman" w:cs="Times New Roman" w:eastAsia="Times New Roman" w:hAnsi="Times New Roman"/>
                <w:sz w:val="12"/>
                <w:szCs w:val="12"/>
                <w:color w:val="auto"/>
              </w:rPr>
              <w:t>Balances as of September 30, 2025</w:t>
            </w:r>
          </w:p>
        </w:tc>
        <w:tc>
          <w:tcPr>
            <w:tcW w:w="10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797,033</w:t>
            </w:r>
          </w:p>
        </w:tc>
      </w:tr>
      <w:tr>
        <w:trPr>
          <w:trHeight w:val="176"/>
        </w:trPr>
        <w:tc>
          <w:tcPr>
            <w:tcW w:w="8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xml:space="preserve">Assets acquired </w:t>
            </w:r>
            <w:r>
              <w:rPr>
                <w:rFonts w:ascii="Times New Roman" w:cs="Times New Roman" w:eastAsia="Times New Roman" w:hAnsi="Times New Roman"/>
                <w:sz w:val="15"/>
                <w:szCs w:val="15"/>
                <w:color w:val="auto"/>
                <w:vertAlign w:val="superscript"/>
              </w:rPr>
              <w:t>(1)</w:t>
            </w:r>
          </w:p>
        </w:tc>
        <w:tc>
          <w:tcPr>
            <w:tcW w:w="10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w:t>
            </w:r>
          </w:p>
        </w:tc>
      </w:tr>
      <w:tr>
        <w:trPr>
          <w:trHeight w:val="149"/>
        </w:trPr>
        <w:tc>
          <w:tcPr>
            <w:tcW w:w="8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Construction and net market appreciation</w:t>
            </w:r>
          </w:p>
        </w:tc>
        <w:tc>
          <w:tcPr>
            <w:tcW w:w="10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1,837</w:t>
            </w:r>
          </w:p>
        </w:tc>
      </w:tr>
      <w:tr>
        <w:trPr>
          <w:trHeight w:val="162"/>
        </w:trPr>
        <w:tc>
          <w:tcPr>
            <w:tcW w:w="8840" w:type="dxa"/>
            <w:vAlign w:val="bottom"/>
          </w:tcPr>
          <w:p>
            <w:pPr>
              <w:ind w:left="120"/>
              <w:spacing w:after="0" w:line="162" w:lineRule="exact"/>
              <w:rPr>
                <w:sz w:val="20"/>
                <w:szCs w:val="20"/>
                <w:color w:val="auto"/>
              </w:rPr>
            </w:pPr>
            <w:r>
              <w:rPr>
                <w:rFonts w:ascii="Times New Roman" w:cs="Times New Roman" w:eastAsia="Times New Roman" w:hAnsi="Times New Roman"/>
                <w:sz w:val="12"/>
                <w:szCs w:val="12"/>
                <w:color w:val="auto"/>
              </w:rPr>
              <w:t xml:space="preserve">Assets sold or disposed </w:t>
            </w:r>
            <w:r>
              <w:rPr>
                <w:rFonts w:ascii="Times New Roman" w:cs="Times New Roman" w:eastAsia="Times New Roman" w:hAnsi="Times New Roman"/>
                <w:sz w:val="15"/>
                <w:szCs w:val="15"/>
                <w:color w:val="auto"/>
                <w:vertAlign w:val="superscript"/>
              </w:rPr>
              <w:t>(2)</w:t>
            </w:r>
          </w:p>
        </w:tc>
        <w:tc>
          <w:tcPr>
            <w:tcW w:w="10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(27,756)</w:t>
            </w:r>
          </w:p>
        </w:tc>
      </w:tr>
      <w:tr>
        <w:trPr>
          <w:trHeight w:val="180"/>
        </w:trPr>
        <w:tc>
          <w:tcPr>
            <w:tcW w:w="8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xml:space="preserve">Credit </w:t>
            </w:r>
            <w:r>
              <w:rPr>
                <w:rFonts w:ascii="Times New Roman" w:cs="Times New Roman" w:eastAsia="Times New Roman" w:hAnsi="Times New Roman"/>
                <w:sz w:val="15"/>
                <w:szCs w:val="15"/>
                <w:color w:val="auto"/>
                <w:vertAlign w:val="superscript"/>
              </w:rPr>
              <w:t>(3)</w:t>
            </w:r>
          </w:p>
        </w:tc>
        <w:tc>
          <w:tcPr>
            <w:tcW w:w="10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6,472</w:t>
            </w:r>
          </w:p>
        </w:tc>
      </w:tr>
      <w:tr>
        <w:trPr>
          <w:trHeight w:val="176"/>
        </w:trPr>
        <w:tc>
          <w:tcPr>
            <w:tcW w:w="8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5"/>
                <w:szCs w:val="15"/>
                <w:color w:val="auto"/>
                <w:vertAlign w:val="superscript"/>
              </w:rPr>
              <w:t>(3)</w:t>
            </w:r>
          </w:p>
        </w:tc>
        <w:tc>
          <w:tcPr>
            <w:tcW w:w="10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w:t>
            </w:r>
          </w:p>
        </w:tc>
      </w:tr>
      <w:tr>
        <w:trPr>
          <w:trHeight w:val="142"/>
        </w:trPr>
        <w:tc>
          <w:tcPr>
            <w:tcW w:w="8840" w:type="dxa"/>
            <w:vAlign w:val="bottom"/>
          </w:tcPr>
          <w:p>
            <w:pPr>
              <w:spacing w:after="0"/>
              <w:rPr>
                <w:sz w:val="20"/>
                <w:szCs w:val="20"/>
                <w:color w:val="auto"/>
              </w:rPr>
            </w:pPr>
            <w:r>
              <w:rPr>
                <w:rFonts w:ascii="Times New Roman" w:cs="Times New Roman" w:eastAsia="Times New Roman" w:hAnsi="Times New Roman"/>
                <w:sz w:val="12"/>
                <w:szCs w:val="12"/>
                <w:color w:val="auto"/>
              </w:rPr>
              <w:t>Balances as of December 31, 2025</w:t>
            </w:r>
          </w:p>
        </w:tc>
        <w:tc>
          <w:tcPr>
            <w:tcW w:w="104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779,730</w:t>
            </w:r>
          </w:p>
        </w:tc>
      </w:tr>
      <w:tr>
        <w:trPr>
          <w:trHeight w:val="20"/>
        </w:trPr>
        <w:tc>
          <w:tcPr>
            <w:tcW w:w="8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___________________________________________</w:t>
      </w:r>
    </w:p>
    <w:p>
      <w:pPr>
        <w:ind w:left="188" w:hanging="188"/>
        <w:spacing w:after="0" w:line="209" w:lineRule="auto"/>
        <w:tabs>
          <w:tab w:leader="none" w:pos="188"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Assets acquired during the year ended December 31, 2025 include one self storage property in Colorado and one land parcel intended for hotel development in Texas.</w:t>
      </w:r>
    </w:p>
    <w:p>
      <w:pPr>
        <w:spacing w:after="0" w:line="1" w:lineRule="exact"/>
        <w:rPr>
          <w:rFonts w:ascii="Times New Roman" w:cs="Times New Roman" w:eastAsia="Times New Roman" w:hAnsi="Times New Roman"/>
          <w:sz w:val="16"/>
          <w:szCs w:val="16"/>
          <w:color w:val="auto"/>
          <w:vertAlign w:val="superscript"/>
        </w:rPr>
      </w:pPr>
    </w:p>
    <w:p>
      <w:pPr>
        <w:ind w:left="188" w:hanging="188"/>
        <w:spacing w:after="0" w:line="186" w:lineRule="auto"/>
        <w:tabs>
          <w:tab w:leader="none" w:pos="188"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Assets sold during the year ended December 31, 2025 include three hospitality assets and various lot sales related to development assets.</w:t>
      </w:r>
    </w:p>
    <w:p>
      <w:pPr>
        <w:spacing w:after="0" w:line="1" w:lineRule="exact"/>
        <w:rPr>
          <w:rFonts w:ascii="Times New Roman" w:cs="Times New Roman" w:eastAsia="Times New Roman" w:hAnsi="Times New Roman"/>
          <w:sz w:val="16"/>
          <w:szCs w:val="16"/>
          <w:color w:val="auto"/>
          <w:vertAlign w:val="superscript"/>
        </w:rPr>
      </w:pPr>
    </w:p>
    <w:p>
      <w:pPr>
        <w:ind w:left="188" w:hanging="188"/>
        <w:spacing w:after="0" w:line="186" w:lineRule="auto"/>
        <w:tabs>
          <w:tab w:leader="none" w:pos="188"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FV AUM represents undeployed capital held in our diversified funds.</w:t>
      </w:r>
    </w:p>
    <w:p>
      <w:pPr>
        <w:spacing w:after="0" w:line="1" w:lineRule="exact"/>
        <w:rPr>
          <w:rFonts w:ascii="Times New Roman" w:cs="Times New Roman" w:eastAsia="Times New Roman" w:hAnsi="Times New Roman"/>
          <w:sz w:val="16"/>
          <w:szCs w:val="16"/>
          <w:color w:val="auto"/>
          <w:vertAlign w:val="superscript"/>
        </w:rPr>
      </w:pPr>
    </w:p>
    <w:p>
      <w:pPr>
        <w:ind w:left="188" w:hanging="188"/>
        <w:spacing w:after="0" w:line="186" w:lineRule="auto"/>
        <w:tabs>
          <w:tab w:leader="none" w:pos="188"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Credit FV AUM represents loans made to Caliber’s investment funds by our diversified credit fund.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8"/>
          </w:cols>
          <w:pgMar w:left="292" w:top="989" w:right="299" w:bottom="1440" w:gutter="0" w:footer="0" w:header="0"/>
        </w:sectPr>
      </w:pPr>
    </w:p>
    <w:bookmarkStart w:id="14" w:name="page15"/>
    <w:bookmarkEnd w:id="14"/>
    <w:p>
      <w:pPr>
        <w:ind w:left="8"/>
        <w:spacing w:after="0"/>
        <w:rPr>
          <w:sz w:val="20"/>
          <w:szCs w:val="20"/>
          <w:color w:val="auto"/>
        </w:rPr>
      </w:pPr>
      <w:r>
        <w:rPr>
          <w:rFonts w:ascii="Times New Roman" w:cs="Times New Roman" w:eastAsia="Times New Roman" w:hAnsi="Times New Roman"/>
          <w:sz w:val="12"/>
          <w:szCs w:val="12"/>
          <w:b w:val="1"/>
          <w:bCs w:val="1"/>
          <w:color w:val="auto"/>
        </w:rPr>
        <w:t>FV AUM, by asset class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(AMOUNTS IN THOUSANDS) (UNAUDITED)</w:t>
      </w:r>
    </w:p>
    <w:p>
      <w:pPr>
        <w:spacing w:after="0" w:line="180" w:lineRule="exact"/>
        <w:rPr>
          <w:sz w:val="20"/>
          <w:szCs w:val="20"/>
          <w:color w:val="auto"/>
        </w:rPr>
      </w:pPr>
    </w:p>
    <w:tbl>
      <w:tblPr>
        <w:tblLayout w:type="fixed"/>
        <w:tblInd w:w="28" w:type="dxa"/>
        <w:tblCellMar>
          <w:top w:w="0" w:type="dxa"/>
          <w:left w:w="0" w:type="dxa"/>
          <w:bottom w:w="0" w:type="dxa"/>
          <w:right w:w="0" w:type="dxa"/>
        </w:tblCellMar>
      </w:tblPr>
      <w:tr>
        <w:trPr>
          <w:trHeight w:val="159"/>
        </w:trPr>
        <w:tc>
          <w:tcPr>
            <w:tcW w:w="6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Real Estate</w:t>
            </w:r>
          </w:p>
        </w:tc>
        <w:tc>
          <w:tcPr>
            <w:tcW w:w="17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31"/>
        </w:trPr>
        <w:tc>
          <w:tcPr>
            <w:tcW w:w="6500" w:type="dxa"/>
            <w:vAlign w:val="bottom"/>
            <w:vMerge w:val="continue"/>
          </w:tcPr>
          <w:p>
            <w:pPr>
              <w:spacing w:after="0"/>
              <w:rPr>
                <w:sz w:val="11"/>
                <w:szCs w:val="11"/>
                <w:color w:val="auto"/>
              </w:rPr>
            </w:pPr>
          </w:p>
        </w:tc>
        <w:tc>
          <w:tcPr>
            <w:tcW w:w="1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5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Hospitality</w:t>
            </w:r>
          </w:p>
        </w:tc>
        <w:tc>
          <w:tcPr>
            <w:tcW w:w="1760" w:type="dxa"/>
            <w:vAlign w:val="bottom"/>
          </w:tcPr>
          <w:p>
            <w:pPr>
              <w:jc w:val="right"/>
              <w:ind w:right="164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55,600</w:t>
            </w:r>
          </w:p>
        </w:tc>
        <w:tc>
          <w:tcPr>
            <w:tcW w:w="14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68,500</w:t>
            </w:r>
          </w:p>
        </w:tc>
        <w:tc>
          <w:tcPr>
            <w:tcW w:w="0" w:type="dxa"/>
            <w:vAlign w:val="bottom"/>
          </w:tcPr>
          <w:p>
            <w:pPr>
              <w:spacing w:after="0"/>
              <w:rPr>
                <w:sz w:val="1"/>
                <w:szCs w:val="1"/>
                <w:color w:val="auto"/>
              </w:rPr>
            </w:pPr>
          </w:p>
        </w:tc>
      </w:tr>
      <w:tr>
        <w:trPr>
          <w:trHeight w:val="153"/>
        </w:trPr>
        <w:tc>
          <w:tcPr>
            <w:tcW w:w="65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Caliber Hospitality Trust</w:t>
            </w:r>
          </w:p>
        </w:tc>
        <w:tc>
          <w:tcPr>
            <w:tcW w:w="17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191,900</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236,800</w:t>
            </w:r>
          </w:p>
        </w:tc>
        <w:tc>
          <w:tcPr>
            <w:tcW w:w="0" w:type="dxa"/>
            <w:vAlign w:val="bottom"/>
          </w:tcPr>
          <w:p>
            <w:pPr>
              <w:spacing w:after="0"/>
              <w:rPr>
                <w:sz w:val="1"/>
                <w:szCs w:val="1"/>
                <w:color w:val="auto"/>
              </w:rPr>
            </w:pPr>
          </w:p>
        </w:tc>
      </w:tr>
      <w:tr>
        <w:trPr>
          <w:trHeight w:val="153"/>
        </w:trPr>
        <w:tc>
          <w:tcPr>
            <w:tcW w:w="65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Residential</w:t>
            </w:r>
          </w:p>
        </w:tc>
        <w:tc>
          <w:tcPr>
            <w:tcW w:w="17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165,900</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161,700</w:t>
            </w:r>
          </w:p>
        </w:tc>
        <w:tc>
          <w:tcPr>
            <w:tcW w:w="0" w:type="dxa"/>
            <w:vAlign w:val="bottom"/>
          </w:tcPr>
          <w:p>
            <w:pPr>
              <w:spacing w:after="0"/>
              <w:rPr>
                <w:sz w:val="1"/>
                <w:szCs w:val="1"/>
                <w:color w:val="auto"/>
              </w:rPr>
            </w:pPr>
          </w:p>
        </w:tc>
      </w:tr>
      <w:tr>
        <w:trPr>
          <w:trHeight w:val="155"/>
        </w:trPr>
        <w:tc>
          <w:tcPr>
            <w:tcW w:w="65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Commercial</w:t>
            </w:r>
          </w:p>
        </w:tc>
        <w:tc>
          <w:tcPr>
            <w:tcW w:w="17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280,000</w:t>
            </w:r>
          </w:p>
        </w:tc>
        <w:tc>
          <w:tcPr>
            <w:tcW w:w="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249,600</w:t>
            </w:r>
          </w:p>
        </w:tc>
        <w:tc>
          <w:tcPr>
            <w:tcW w:w="0" w:type="dxa"/>
            <w:vAlign w:val="bottom"/>
          </w:tcPr>
          <w:p>
            <w:pPr>
              <w:spacing w:after="0"/>
              <w:rPr>
                <w:sz w:val="1"/>
                <w:szCs w:val="1"/>
                <w:color w:val="auto"/>
              </w:rPr>
            </w:pPr>
          </w:p>
        </w:tc>
      </w:tr>
      <w:tr>
        <w:trPr>
          <w:trHeight w:val="137"/>
        </w:trPr>
        <w:tc>
          <w:tcPr>
            <w:tcW w:w="6500" w:type="dxa"/>
            <w:vAlign w:val="bottom"/>
          </w:tcPr>
          <w:p>
            <w:pPr>
              <w:ind w:left="280"/>
              <w:spacing w:after="0" w:line="137" w:lineRule="exact"/>
              <w:rPr>
                <w:sz w:val="20"/>
                <w:szCs w:val="20"/>
                <w:color w:val="auto"/>
              </w:rPr>
            </w:pPr>
            <w:r>
              <w:rPr>
                <w:rFonts w:ascii="Times New Roman" w:cs="Times New Roman" w:eastAsia="Times New Roman" w:hAnsi="Times New Roman"/>
                <w:sz w:val="12"/>
                <w:szCs w:val="12"/>
                <w:color w:val="auto"/>
              </w:rPr>
              <w:t>Total Real Estate</w:t>
            </w:r>
          </w:p>
        </w:tc>
        <w:tc>
          <w:tcPr>
            <w:tcW w:w="17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693,400</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716,600</w:t>
            </w:r>
          </w:p>
        </w:tc>
        <w:tc>
          <w:tcPr>
            <w:tcW w:w="0" w:type="dxa"/>
            <w:vAlign w:val="bottom"/>
          </w:tcPr>
          <w:p>
            <w:pPr>
              <w:spacing w:after="0"/>
              <w:rPr>
                <w:sz w:val="1"/>
                <w:szCs w:val="1"/>
                <w:color w:val="auto"/>
              </w:rPr>
            </w:pPr>
          </w:p>
        </w:tc>
      </w:tr>
      <w:tr>
        <w:trPr>
          <w:trHeight w:val="153"/>
        </w:trPr>
        <w:tc>
          <w:tcPr>
            <w:tcW w:w="6500" w:type="dxa"/>
            <w:vAlign w:val="bottom"/>
          </w:tcPr>
          <w:p>
            <w:pPr>
              <w:ind w:left="60"/>
              <w:spacing w:after="0" w:line="153" w:lineRule="exact"/>
              <w:rPr>
                <w:sz w:val="20"/>
                <w:szCs w:val="20"/>
                <w:color w:val="auto"/>
              </w:rPr>
            </w:pPr>
            <w:r>
              <w:rPr>
                <w:rFonts w:ascii="Times New Roman" w:cs="Times New Roman" w:eastAsia="Times New Roman" w:hAnsi="Times New Roman"/>
                <w:sz w:val="12"/>
                <w:szCs w:val="12"/>
                <w:color w:val="auto"/>
              </w:rPr>
              <w:t>Credit</w:t>
            </w:r>
            <w:r>
              <w:rPr>
                <w:rFonts w:ascii="Times New Roman" w:cs="Times New Roman" w:eastAsia="Times New Roman" w:hAnsi="Times New Roman"/>
                <w:sz w:val="15"/>
                <w:szCs w:val="15"/>
                <w:color w:val="auto"/>
                <w:vertAlign w:val="superscript"/>
              </w:rPr>
              <w:t>(1)</w:t>
            </w:r>
          </w:p>
        </w:tc>
        <w:tc>
          <w:tcPr>
            <w:tcW w:w="17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82,163</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72,351</w:t>
            </w:r>
          </w:p>
        </w:tc>
        <w:tc>
          <w:tcPr>
            <w:tcW w:w="0" w:type="dxa"/>
            <w:vAlign w:val="bottom"/>
          </w:tcPr>
          <w:p>
            <w:pPr>
              <w:spacing w:after="0"/>
              <w:rPr>
                <w:sz w:val="1"/>
                <w:szCs w:val="1"/>
                <w:color w:val="auto"/>
              </w:rPr>
            </w:pPr>
          </w:p>
        </w:tc>
      </w:tr>
      <w:tr>
        <w:trPr>
          <w:trHeight w:val="158"/>
        </w:trPr>
        <w:tc>
          <w:tcPr>
            <w:tcW w:w="6500" w:type="dxa"/>
            <w:vAlign w:val="bottom"/>
          </w:tcPr>
          <w:p>
            <w:pPr>
              <w:ind w:left="60"/>
              <w:spacing w:after="0" w:line="159" w:lineRule="exact"/>
              <w:rPr>
                <w:sz w:val="20"/>
                <w:szCs w:val="20"/>
                <w:color w:val="auto"/>
              </w:rPr>
            </w:pPr>
            <w:r>
              <w:rPr>
                <w:rFonts w:ascii="Times New Roman" w:cs="Times New Roman" w:eastAsia="Times New Roman" w:hAnsi="Times New Roman"/>
                <w:sz w:val="12"/>
                <w:szCs w:val="12"/>
                <w:color w:val="auto"/>
              </w:rPr>
              <w:t>Other</w:t>
            </w:r>
            <w:r>
              <w:rPr>
                <w:rFonts w:ascii="Times New Roman" w:cs="Times New Roman" w:eastAsia="Times New Roman" w:hAnsi="Times New Roman"/>
                <w:sz w:val="15"/>
                <w:szCs w:val="15"/>
                <w:color w:val="auto"/>
                <w:vertAlign w:val="superscript"/>
              </w:rPr>
              <w:t>(2)</w:t>
            </w:r>
          </w:p>
        </w:tc>
        <w:tc>
          <w:tcPr>
            <w:tcW w:w="17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4,167</w:t>
            </w:r>
          </w:p>
        </w:tc>
        <w:tc>
          <w:tcPr>
            <w:tcW w:w="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5,972</w:t>
            </w:r>
          </w:p>
        </w:tc>
        <w:tc>
          <w:tcPr>
            <w:tcW w:w="0" w:type="dxa"/>
            <w:vAlign w:val="bottom"/>
          </w:tcPr>
          <w:p>
            <w:pPr>
              <w:spacing w:after="0"/>
              <w:rPr>
                <w:sz w:val="1"/>
                <w:szCs w:val="1"/>
                <w:color w:val="auto"/>
              </w:rPr>
            </w:pPr>
          </w:p>
        </w:tc>
      </w:tr>
      <w:tr>
        <w:trPr>
          <w:trHeight w:val="142"/>
        </w:trPr>
        <w:tc>
          <w:tcPr>
            <w:tcW w:w="650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1760" w:type="dxa"/>
            <w:vAlign w:val="bottom"/>
            <w:tcBorders>
              <w:bottom w:val="single" w:sz="8" w:color="auto"/>
            </w:tcBorders>
          </w:tcPr>
          <w:p>
            <w:pPr>
              <w:jc w:val="right"/>
              <w:ind w:right="164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779,730</w:t>
            </w:r>
          </w:p>
        </w:tc>
        <w:tc>
          <w:tcPr>
            <w:tcW w:w="14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794,923</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___________________________________________</w:t>
      </w:r>
    </w:p>
    <w:p>
      <w:pPr>
        <w:ind w:left="188" w:hanging="188"/>
        <w:spacing w:after="0" w:line="209" w:lineRule="auto"/>
        <w:tabs>
          <w:tab w:leader="none" w:pos="188"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FV AUM represents undeployed capital held in our diversified funds.</w:t>
      </w:r>
    </w:p>
    <w:p>
      <w:pPr>
        <w:spacing w:after="0" w:line="1" w:lineRule="exact"/>
        <w:rPr>
          <w:rFonts w:ascii="Times New Roman" w:cs="Times New Roman" w:eastAsia="Times New Roman" w:hAnsi="Times New Roman"/>
          <w:sz w:val="16"/>
          <w:szCs w:val="16"/>
          <w:color w:val="auto"/>
          <w:vertAlign w:val="superscript"/>
        </w:rPr>
      </w:pPr>
    </w:p>
    <w:p>
      <w:pPr>
        <w:ind w:left="188" w:hanging="188"/>
        <w:spacing w:after="0" w:line="186" w:lineRule="auto"/>
        <w:tabs>
          <w:tab w:leader="none" w:pos="188"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Credit FV AUM represents loans made to Caliber’s investment funds by our diversified credit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288"/>
          </w:cols>
          <w:pgMar w:left="292" w:top="1313" w:right="319" w:bottom="1440" w:gutter="0" w:footer="0" w:header="0"/>
        </w:sectPr>
      </w:pPr>
    </w:p>
    <w:bookmarkStart w:id="15" w:name="page16"/>
    <w:bookmarkEnd w:id="15"/>
    <w:p>
      <w:pPr>
        <w:ind w:left="8"/>
        <w:spacing w:after="0"/>
        <w:rPr>
          <w:sz w:val="20"/>
          <w:szCs w:val="20"/>
          <w:color w:val="auto"/>
        </w:rPr>
      </w:pPr>
      <w:r>
        <w:rPr>
          <w:rFonts w:ascii="Times New Roman" w:cs="Times New Roman" w:eastAsia="Times New Roman" w:hAnsi="Times New Roman"/>
          <w:sz w:val="12"/>
          <w:szCs w:val="12"/>
          <w:b w:val="1"/>
          <w:bCs w:val="1"/>
          <w:color w:val="auto"/>
        </w:rPr>
        <w:t>MANAGED CAPITAL</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(AMOUNTS IN THOUSANDS) (UNAUDITED)</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89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Managed Capital</w:t>
            </w:r>
          </w:p>
        </w:tc>
      </w:tr>
      <w:tr>
        <w:trPr>
          <w:trHeight w:val="140"/>
        </w:trPr>
        <w:tc>
          <w:tcPr>
            <w:tcW w:w="8980" w:type="dxa"/>
            <w:vAlign w:val="bottom"/>
          </w:tcPr>
          <w:p>
            <w:pPr>
              <w:spacing w:after="0"/>
              <w:rPr>
                <w:sz w:val="20"/>
                <w:szCs w:val="20"/>
                <w:color w:val="auto"/>
              </w:rPr>
            </w:pPr>
            <w:r>
              <w:rPr>
                <w:rFonts w:ascii="Times New Roman" w:cs="Times New Roman" w:eastAsia="Times New Roman" w:hAnsi="Times New Roman"/>
                <w:sz w:val="12"/>
                <w:szCs w:val="12"/>
                <w:color w:val="auto"/>
              </w:rPr>
              <w:t>Balances as of December 31, 2024</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492,542</w:t>
            </w:r>
          </w:p>
        </w:tc>
      </w:tr>
      <w:tr>
        <w:trPr>
          <w:trHeight w:val="153"/>
        </w:trPr>
        <w:tc>
          <w:tcPr>
            <w:tcW w:w="8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Originations</w:t>
            </w:r>
          </w:p>
        </w:tc>
        <w:tc>
          <w:tcPr>
            <w:tcW w:w="4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2,990</w:t>
            </w:r>
          </w:p>
        </w:tc>
      </w:tr>
      <w:tr>
        <w:trPr>
          <w:trHeight w:val="155"/>
        </w:trPr>
        <w:tc>
          <w:tcPr>
            <w:tcW w:w="8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Return of capital</w:t>
            </w:r>
          </w:p>
        </w:tc>
        <w:tc>
          <w:tcPr>
            <w:tcW w:w="4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(315)</w:t>
            </w:r>
          </w:p>
        </w:tc>
      </w:tr>
      <w:tr>
        <w:trPr>
          <w:trHeight w:val="140"/>
        </w:trPr>
        <w:tc>
          <w:tcPr>
            <w:tcW w:w="8980" w:type="dxa"/>
            <w:vAlign w:val="bottom"/>
          </w:tcPr>
          <w:p>
            <w:pPr>
              <w:spacing w:after="0"/>
              <w:rPr>
                <w:sz w:val="20"/>
                <w:szCs w:val="20"/>
                <w:color w:val="auto"/>
              </w:rPr>
            </w:pPr>
            <w:r>
              <w:rPr>
                <w:rFonts w:ascii="Times New Roman" w:cs="Times New Roman" w:eastAsia="Times New Roman" w:hAnsi="Times New Roman"/>
                <w:sz w:val="12"/>
                <w:szCs w:val="12"/>
                <w:color w:val="auto"/>
              </w:rPr>
              <w:t>Balances as of March 31, 2025</w:t>
            </w:r>
          </w:p>
        </w:tc>
        <w:tc>
          <w:tcPr>
            <w:tcW w:w="400" w:type="dxa"/>
            <w:vAlign w:val="bottom"/>
          </w:tcPr>
          <w:p>
            <w:pPr>
              <w:spacing w:after="0"/>
              <w:rPr>
                <w:sz w:val="12"/>
                <w:szCs w:val="1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495,217</w:t>
            </w:r>
          </w:p>
        </w:tc>
      </w:tr>
      <w:tr>
        <w:trPr>
          <w:trHeight w:val="153"/>
        </w:trPr>
        <w:tc>
          <w:tcPr>
            <w:tcW w:w="89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Originations</w:t>
            </w:r>
          </w:p>
        </w:tc>
        <w:tc>
          <w:tcPr>
            <w:tcW w:w="4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4,226</w:t>
            </w:r>
          </w:p>
        </w:tc>
      </w:tr>
      <w:tr>
        <w:trPr>
          <w:trHeight w:val="155"/>
        </w:trPr>
        <w:tc>
          <w:tcPr>
            <w:tcW w:w="89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Return of capital</w:t>
            </w:r>
          </w:p>
        </w:tc>
        <w:tc>
          <w:tcPr>
            <w:tcW w:w="4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(876)</w:t>
            </w:r>
          </w:p>
        </w:tc>
      </w:tr>
      <w:tr>
        <w:trPr>
          <w:trHeight w:val="140"/>
        </w:trPr>
        <w:tc>
          <w:tcPr>
            <w:tcW w:w="8980" w:type="dxa"/>
            <w:vAlign w:val="bottom"/>
          </w:tcPr>
          <w:p>
            <w:pPr>
              <w:spacing w:after="0"/>
              <w:rPr>
                <w:sz w:val="20"/>
                <w:szCs w:val="20"/>
                <w:color w:val="auto"/>
              </w:rPr>
            </w:pPr>
            <w:r>
              <w:rPr>
                <w:rFonts w:ascii="Times New Roman" w:cs="Times New Roman" w:eastAsia="Times New Roman" w:hAnsi="Times New Roman"/>
                <w:sz w:val="12"/>
                <w:szCs w:val="12"/>
                <w:color w:val="auto"/>
              </w:rPr>
              <w:t>Balances as of June 30, 2025</w:t>
            </w:r>
          </w:p>
        </w:tc>
        <w:tc>
          <w:tcPr>
            <w:tcW w:w="400" w:type="dxa"/>
            <w:vAlign w:val="bottom"/>
          </w:tcPr>
          <w:p>
            <w:pPr>
              <w:spacing w:after="0"/>
              <w:rPr>
                <w:sz w:val="12"/>
                <w:szCs w:val="1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498,567</w:t>
            </w:r>
          </w:p>
        </w:tc>
      </w:tr>
      <w:tr>
        <w:trPr>
          <w:trHeight w:val="153"/>
        </w:trPr>
        <w:tc>
          <w:tcPr>
            <w:tcW w:w="89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Originations</w:t>
            </w:r>
          </w:p>
        </w:tc>
        <w:tc>
          <w:tcPr>
            <w:tcW w:w="4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8,086</w:t>
            </w:r>
          </w:p>
        </w:tc>
      </w:tr>
      <w:tr>
        <w:trPr>
          <w:trHeight w:val="155"/>
        </w:trPr>
        <w:tc>
          <w:tcPr>
            <w:tcW w:w="89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Return of capital</w:t>
            </w:r>
          </w:p>
        </w:tc>
        <w:tc>
          <w:tcPr>
            <w:tcW w:w="4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(664)</w:t>
            </w:r>
          </w:p>
        </w:tc>
      </w:tr>
      <w:tr>
        <w:trPr>
          <w:trHeight w:val="140"/>
        </w:trPr>
        <w:tc>
          <w:tcPr>
            <w:tcW w:w="8980" w:type="dxa"/>
            <w:vAlign w:val="bottom"/>
          </w:tcPr>
          <w:p>
            <w:pPr>
              <w:spacing w:after="0"/>
              <w:rPr>
                <w:sz w:val="20"/>
                <w:szCs w:val="20"/>
                <w:color w:val="auto"/>
              </w:rPr>
            </w:pPr>
            <w:r>
              <w:rPr>
                <w:rFonts w:ascii="Times New Roman" w:cs="Times New Roman" w:eastAsia="Times New Roman" w:hAnsi="Times New Roman"/>
                <w:sz w:val="12"/>
                <w:szCs w:val="12"/>
                <w:color w:val="auto"/>
              </w:rPr>
              <w:t>Balances as of September 30, 2025</w:t>
            </w:r>
          </w:p>
        </w:tc>
        <w:tc>
          <w:tcPr>
            <w:tcW w:w="400" w:type="dxa"/>
            <w:vAlign w:val="bottom"/>
          </w:tcPr>
          <w:p>
            <w:pPr>
              <w:spacing w:after="0"/>
              <w:rPr>
                <w:sz w:val="12"/>
                <w:szCs w:val="1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505,989</w:t>
            </w:r>
          </w:p>
        </w:tc>
      </w:tr>
      <w:tr>
        <w:trPr>
          <w:trHeight w:val="155"/>
        </w:trPr>
        <w:tc>
          <w:tcPr>
            <w:tcW w:w="89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Originations</w:t>
            </w:r>
          </w:p>
        </w:tc>
        <w:tc>
          <w:tcPr>
            <w:tcW w:w="4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11,197</w:t>
            </w:r>
          </w:p>
        </w:tc>
      </w:tr>
      <w:tr>
        <w:trPr>
          <w:trHeight w:val="142"/>
        </w:trPr>
        <w:tc>
          <w:tcPr>
            <w:tcW w:w="8980" w:type="dxa"/>
            <w:vAlign w:val="bottom"/>
          </w:tcPr>
          <w:p>
            <w:pPr>
              <w:spacing w:after="0"/>
              <w:rPr>
                <w:sz w:val="20"/>
                <w:szCs w:val="20"/>
                <w:color w:val="auto"/>
              </w:rPr>
            </w:pPr>
            <w:r>
              <w:rPr>
                <w:rFonts w:ascii="Times New Roman" w:cs="Times New Roman" w:eastAsia="Times New Roman" w:hAnsi="Times New Roman"/>
                <w:sz w:val="12"/>
                <w:szCs w:val="12"/>
                <w:color w:val="auto"/>
              </w:rPr>
              <w:t>Balances as of December 31, 2025</w:t>
            </w: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517,186</w:t>
            </w:r>
          </w:p>
        </w:tc>
      </w:tr>
      <w:tr>
        <w:trPr>
          <w:trHeight w:val="20"/>
        </w:trPr>
        <w:tc>
          <w:tcPr>
            <w:tcW w:w="8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Real Estate</w:t>
            </w:r>
          </w:p>
        </w:tc>
        <w:tc>
          <w:tcPr>
            <w:tcW w:w="17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31"/>
        </w:trPr>
        <w:tc>
          <w:tcPr>
            <w:tcW w:w="6540" w:type="dxa"/>
            <w:vAlign w:val="bottom"/>
            <w:vMerge w:val="continue"/>
          </w:tcPr>
          <w:p>
            <w:pPr>
              <w:spacing w:after="0"/>
              <w:rPr>
                <w:sz w:val="11"/>
                <w:szCs w:val="11"/>
                <w:color w:val="auto"/>
              </w:rPr>
            </w:pPr>
          </w:p>
        </w:tc>
        <w:tc>
          <w:tcPr>
            <w:tcW w:w="1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Hospitality</w:t>
            </w:r>
          </w:p>
        </w:tc>
        <w:tc>
          <w:tcPr>
            <w:tcW w:w="1760" w:type="dxa"/>
            <w:vAlign w:val="bottom"/>
          </w:tcPr>
          <w:p>
            <w:pPr>
              <w:jc w:val="right"/>
              <w:ind w:right="164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49,289</w:t>
            </w:r>
          </w:p>
        </w:tc>
        <w:tc>
          <w:tcPr>
            <w:tcW w:w="140" w:type="dxa"/>
            <w:vAlign w:val="bottom"/>
          </w:tcPr>
          <w:p>
            <w:pPr>
              <w:spacing w:after="0"/>
              <w:rPr>
                <w:sz w:val="12"/>
                <w:szCs w:val="12"/>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49,260</w:t>
            </w:r>
          </w:p>
        </w:tc>
        <w:tc>
          <w:tcPr>
            <w:tcW w:w="0" w:type="dxa"/>
            <w:vAlign w:val="bottom"/>
          </w:tcPr>
          <w:p>
            <w:pPr>
              <w:spacing w:after="0"/>
              <w:rPr>
                <w:sz w:val="1"/>
                <w:szCs w:val="1"/>
                <w:color w:val="auto"/>
              </w:rPr>
            </w:pPr>
          </w:p>
        </w:tc>
      </w:tr>
      <w:tr>
        <w:trPr>
          <w:trHeight w:val="157"/>
        </w:trPr>
        <w:tc>
          <w:tcPr>
            <w:tcW w:w="6540" w:type="dxa"/>
            <w:vAlign w:val="bottom"/>
          </w:tcPr>
          <w:p>
            <w:pPr>
              <w:ind w:left="140"/>
              <w:spacing w:after="0" w:line="156" w:lineRule="exact"/>
              <w:rPr>
                <w:sz w:val="20"/>
                <w:szCs w:val="20"/>
                <w:color w:val="auto"/>
              </w:rPr>
            </w:pPr>
            <w:r>
              <w:rPr>
                <w:rFonts w:ascii="Times New Roman" w:cs="Times New Roman" w:eastAsia="Times New Roman" w:hAnsi="Times New Roman"/>
                <w:sz w:val="12"/>
                <w:szCs w:val="12"/>
                <w:color w:val="auto"/>
              </w:rPr>
              <w:t xml:space="preserve">Caliber Hospitality Trust </w:t>
            </w:r>
            <w:r>
              <w:rPr>
                <w:rFonts w:ascii="Times New Roman" w:cs="Times New Roman" w:eastAsia="Times New Roman" w:hAnsi="Times New Roman"/>
                <w:sz w:val="15"/>
                <w:szCs w:val="15"/>
                <w:color w:val="auto"/>
                <w:vertAlign w:val="superscript"/>
              </w:rPr>
              <w:t>(1)</w:t>
            </w:r>
          </w:p>
        </w:tc>
        <w:tc>
          <w:tcPr>
            <w:tcW w:w="17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97,037</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97,414</w:t>
            </w:r>
          </w:p>
        </w:tc>
        <w:tc>
          <w:tcPr>
            <w:tcW w:w="0" w:type="dxa"/>
            <w:vAlign w:val="bottom"/>
          </w:tcPr>
          <w:p>
            <w:pPr>
              <w:spacing w:after="0"/>
              <w:rPr>
                <w:sz w:val="1"/>
                <w:szCs w:val="1"/>
                <w:color w:val="auto"/>
              </w:rPr>
            </w:pPr>
          </w:p>
        </w:tc>
      </w:tr>
      <w:tr>
        <w:trPr>
          <w:trHeight w:val="153"/>
        </w:trPr>
        <w:tc>
          <w:tcPr>
            <w:tcW w:w="6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Residential</w:t>
            </w:r>
          </w:p>
        </w:tc>
        <w:tc>
          <w:tcPr>
            <w:tcW w:w="17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103,961</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96,687</w:t>
            </w:r>
          </w:p>
        </w:tc>
        <w:tc>
          <w:tcPr>
            <w:tcW w:w="0" w:type="dxa"/>
            <w:vAlign w:val="bottom"/>
          </w:tcPr>
          <w:p>
            <w:pPr>
              <w:spacing w:after="0"/>
              <w:rPr>
                <w:sz w:val="1"/>
                <w:szCs w:val="1"/>
                <w:color w:val="auto"/>
              </w:rPr>
            </w:pPr>
          </w:p>
        </w:tc>
      </w:tr>
      <w:tr>
        <w:trPr>
          <w:trHeight w:val="155"/>
        </w:trPr>
        <w:tc>
          <w:tcPr>
            <w:tcW w:w="6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Commercial</w:t>
            </w:r>
          </w:p>
        </w:tc>
        <w:tc>
          <w:tcPr>
            <w:tcW w:w="17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180,569</w:t>
            </w:r>
          </w:p>
        </w:tc>
        <w:tc>
          <w:tcPr>
            <w:tcW w:w="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170,858</w:t>
            </w:r>
          </w:p>
        </w:tc>
        <w:tc>
          <w:tcPr>
            <w:tcW w:w="0" w:type="dxa"/>
            <w:vAlign w:val="bottom"/>
          </w:tcPr>
          <w:p>
            <w:pPr>
              <w:spacing w:after="0"/>
              <w:rPr>
                <w:sz w:val="1"/>
                <w:szCs w:val="1"/>
                <w:color w:val="auto"/>
              </w:rPr>
            </w:pPr>
          </w:p>
        </w:tc>
      </w:tr>
      <w:tr>
        <w:trPr>
          <w:trHeight w:val="137"/>
        </w:trPr>
        <w:tc>
          <w:tcPr>
            <w:tcW w:w="6540" w:type="dxa"/>
            <w:vAlign w:val="bottom"/>
          </w:tcPr>
          <w:p>
            <w:pPr>
              <w:ind w:left="180"/>
              <w:spacing w:after="0" w:line="136" w:lineRule="exact"/>
              <w:rPr>
                <w:sz w:val="20"/>
                <w:szCs w:val="20"/>
                <w:color w:val="auto"/>
              </w:rPr>
            </w:pPr>
            <w:r>
              <w:rPr>
                <w:rFonts w:ascii="Times New Roman" w:cs="Times New Roman" w:eastAsia="Times New Roman" w:hAnsi="Times New Roman"/>
                <w:sz w:val="12"/>
                <w:szCs w:val="12"/>
                <w:color w:val="auto"/>
              </w:rPr>
              <w:t xml:space="preserve">Total Real Estate </w:t>
            </w:r>
            <w:r>
              <w:rPr>
                <w:rFonts w:ascii="Times New Roman" w:cs="Times New Roman" w:eastAsia="Times New Roman" w:hAnsi="Times New Roman"/>
                <w:sz w:val="15"/>
                <w:szCs w:val="15"/>
                <w:color w:val="auto"/>
                <w:vertAlign w:val="superscript"/>
              </w:rPr>
              <w:t>(2)</w:t>
            </w:r>
          </w:p>
        </w:tc>
        <w:tc>
          <w:tcPr>
            <w:tcW w:w="17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430,856</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414,219</w:t>
            </w:r>
          </w:p>
        </w:tc>
        <w:tc>
          <w:tcPr>
            <w:tcW w:w="0" w:type="dxa"/>
            <w:vAlign w:val="bottom"/>
          </w:tcPr>
          <w:p>
            <w:pPr>
              <w:spacing w:after="0"/>
              <w:rPr>
                <w:sz w:val="1"/>
                <w:szCs w:val="1"/>
                <w:color w:val="auto"/>
              </w:rPr>
            </w:pPr>
          </w:p>
        </w:tc>
      </w:tr>
      <w:tr>
        <w:trPr>
          <w:trHeight w:val="153"/>
        </w:trPr>
        <w:tc>
          <w:tcPr>
            <w:tcW w:w="6540" w:type="dxa"/>
            <w:vAlign w:val="bottom"/>
          </w:tcPr>
          <w:p>
            <w:pPr>
              <w:ind w:left="40"/>
              <w:spacing w:after="0" w:line="153" w:lineRule="exact"/>
              <w:rPr>
                <w:sz w:val="20"/>
                <w:szCs w:val="20"/>
                <w:color w:val="auto"/>
              </w:rPr>
            </w:pPr>
            <w:r>
              <w:rPr>
                <w:rFonts w:ascii="Times New Roman" w:cs="Times New Roman" w:eastAsia="Times New Roman" w:hAnsi="Times New Roman"/>
                <w:sz w:val="12"/>
                <w:szCs w:val="12"/>
                <w:color w:val="auto"/>
              </w:rPr>
              <w:t xml:space="preserve">Credit </w:t>
            </w:r>
            <w:r>
              <w:rPr>
                <w:rFonts w:ascii="Times New Roman" w:cs="Times New Roman" w:eastAsia="Times New Roman" w:hAnsi="Times New Roman"/>
                <w:sz w:val="15"/>
                <w:szCs w:val="15"/>
                <w:color w:val="auto"/>
                <w:vertAlign w:val="superscript"/>
              </w:rPr>
              <w:t>(3)</w:t>
            </w:r>
          </w:p>
        </w:tc>
        <w:tc>
          <w:tcPr>
            <w:tcW w:w="17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82,163</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72,351</w:t>
            </w:r>
          </w:p>
        </w:tc>
        <w:tc>
          <w:tcPr>
            <w:tcW w:w="0" w:type="dxa"/>
            <w:vAlign w:val="bottom"/>
          </w:tcPr>
          <w:p>
            <w:pPr>
              <w:spacing w:after="0"/>
              <w:rPr>
                <w:sz w:val="1"/>
                <w:szCs w:val="1"/>
                <w:color w:val="auto"/>
              </w:rPr>
            </w:pPr>
          </w:p>
        </w:tc>
      </w:tr>
      <w:tr>
        <w:trPr>
          <w:trHeight w:val="158"/>
        </w:trPr>
        <w:tc>
          <w:tcPr>
            <w:tcW w:w="6540" w:type="dxa"/>
            <w:vAlign w:val="bottom"/>
          </w:tcPr>
          <w:p>
            <w:pPr>
              <w:ind w:left="40"/>
              <w:spacing w:after="0" w:line="15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5"/>
                <w:szCs w:val="15"/>
                <w:color w:val="auto"/>
                <w:vertAlign w:val="superscript"/>
              </w:rPr>
              <w:t>(4)</w:t>
            </w:r>
          </w:p>
        </w:tc>
        <w:tc>
          <w:tcPr>
            <w:tcW w:w="17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4,167</w:t>
            </w:r>
          </w:p>
        </w:tc>
        <w:tc>
          <w:tcPr>
            <w:tcW w:w="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5,972</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1760" w:type="dxa"/>
            <w:vAlign w:val="bottom"/>
            <w:tcBorders>
              <w:bottom w:val="single" w:sz="8" w:color="auto"/>
            </w:tcBorders>
          </w:tcPr>
          <w:p>
            <w:pPr>
              <w:jc w:val="right"/>
              <w:ind w:right="164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517,186</w:t>
            </w:r>
          </w:p>
        </w:tc>
        <w:tc>
          <w:tcPr>
            <w:tcW w:w="14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492,542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_________________________________________</w:t>
      </w:r>
    </w:p>
    <w:p>
      <w:pPr>
        <w:ind w:left="168" w:hanging="168"/>
        <w:spacing w:after="0" w:line="209" w:lineRule="auto"/>
        <w:tabs>
          <w:tab w:leader="none" w:pos="168"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Company earns a fund management fee of 0.70% of the Caliber Hospitality Trust’s enterprise value and is reimbursed for certain costs incurred on behalf of the Caliber Hospitality Trust.</w:t>
      </w:r>
    </w:p>
    <w:p>
      <w:pPr>
        <w:spacing w:after="0" w:line="1" w:lineRule="exact"/>
        <w:rPr>
          <w:rFonts w:ascii="Times New Roman" w:cs="Times New Roman" w:eastAsia="Times New Roman" w:hAnsi="Times New Roman"/>
          <w:sz w:val="16"/>
          <w:szCs w:val="16"/>
          <w:color w:val="auto"/>
          <w:vertAlign w:val="superscript"/>
        </w:rPr>
      </w:pPr>
    </w:p>
    <w:p>
      <w:pPr>
        <w:ind w:left="208" w:hanging="208"/>
        <w:spacing w:after="0" w:line="213" w:lineRule="auto"/>
        <w:tabs>
          <w:tab w:leader="none" w:pos="206"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Beginning during the year ended December 31, 2023, the Company includes capital raised from investors in CaliberCos Inc. through corporate note issuances that was further invested in our funds in Managed Capital. As of December 31, 2025 and December 31, 2024, the Company had invested $11.6 million and $20.4 million, respectively, in our funds.</w:t>
      </w:r>
    </w:p>
    <w:p>
      <w:pPr>
        <w:spacing w:after="0" w:line="1" w:lineRule="exact"/>
        <w:rPr>
          <w:rFonts w:ascii="Times New Roman" w:cs="Times New Roman" w:eastAsia="Times New Roman" w:hAnsi="Times New Roman"/>
          <w:sz w:val="16"/>
          <w:szCs w:val="16"/>
          <w:color w:val="auto"/>
          <w:vertAlign w:val="superscript"/>
        </w:rPr>
      </w:pPr>
    </w:p>
    <w:p>
      <w:pPr>
        <w:ind w:left="208" w:right="20" w:hanging="208"/>
        <w:spacing w:after="0" w:line="214" w:lineRule="auto"/>
        <w:tabs>
          <w:tab w:leader="none" w:pos="179"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Credit managed capital represents loans made to Caliber’s investment funds by the Company and our diversified funds. As of December 31, 2025 and December 31, 2024, the Company had loaned $8.5 million and $0.4 million, respectively, to our funds.</w:t>
      </w:r>
    </w:p>
    <w:p>
      <w:pPr>
        <w:ind w:left="168" w:hanging="168"/>
        <w:spacing w:after="0" w:line="187" w:lineRule="auto"/>
        <w:tabs>
          <w:tab w:leader="none" w:pos="168"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managed capital represents undeployed capital held in our diversified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308"/>
          </w:cols>
          <w:pgMar w:left="292" w:top="989"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u w:val="single" w:color="auto"/>
          <w:color w:val="auto"/>
        </w:rPr>
        <w:t>Consolidated GAAP Results</w:t>
      </w:r>
    </w:p>
    <w:p>
      <w:pPr>
        <w:spacing w:after="0" w:line="16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The following information presents our consolidated GAAP results which includes the performance of certain entities we manage where Caliber is the guarantor of debt owed by those entities, despite not having significant equity at risk. As a result of these guarantor commitments, Caliber is required under GAAP to include the assets, liabilities, revenues and expenses of those entities even though a shareholder of CWD stock is neither entitled to nor exposed by those entities’ benefits or obligations. This accounting outcome also removes revenues that we earn from those entities, which a shareholder of CWD stock would be entitled to. See discussion elsewhere related to CWD’s Platform performance.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CALIBERCOS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60" w:type="dxa"/>
            <w:vAlign w:val="bottom"/>
          </w:tcPr>
          <w:p>
            <w:pPr>
              <w:spacing w:after="0"/>
              <w:rPr>
                <w:sz w:val="13"/>
                <w:szCs w:val="13"/>
                <w:color w:val="auto"/>
              </w:rPr>
            </w:pPr>
          </w:p>
        </w:tc>
        <w:tc>
          <w:tcPr>
            <w:tcW w:w="2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Year Ended December 31,</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0" w:type="dxa"/>
            <w:vAlign w:val="bottom"/>
          </w:tcPr>
          <w:p>
            <w:pPr>
              <w:spacing w:after="0"/>
              <w:rPr>
                <w:sz w:val="1"/>
                <w:szCs w:val="1"/>
                <w:color w:val="auto"/>
              </w:rPr>
            </w:pPr>
          </w:p>
        </w:tc>
      </w:tr>
      <w:tr>
        <w:trPr>
          <w:trHeight w:val="131"/>
        </w:trPr>
        <w:tc>
          <w:tcPr>
            <w:tcW w:w="46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Asset management revenues</w:t>
            </w:r>
          </w:p>
        </w:tc>
        <w:tc>
          <w:tcPr>
            <w:tcW w:w="1060" w:type="dxa"/>
            <w:vAlign w:val="bottom"/>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3,963</w:t>
            </w:r>
          </w:p>
        </w:tc>
        <w:tc>
          <w:tcPr>
            <w:tcW w:w="140" w:type="dxa"/>
            <w:vAlign w:val="bottom"/>
          </w:tcPr>
          <w:p>
            <w:pPr>
              <w:spacing w:after="0"/>
              <w:rPr>
                <w:sz w:val="13"/>
                <w:szCs w:val="13"/>
                <w:color w:val="auto"/>
              </w:rPr>
            </w:pPr>
          </w:p>
        </w:tc>
        <w:tc>
          <w:tcPr>
            <w:tcW w:w="1040" w:type="dxa"/>
            <w:vAlign w:val="bottom"/>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3,953</w:t>
            </w:r>
          </w:p>
        </w:tc>
        <w:tc>
          <w:tcPr>
            <w:tcW w:w="80" w:type="dxa"/>
            <w:vAlign w:val="bottom"/>
          </w:tcPr>
          <w:p>
            <w:pPr>
              <w:spacing w:after="0"/>
              <w:rPr>
                <w:sz w:val="13"/>
                <w:szCs w:val="13"/>
                <w:color w:val="auto"/>
              </w:rPr>
            </w:pP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14,391</w:t>
            </w:r>
          </w:p>
        </w:tc>
        <w:tc>
          <w:tcPr>
            <w:tcW w:w="80" w:type="dxa"/>
            <w:vAlign w:val="bottom"/>
          </w:tcPr>
          <w:p>
            <w:pPr>
              <w:spacing w:after="0"/>
              <w:rPr>
                <w:sz w:val="13"/>
                <w:szCs w:val="13"/>
                <w:color w:val="auto"/>
              </w:rPr>
            </w:pPr>
          </w:p>
        </w:tc>
        <w:tc>
          <w:tcPr>
            <w:tcW w:w="64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16,879</w:t>
            </w:r>
          </w:p>
        </w:tc>
        <w:tc>
          <w:tcPr>
            <w:tcW w:w="0" w:type="dxa"/>
            <w:vAlign w:val="bottom"/>
          </w:tcPr>
          <w:p>
            <w:pPr>
              <w:spacing w:after="0"/>
              <w:rPr>
                <w:sz w:val="1"/>
                <w:szCs w:val="1"/>
                <w:color w:val="auto"/>
              </w:rPr>
            </w:pPr>
          </w:p>
        </w:tc>
      </w:tr>
      <w:tr>
        <w:trPr>
          <w:trHeight w:val="153"/>
        </w:trPr>
        <w:tc>
          <w:tcPr>
            <w:tcW w:w="46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Performance allocations</w:t>
            </w:r>
          </w:p>
        </w:tc>
        <w:tc>
          <w:tcPr>
            <w:tcW w:w="10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w:t>
            </w:r>
          </w:p>
        </w:tc>
        <w:tc>
          <w:tcPr>
            <w:tcW w:w="0" w:type="dxa"/>
            <w:vAlign w:val="bottom"/>
          </w:tcPr>
          <w:p>
            <w:pPr>
              <w:spacing w:after="0"/>
              <w:rPr>
                <w:sz w:val="1"/>
                <w:szCs w:val="1"/>
                <w:color w:val="auto"/>
              </w:rPr>
            </w:pPr>
          </w:p>
        </w:tc>
      </w:tr>
      <w:tr>
        <w:trPr>
          <w:trHeight w:val="153"/>
        </w:trPr>
        <w:tc>
          <w:tcPr>
            <w:tcW w:w="46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Consolidated funds – hospitality revenues</w:t>
            </w:r>
          </w:p>
        </w:tc>
        <w:tc>
          <w:tcPr>
            <w:tcW w:w="106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2,943</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5,057</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26,476</w:t>
            </w:r>
          </w:p>
        </w:tc>
        <w:tc>
          <w:tcPr>
            <w:tcW w:w="0" w:type="dxa"/>
            <w:vAlign w:val="bottom"/>
          </w:tcPr>
          <w:p>
            <w:pPr>
              <w:spacing w:after="0"/>
              <w:rPr>
                <w:sz w:val="1"/>
                <w:szCs w:val="1"/>
                <w:color w:val="auto"/>
              </w:rPr>
            </w:pPr>
          </w:p>
        </w:tc>
      </w:tr>
      <w:tr>
        <w:trPr>
          <w:trHeight w:val="155"/>
        </w:trPr>
        <w:tc>
          <w:tcPr>
            <w:tcW w:w="46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Consolidated funds – other revenues</w:t>
            </w:r>
          </w:p>
        </w:tc>
        <w:tc>
          <w:tcPr>
            <w:tcW w:w="10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1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1,790</w:t>
            </w: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622</w:t>
            </w:r>
          </w:p>
        </w:tc>
        <w:tc>
          <w:tcPr>
            <w:tcW w:w="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7,406</w:t>
            </w:r>
          </w:p>
        </w:tc>
        <w:tc>
          <w:tcPr>
            <w:tcW w:w="0" w:type="dxa"/>
            <w:vAlign w:val="bottom"/>
          </w:tcPr>
          <w:p>
            <w:pPr>
              <w:spacing w:after="0"/>
              <w:rPr>
                <w:sz w:val="1"/>
                <w:szCs w:val="1"/>
                <w:color w:val="auto"/>
              </w:rPr>
            </w:pPr>
          </w:p>
        </w:tc>
      </w:tr>
      <w:tr>
        <w:trPr>
          <w:trHeight w:val="142"/>
        </w:trPr>
        <w:tc>
          <w:tcPr>
            <w:tcW w:w="46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Total revenues</w:t>
            </w:r>
          </w:p>
        </w:tc>
        <w:tc>
          <w:tcPr>
            <w:tcW w:w="10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4,127</w:t>
            </w:r>
          </w:p>
        </w:tc>
        <w:tc>
          <w:tcPr>
            <w:tcW w:w="1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8,687</w:t>
            </w:r>
          </w:p>
        </w:tc>
        <w:tc>
          <w:tcPr>
            <w:tcW w:w="8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20,097</w:t>
            </w:r>
          </w:p>
        </w:tc>
        <w:tc>
          <w:tcPr>
            <w:tcW w:w="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51,119</w:t>
            </w:r>
          </w:p>
        </w:tc>
        <w:tc>
          <w:tcPr>
            <w:tcW w:w="0" w:type="dxa"/>
            <w:vAlign w:val="bottom"/>
          </w:tcPr>
          <w:p>
            <w:pPr>
              <w:spacing w:after="0"/>
              <w:rPr>
                <w:sz w:val="1"/>
                <w:szCs w:val="1"/>
                <w:color w:val="auto"/>
              </w:rPr>
            </w:pPr>
          </w:p>
        </w:tc>
      </w:tr>
      <w:tr>
        <w:trPr>
          <w:trHeight w:val="302"/>
        </w:trPr>
        <w:tc>
          <w:tcPr>
            <w:tcW w:w="4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Expenses</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Operating costs</w:t>
            </w:r>
          </w:p>
        </w:tc>
        <w:tc>
          <w:tcPr>
            <w:tcW w:w="10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2,882</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8,550</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13,848</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23,939</w:t>
            </w:r>
          </w:p>
        </w:tc>
        <w:tc>
          <w:tcPr>
            <w:tcW w:w="0" w:type="dxa"/>
            <w:vAlign w:val="bottom"/>
          </w:tcPr>
          <w:p>
            <w:pPr>
              <w:spacing w:after="0"/>
              <w:rPr>
                <w:sz w:val="1"/>
                <w:szCs w:val="1"/>
                <w:color w:val="auto"/>
              </w:rPr>
            </w:pPr>
          </w:p>
        </w:tc>
      </w:tr>
      <w:tr>
        <w:trPr>
          <w:trHeight w:val="153"/>
        </w:trPr>
        <w:tc>
          <w:tcPr>
            <w:tcW w:w="46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0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1,530</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1,316</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5,755</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6,776</w:t>
            </w:r>
          </w:p>
        </w:tc>
        <w:tc>
          <w:tcPr>
            <w:tcW w:w="0" w:type="dxa"/>
            <w:vAlign w:val="bottom"/>
          </w:tcPr>
          <w:p>
            <w:pPr>
              <w:spacing w:after="0"/>
              <w:rPr>
                <w:sz w:val="1"/>
                <w:szCs w:val="1"/>
                <w:color w:val="auto"/>
              </w:rPr>
            </w:pPr>
          </w:p>
        </w:tc>
      </w:tr>
      <w:tr>
        <w:trPr>
          <w:trHeight w:val="153"/>
        </w:trPr>
        <w:tc>
          <w:tcPr>
            <w:tcW w:w="46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Marketing and advertising</w:t>
            </w:r>
          </w:p>
        </w:tc>
        <w:tc>
          <w:tcPr>
            <w:tcW w:w="10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796</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751</w:t>
            </w:r>
          </w:p>
        </w:tc>
        <w:tc>
          <w:tcPr>
            <w:tcW w:w="0" w:type="dxa"/>
            <w:vAlign w:val="bottom"/>
          </w:tcPr>
          <w:p>
            <w:pPr>
              <w:spacing w:after="0"/>
              <w:rPr>
                <w:sz w:val="1"/>
                <w:szCs w:val="1"/>
                <w:color w:val="auto"/>
              </w:rPr>
            </w:pPr>
          </w:p>
        </w:tc>
      </w:tr>
      <w:tr>
        <w:trPr>
          <w:trHeight w:val="153"/>
        </w:trPr>
        <w:tc>
          <w:tcPr>
            <w:tcW w:w="46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664</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w:t>
            </w:r>
          </w:p>
        </w:tc>
        <w:tc>
          <w:tcPr>
            <w:tcW w:w="0" w:type="dxa"/>
            <w:vAlign w:val="bottom"/>
          </w:tcPr>
          <w:p>
            <w:pPr>
              <w:spacing w:after="0"/>
              <w:rPr>
                <w:sz w:val="1"/>
                <w:szCs w:val="1"/>
                <w:color w:val="auto"/>
              </w:rPr>
            </w:pPr>
          </w:p>
        </w:tc>
      </w:tr>
      <w:tr>
        <w:trPr>
          <w:trHeight w:val="153"/>
        </w:trPr>
        <w:tc>
          <w:tcPr>
            <w:tcW w:w="46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Consolidated funds – hospitality expenses</w:t>
            </w:r>
          </w:p>
        </w:tc>
        <w:tc>
          <w:tcPr>
            <w:tcW w:w="106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3,312</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4,743</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26,503</w:t>
            </w:r>
          </w:p>
        </w:tc>
        <w:tc>
          <w:tcPr>
            <w:tcW w:w="0" w:type="dxa"/>
            <w:vAlign w:val="bottom"/>
          </w:tcPr>
          <w:p>
            <w:pPr>
              <w:spacing w:after="0"/>
              <w:rPr>
                <w:sz w:val="1"/>
                <w:szCs w:val="1"/>
                <w:color w:val="auto"/>
              </w:rPr>
            </w:pPr>
          </w:p>
        </w:tc>
      </w:tr>
      <w:tr>
        <w:trPr>
          <w:trHeight w:val="155"/>
        </w:trPr>
        <w:tc>
          <w:tcPr>
            <w:tcW w:w="46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Consolidated funds – other expenses</w:t>
            </w:r>
          </w:p>
        </w:tc>
        <w:tc>
          <w:tcPr>
            <w:tcW w:w="10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474</w:t>
            </w:r>
          </w:p>
        </w:tc>
        <w:tc>
          <w:tcPr>
            <w:tcW w:w="1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465</w:t>
            </w: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1,865</w:t>
            </w:r>
          </w:p>
        </w:tc>
        <w:tc>
          <w:tcPr>
            <w:tcW w:w="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5,870</w:t>
            </w:r>
          </w:p>
        </w:tc>
        <w:tc>
          <w:tcPr>
            <w:tcW w:w="0" w:type="dxa"/>
            <w:vAlign w:val="bottom"/>
          </w:tcPr>
          <w:p>
            <w:pPr>
              <w:spacing w:after="0"/>
              <w:rPr>
                <w:sz w:val="1"/>
                <w:szCs w:val="1"/>
                <w:color w:val="auto"/>
              </w:rPr>
            </w:pPr>
          </w:p>
        </w:tc>
      </w:tr>
      <w:tr>
        <w:trPr>
          <w:trHeight w:val="142"/>
        </w:trPr>
        <w:tc>
          <w:tcPr>
            <w:tcW w:w="46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Total expenses</w:t>
            </w:r>
          </w:p>
        </w:tc>
        <w:tc>
          <w:tcPr>
            <w:tcW w:w="10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5,400</w:t>
            </w:r>
          </w:p>
        </w:tc>
        <w:tc>
          <w:tcPr>
            <w:tcW w:w="1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14,041</w:t>
            </w:r>
          </w:p>
        </w:tc>
        <w:tc>
          <w:tcPr>
            <w:tcW w:w="8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27,671</w:t>
            </w:r>
          </w:p>
        </w:tc>
        <w:tc>
          <w:tcPr>
            <w:tcW w:w="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64,432</w:t>
            </w:r>
          </w:p>
        </w:tc>
        <w:tc>
          <w:tcPr>
            <w:tcW w:w="0" w:type="dxa"/>
            <w:vAlign w:val="bottom"/>
          </w:tcPr>
          <w:p>
            <w:pPr>
              <w:spacing w:after="0"/>
              <w:rPr>
                <w:sz w:val="1"/>
                <w:szCs w:val="1"/>
                <w:color w:val="auto"/>
              </w:rPr>
            </w:pPr>
          </w:p>
        </w:tc>
      </w:tr>
      <w:tr>
        <w:trPr>
          <w:trHeight w:val="302"/>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10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(4,108)</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(3,304)</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(3,093)</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digital assets</w:t>
            </w:r>
          </w:p>
        </w:tc>
        <w:tc>
          <w:tcPr>
            <w:tcW w:w="10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(5,116)</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(5,793)</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10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w:t>
            </w:r>
          </w:p>
        </w:tc>
        <w:tc>
          <w:tcPr>
            <w:tcW w:w="0" w:type="dxa"/>
            <w:vAlign w:val="bottom"/>
          </w:tcPr>
          <w:p>
            <w:pPr>
              <w:spacing w:after="0"/>
              <w:rPr>
                <w:sz w:val="1"/>
                <w:szCs w:val="1"/>
                <w:color w:val="auto"/>
              </w:rPr>
            </w:pPr>
          </w:p>
        </w:tc>
      </w:tr>
      <w:tr>
        <w:trPr>
          <w:trHeight w:val="155"/>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0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(1,487)</w:t>
            </w:r>
          </w:p>
        </w:tc>
        <w:tc>
          <w:tcPr>
            <w:tcW w:w="1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(1,466)</w:t>
            </w: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(6,712)</w:t>
            </w:r>
          </w:p>
        </w:tc>
        <w:tc>
          <w:tcPr>
            <w:tcW w:w="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(5,424)</w:t>
            </w:r>
          </w:p>
        </w:tc>
        <w:tc>
          <w:tcPr>
            <w:tcW w:w="0" w:type="dxa"/>
            <w:vAlign w:val="bottom"/>
          </w:tcPr>
          <w:p>
            <w:pPr>
              <w:spacing w:after="0"/>
              <w:rPr>
                <w:sz w:val="1"/>
                <w:szCs w:val="1"/>
                <w:color w:val="auto"/>
              </w:rPr>
            </w:pPr>
          </w:p>
        </w:tc>
      </w:tr>
      <w:tr>
        <w:trPr>
          <w:trHeight w:val="140"/>
        </w:trPr>
        <w:tc>
          <w:tcPr>
            <w:tcW w:w="4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before income taxes</w:t>
            </w:r>
          </w:p>
        </w:tc>
        <w:tc>
          <w:tcPr>
            <w:tcW w:w="10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(8,060)</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(10,893)</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(23,027)</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(21,470)</w:t>
            </w:r>
          </w:p>
        </w:tc>
        <w:tc>
          <w:tcPr>
            <w:tcW w:w="0" w:type="dxa"/>
            <w:vAlign w:val="bottom"/>
          </w:tcPr>
          <w:p>
            <w:pPr>
              <w:spacing w:after="0"/>
              <w:rPr>
                <w:sz w:val="1"/>
                <w:szCs w:val="1"/>
                <w:color w:val="auto"/>
              </w:rPr>
            </w:pPr>
          </w:p>
        </w:tc>
      </w:tr>
      <w:tr>
        <w:trPr>
          <w:trHeight w:val="155"/>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06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4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0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(8,060)</w:t>
            </w:r>
          </w:p>
        </w:tc>
        <w:tc>
          <w:tcPr>
            <w:tcW w:w="1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(10,893)</w:t>
            </w: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(23,027)</w:t>
            </w:r>
          </w:p>
        </w:tc>
        <w:tc>
          <w:tcPr>
            <w:tcW w:w="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(21,470)</w:t>
            </w:r>
          </w:p>
        </w:tc>
        <w:tc>
          <w:tcPr>
            <w:tcW w:w="0" w:type="dxa"/>
            <w:vAlign w:val="bottom"/>
          </w:tcPr>
          <w:p>
            <w:pPr>
              <w:spacing w:after="0"/>
              <w:rPr>
                <w:sz w:val="1"/>
                <w:szCs w:val="1"/>
                <w:color w:val="auto"/>
              </w:rPr>
            </w:pPr>
          </w:p>
        </w:tc>
      </w:tr>
      <w:tr>
        <w:trPr>
          <w:trHeight w:val="155"/>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Net loss attributable to noncontrolling interests</w:t>
            </w:r>
          </w:p>
        </w:tc>
        <w:tc>
          <w:tcPr>
            <w:tcW w:w="10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(339)</w:t>
            </w:r>
          </w:p>
        </w:tc>
        <w:tc>
          <w:tcPr>
            <w:tcW w:w="1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(1,229)</w:t>
            </w:r>
          </w:p>
        </w:tc>
        <w:tc>
          <w:tcPr>
            <w:tcW w:w="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(1,693)</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attributable to CaliberCos Inc.</w:t>
            </w:r>
          </w:p>
        </w:tc>
        <w:tc>
          <w:tcPr>
            <w:tcW w:w="10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(7,721)</w:t>
            </w:r>
          </w:p>
        </w:tc>
        <w:tc>
          <w:tcPr>
            <w:tcW w:w="1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(11,388)</w:t>
            </w:r>
          </w:p>
        </w:tc>
        <w:tc>
          <w:tcPr>
            <w:tcW w:w="8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(21,798)</w:t>
            </w:r>
          </w:p>
        </w:tc>
        <w:tc>
          <w:tcPr>
            <w:tcW w:w="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(19,777)</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Basic and diluted net loss per share attributable to common stockholders</w:t>
            </w: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660" w:type="dxa"/>
            <w:vAlign w:val="bottom"/>
            <w:vMerge w:val="continue"/>
          </w:tcPr>
          <w:p>
            <w:pPr>
              <w:spacing w:after="0"/>
              <w:rPr>
                <w:sz w:val="9"/>
                <w:szCs w:val="9"/>
                <w:color w:val="auto"/>
              </w:rPr>
            </w:pPr>
          </w:p>
        </w:tc>
        <w:tc>
          <w:tcPr>
            <w:tcW w:w="1060" w:type="dxa"/>
            <w:vAlign w:val="bottom"/>
            <w:tcBorders>
              <w:bottom w:val="single" w:sz="8" w:color="auto"/>
            </w:tcBorders>
          </w:tcPr>
          <w:p>
            <w:pPr>
              <w:jc w:val="right"/>
              <w:ind w:right="920"/>
              <w:spacing w:after="0" w:line="111" w:lineRule="exact"/>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(1.24)</w:t>
            </w:r>
          </w:p>
        </w:tc>
        <w:tc>
          <w:tcPr>
            <w:tcW w:w="140" w:type="dxa"/>
            <w:vAlign w:val="bottom"/>
          </w:tcPr>
          <w:p>
            <w:pPr>
              <w:spacing w:after="0"/>
              <w:rPr>
                <w:sz w:val="9"/>
                <w:szCs w:val="9"/>
                <w:color w:val="auto"/>
              </w:rPr>
            </w:pPr>
          </w:p>
        </w:tc>
        <w:tc>
          <w:tcPr>
            <w:tcW w:w="1040" w:type="dxa"/>
            <w:vAlign w:val="bottom"/>
            <w:tcBorders>
              <w:bottom w:val="single" w:sz="8" w:color="auto"/>
            </w:tcBorders>
          </w:tcPr>
          <w:p>
            <w:pPr>
              <w:jc w:val="right"/>
              <w:ind w:right="900"/>
              <w:spacing w:after="0" w:line="111"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(10.12)</w:t>
            </w:r>
          </w:p>
        </w:tc>
        <w:tc>
          <w:tcPr>
            <w:tcW w:w="80" w:type="dxa"/>
            <w:vAlign w:val="bottom"/>
          </w:tcPr>
          <w:p>
            <w:pPr>
              <w:spacing w:after="0"/>
              <w:rPr>
                <w:sz w:val="9"/>
                <w:szCs w:val="9"/>
                <w:color w:val="auto"/>
              </w:rPr>
            </w:pPr>
          </w:p>
        </w:tc>
        <w:tc>
          <w:tcPr>
            <w:tcW w:w="940" w:type="dxa"/>
            <w:vAlign w:val="bottom"/>
            <w:tcBorders>
              <w:bottom w:val="single" w:sz="8" w:color="auto"/>
            </w:tcBorders>
          </w:tcPr>
          <w:p>
            <w:pPr>
              <w:jc w:val="right"/>
              <w:ind w:right="800"/>
              <w:spacing w:after="0" w:line="111"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(7.70)</w:t>
            </w:r>
          </w:p>
        </w:tc>
        <w:tc>
          <w:tcPr>
            <w:tcW w:w="80" w:type="dxa"/>
            <w:vAlign w:val="bottom"/>
          </w:tcPr>
          <w:p>
            <w:pPr>
              <w:spacing w:after="0"/>
              <w:rPr>
                <w:sz w:val="9"/>
                <w:szCs w:val="9"/>
                <w:color w:val="auto"/>
              </w:rPr>
            </w:pPr>
          </w:p>
        </w:tc>
        <w:tc>
          <w:tcPr>
            <w:tcW w:w="640" w:type="dxa"/>
            <w:vAlign w:val="bottom"/>
            <w:tcBorders>
              <w:bottom w:val="single" w:sz="8" w:color="auto"/>
            </w:tcBorders>
          </w:tcPr>
          <w:p>
            <w:pPr>
              <w:jc w:val="right"/>
              <w:ind w:right="526"/>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(17.90)</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6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6,229</w:t>
            </w: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1,123</w:t>
            </w: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2,830</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1,100</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w:t>
            </w:r>
          </w:p>
        </w:tc>
        <w:tc>
          <w:tcPr>
            <w:tcW w:w="10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300"/>
          </w:cols>
          <w:pgMar w:left="300" w:top="989" w:right="29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Restricted cash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Real estate investments, net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Digital assets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Notes receivable - related parties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Due from related parties, net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Investments in unconsolidated entities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lease - right of use assets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Prepaid and other assets</w:t>
      </w:r>
    </w:p>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i w:val="1"/>
          <w:iCs w:val="1"/>
          <w:color w:val="auto"/>
        </w:rPr>
        <w:t>Assets of consolidated funds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Restricted cash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Real estate investments, net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Intangible assets, net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Notes receivable - related parties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Due from related parties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lease - right of use assets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Prepaid and other assets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Total assets</w:t>
      </w:r>
    </w:p>
    <w:p>
      <w:pPr>
        <w:spacing w:after="0" w:line="20" w:lineRule="exact"/>
        <w:rPr>
          <w:sz w:val="20"/>
          <w:szCs w:val="20"/>
          <w:color w:val="auto"/>
        </w:rPr>
      </w:pPr>
      <w:r>
        <w:rPr>
          <w:sz w:val="20"/>
          <w:szCs w:val="20"/>
          <w:color w:val="auto"/>
        </w:rPr>
        <w:br w:type="column"/>
      </w:r>
    </w:p>
    <w:p>
      <w:pPr>
        <w:ind w:left="1500"/>
        <w:spacing w:after="0"/>
        <w:rPr>
          <w:sz w:val="20"/>
          <w:szCs w:val="20"/>
          <w:color w:val="auto"/>
        </w:rPr>
      </w:pPr>
      <w:r>
        <w:rPr>
          <w:rFonts w:ascii="Times New Roman" w:cs="Times New Roman" w:eastAsia="Times New Roman" w:hAnsi="Times New Roman"/>
          <w:sz w:val="12"/>
          <w:szCs w:val="12"/>
          <w:b w:val="1"/>
          <w:bCs w:val="1"/>
          <w:color w:val="auto"/>
        </w:rPr>
        <w:t>CALIBERCOS INC. AND SUBSIDIARIES</w:t>
      </w:r>
    </w:p>
    <w:p>
      <w:pPr>
        <w:spacing w:after="0" w:line="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b w:val="1"/>
          <w:bCs w:val="1"/>
          <w:color w:val="auto"/>
        </w:rPr>
        <w:t>(AMOUNTS IN THOUSANDS, EXCEPT FOR SHARE AND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320" w:type="dxa"/>
            <w:vAlign w:val="bottom"/>
          </w:tcPr>
          <w:p>
            <w:pPr>
              <w:spacing w:after="0"/>
              <w:rPr>
                <w:sz w:val="13"/>
                <w:szCs w:val="13"/>
                <w:color w:val="auto"/>
              </w:rPr>
            </w:pPr>
          </w:p>
        </w:tc>
        <w:tc>
          <w:tcPr>
            <w:tcW w:w="192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320" w:type="dxa"/>
            <w:vAlign w:val="bottom"/>
          </w:tcPr>
          <w:p>
            <w:pPr>
              <w:spacing w:after="0"/>
              <w:rPr>
                <w:sz w:val="13"/>
                <w:szCs w:val="13"/>
                <w:color w:val="auto"/>
              </w:rPr>
            </w:pPr>
          </w:p>
        </w:tc>
        <w:tc>
          <w:tcPr>
            <w:tcW w:w="172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31"/>
        </w:trPr>
        <w:tc>
          <w:tcPr>
            <w:tcW w:w="3700" w:type="dxa"/>
            <w:vAlign w:val="bottom"/>
            <w:vMerge w:val="continue"/>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2,538</w:t>
            </w:r>
          </w:p>
        </w:tc>
        <w:tc>
          <w:tcPr>
            <w:tcW w:w="12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1,766</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2,582</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21,689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21,572</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6,850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7,348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10,086</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6,965</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11,624</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15,643</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3,501</w:t>
            </w:r>
          </w:p>
        </w:tc>
        <w:tc>
          <w:tcPr>
            <w:tcW w:w="0" w:type="dxa"/>
            <w:vAlign w:val="bottom"/>
          </w:tcPr>
          <w:p>
            <w:pPr>
              <w:spacing w:after="0"/>
              <w:rPr>
                <w:sz w:val="1"/>
                <w:szCs w:val="1"/>
                <w:color w:val="auto"/>
              </w:rPr>
            </w:pPr>
          </w:p>
        </w:tc>
      </w:tr>
      <w:tr>
        <w:trPr>
          <w:trHeight w:val="304"/>
        </w:trPr>
        <w:tc>
          <w:tcPr>
            <w:tcW w:w="3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549</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10,807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45,090</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46,330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6,848</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135,396</w:t>
            </w:r>
          </w:p>
        </w:tc>
        <w:tc>
          <w:tcPr>
            <w:tcW w:w="12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105,535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2">
            <w:col w:w="2520" w:space="720"/>
            <w:col w:w="7980"/>
          </w:cols>
          <w:pgMar w:left="300" w:top="1106" w:right="379" w:bottom="1440" w:gutter="0" w:footer="0" w:header="0"/>
        </w:sectPr>
      </w:pPr>
    </w:p>
    <w:bookmarkStart w:id="18" w:name="page19"/>
    <w:bookmarkEnd w:id="18"/>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CALIBERCOS INC. AND SUBSIDIARIES</w:t>
      </w:r>
    </w:p>
    <w:p>
      <w:pPr>
        <w:spacing w:after="0" w:line="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(AMOUNTS IN THOUSANDS, EXCEPT FOR SHARE AND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40" w:type="dxa"/>
            <w:vAlign w:val="bottom"/>
            <w:vMerge w:val="restart"/>
          </w:tcPr>
          <w:p>
            <w:pPr>
              <w:ind w:left="1820"/>
              <w:spacing w:after="0"/>
              <w:rPr>
                <w:sz w:val="20"/>
                <w:szCs w:val="20"/>
                <w:color w:val="auto"/>
              </w:rPr>
            </w:pPr>
            <w:r>
              <w:rPr>
                <w:rFonts w:ascii="Times New Roman" w:cs="Times New Roman" w:eastAsia="Times New Roman" w:hAnsi="Times New Roman"/>
                <w:sz w:val="12"/>
                <w:szCs w:val="12"/>
                <w:b w:val="1"/>
                <w:bCs w:val="1"/>
                <w:color w:val="auto"/>
              </w:rPr>
              <w:t>LIABILITIES AND STOCKHOLDERS' EQUITY (DEFICIT)</w:t>
            </w:r>
          </w:p>
        </w:tc>
        <w:tc>
          <w:tcPr>
            <w:tcW w:w="16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31"/>
        </w:trPr>
        <w:tc>
          <w:tcPr>
            <w:tcW w:w="6840" w:type="dxa"/>
            <w:vAlign w:val="bottom"/>
            <w:vMerge w:val="continue"/>
          </w:tcPr>
          <w:p>
            <w:pPr>
              <w:spacing w:after="0"/>
              <w:rPr>
                <w:sz w:val="11"/>
                <w:szCs w:val="11"/>
                <w:color w:val="auto"/>
              </w:rPr>
            </w:pPr>
          </w:p>
        </w:tc>
        <w:tc>
          <w:tcPr>
            <w:tcW w:w="1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Notes payable, net</w:t>
            </w:r>
          </w:p>
        </w:tc>
        <w:tc>
          <w:tcPr>
            <w:tcW w:w="1640" w:type="dxa"/>
            <w:vAlign w:val="bottom"/>
          </w:tcPr>
          <w:p>
            <w:pPr>
              <w:jc w:val="right"/>
              <w:ind w:right="15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46,347</w:t>
            </w:r>
          </w:p>
        </w:tc>
        <w:tc>
          <w:tcPr>
            <w:tcW w:w="14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50,450</w:t>
            </w:r>
          </w:p>
        </w:tc>
        <w:tc>
          <w:tcPr>
            <w:tcW w:w="0" w:type="dxa"/>
            <w:vAlign w:val="bottom"/>
          </w:tcPr>
          <w:p>
            <w:pPr>
              <w:spacing w:after="0"/>
              <w:rPr>
                <w:sz w:val="1"/>
                <w:szCs w:val="1"/>
                <w:color w:val="auto"/>
              </w:rPr>
            </w:pP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6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7,325</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9,532</w:t>
            </w:r>
          </w:p>
        </w:tc>
        <w:tc>
          <w:tcPr>
            <w:tcW w:w="0" w:type="dxa"/>
            <w:vAlign w:val="bottom"/>
          </w:tcPr>
          <w:p>
            <w:pPr>
              <w:spacing w:after="0"/>
              <w:rPr>
                <w:sz w:val="1"/>
                <w:szCs w:val="1"/>
                <w:color w:val="auto"/>
              </w:rPr>
            </w:pPr>
          </w:p>
        </w:tc>
      </w:tr>
      <w:tr>
        <w:trPr>
          <w:trHeight w:val="119"/>
        </w:trPr>
        <w:tc>
          <w:tcPr>
            <w:tcW w:w="6840" w:type="dxa"/>
            <w:vAlign w:val="bottom"/>
          </w:tcPr>
          <w:p>
            <w:pPr>
              <w:spacing w:after="0" w:line="119" w:lineRule="exact"/>
              <w:rPr>
                <w:sz w:val="20"/>
                <w:szCs w:val="20"/>
                <w:color w:val="auto"/>
              </w:rPr>
            </w:pPr>
            <w:r>
              <w:rPr>
                <w:rFonts w:ascii="Times New Roman" w:cs="Times New Roman" w:eastAsia="Times New Roman" w:hAnsi="Times New Roman"/>
                <w:sz w:val="12"/>
                <w:szCs w:val="12"/>
                <w:color w:val="auto"/>
              </w:rPr>
              <w:t>Series AA cumulative redeemable preferred stock, net of issuance costs, $25.00 per share stated value, 800,000 shares authorized, 221,434</w:t>
            </w:r>
          </w:p>
        </w:tc>
        <w:tc>
          <w:tcPr>
            <w:tcW w:w="1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and zero shares issued and outstanding as of December 31, 2025 and 2024, respectively</w:t>
            </w:r>
          </w:p>
        </w:tc>
        <w:tc>
          <w:tcPr>
            <w:tcW w:w="16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5,101</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Due to related parties</w:t>
            </w:r>
          </w:p>
        </w:tc>
        <w:tc>
          <w:tcPr>
            <w:tcW w:w="16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0" w:type="dxa"/>
            <w:vAlign w:val="bottom"/>
          </w:tcPr>
          <w:p>
            <w:pPr>
              <w:spacing w:after="0"/>
              <w:rPr>
                <w:sz w:val="1"/>
                <w:szCs w:val="1"/>
                <w:color w:val="auto"/>
              </w:rPr>
            </w:pP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16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0" w:type="dxa"/>
            <w:vAlign w:val="bottom"/>
          </w:tcPr>
          <w:p>
            <w:pPr>
              <w:spacing w:after="0"/>
              <w:rPr>
                <w:sz w:val="1"/>
                <w:szCs w:val="1"/>
                <w:color w:val="auto"/>
              </w:rPr>
            </w:pPr>
          </w:p>
        </w:tc>
      </w:tr>
      <w:tr>
        <w:trPr>
          <w:trHeight w:val="151"/>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16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771</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w:t>
            </w:r>
          </w:p>
        </w:tc>
        <w:tc>
          <w:tcPr>
            <w:tcW w:w="0" w:type="dxa"/>
            <w:vAlign w:val="bottom"/>
          </w:tcPr>
          <w:p>
            <w:pPr>
              <w:spacing w:after="0"/>
              <w:rPr>
                <w:sz w:val="1"/>
                <w:szCs w:val="1"/>
                <w:color w:val="auto"/>
              </w:rPr>
            </w:pPr>
          </w:p>
        </w:tc>
      </w:tr>
      <w:tr>
        <w:trPr>
          <w:trHeight w:val="155"/>
        </w:trPr>
        <w:tc>
          <w:tcPr>
            <w:tcW w:w="6840" w:type="dxa"/>
            <w:vAlign w:val="bottom"/>
          </w:tcPr>
          <w:p>
            <w:pPr>
              <w:ind w:left="360"/>
              <w:spacing w:after="0"/>
              <w:rPr>
                <w:sz w:val="20"/>
                <w:szCs w:val="20"/>
                <w:color w:val="auto"/>
              </w:rPr>
            </w:pPr>
            <w:r>
              <w:rPr>
                <w:rFonts w:ascii="Times New Roman" w:cs="Times New Roman" w:eastAsia="Times New Roman" w:hAnsi="Times New Roman"/>
                <w:sz w:val="12"/>
                <w:szCs w:val="12"/>
                <w:i w:val="1"/>
                <w:iCs w:val="1"/>
                <w:color w:val="auto"/>
              </w:rPr>
              <w:t>Liabilities of consolidated funds</w:t>
            </w:r>
          </w:p>
        </w:tc>
        <w:tc>
          <w:tcPr>
            <w:tcW w:w="1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Notes payable, net</w:t>
            </w:r>
          </w:p>
        </w:tc>
        <w:tc>
          <w:tcPr>
            <w:tcW w:w="16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33,605</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29,172</w:t>
            </w:r>
          </w:p>
        </w:tc>
        <w:tc>
          <w:tcPr>
            <w:tcW w:w="0" w:type="dxa"/>
            <w:vAlign w:val="bottom"/>
          </w:tcPr>
          <w:p>
            <w:pPr>
              <w:spacing w:after="0"/>
              <w:rPr>
                <w:sz w:val="1"/>
                <w:szCs w:val="1"/>
                <w:color w:val="auto"/>
              </w:rPr>
            </w:pP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Notes payable - related parties</w:t>
            </w:r>
          </w:p>
        </w:tc>
        <w:tc>
          <w:tcPr>
            <w:tcW w:w="16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2,330</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2,047</w:t>
            </w:r>
          </w:p>
        </w:tc>
        <w:tc>
          <w:tcPr>
            <w:tcW w:w="0" w:type="dxa"/>
            <w:vAlign w:val="bottom"/>
          </w:tcPr>
          <w:p>
            <w:pPr>
              <w:spacing w:after="0"/>
              <w:rPr>
                <w:sz w:val="1"/>
                <w:szCs w:val="1"/>
                <w:color w:val="auto"/>
              </w:rPr>
            </w:pP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6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1,719</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1,207</w:t>
            </w:r>
          </w:p>
        </w:tc>
        <w:tc>
          <w:tcPr>
            <w:tcW w:w="0" w:type="dxa"/>
            <w:vAlign w:val="bottom"/>
          </w:tcPr>
          <w:p>
            <w:pPr>
              <w:spacing w:after="0"/>
              <w:rPr>
                <w:sz w:val="1"/>
                <w:szCs w:val="1"/>
                <w:color w:val="auto"/>
              </w:rPr>
            </w:pP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Due to related parties</w:t>
            </w:r>
          </w:p>
        </w:tc>
        <w:tc>
          <w:tcPr>
            <w:tcW w:w="16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861</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0" w:type="dxa"/>
            <w:vAlign w:val="bottom"/>
          </w:tcPr>
          <w:p>
            <w:pPr>
              <w:spacing w:after="0"/>
              <w:rPr>
                <w:sz w:val="1"/>
                <w:szCs w:val="1"/>
                <w:color w:val="auto"/>
              </w:rPr>
            </w:pP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16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10,757</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16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639</w:t>
            </w:r>
          </w:p>
        </w:tc>
        <w:tc>
          <w:tcPr>
            <w:tcW w:w="0" w:type="dxa"/>
            <w:vAlign w:val="bottom"/>
          </w:tcPr>
          <w:p>
            <w:pPr>
              <w:spacing w:after="0"/>
              <w:rPr>
                <w:sz w:val="1"/>
                <w:szCs w:val="1"/>
                <w:color w:val="auto"/>
              </w:rPr>
            </w:pPr>
          </w:p>
        </w:tc>
      </w:tr>
      <w:tr>
        <w:trPr>
          <w:trHeight w:val="142"/>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Total liabilities</w:t>
            </w:r>
          </w:p>
        </w:tc>
        <w:tc>
          <w:tcPr>
            <w:tcW w:w="16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109,165</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94,282</w:t>
            </w:r>
          </w:p>
        </w:tc>
        <w:tc>
          <w:tcPr>
            <w:tcW w:w="0" w:type="dxa"/>
            <w:vAlign w:val="bottom"/>
          </w:tcPr>
          <w:p>
            <w:pPr>
              <w:spacing w:after="0"/>
              <w:rPr>
                <w:sz w:val="1"/>
                <w:szCs w:val="1"/>
                <w:color w:val="auto"/>
              </w:rPr>
            </w:pPr>
          </w:p>
        </w:tc>
      </w:tr>
      <w:tr>
        <w:trPr>
          <w:trHeight w:val="304"/>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Commitments and Contingencies</w:t>
            </w: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Preferred stock - Series A, $0.001 par value; 22,500,000 authorized and 5,875 and 5,000 shares issued and outstanding as of December 31,</w:t>
            </w: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2025 and 2024, respectively</w:t>
            </w:r>
          </w:p>
        </w:tc>
        <w:tc>
          <w:tcPr>
            <w:tcW w:w="16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9"/>
        </w:trPr>
        <w:tc>
          <w:tcPr>
            <w:tcW w:w="6840" w:type="dxa"/>
            <w:vAlign w:val="bottom"/>
          </w:tcPr>
          <w:p>
            <w:pPr>
              <w:spacing w:after="0" w:line="119" w:lineRule="exact"/>
              <w:rPr>
                <w:sz w:val="20"/>
                <w:szCs w:val="20"/>
                <w:color w:val="auto"/>
              </w:rPr>
            </w:pPr>
            <w:r>
              <w:rPr>
                <w:rFonts w:ascii="Times New Roman" w:cs="Times New Roman" w:eastAsia="Times New Roman" w:hAnsi="Times New Roman"/>
                <w:sz w:val="12"/>
                <w:szCs w:val="12"/>
                <w:color w:val="auto"/>
              </w:rPr>
              <w:t>Preferred stock - Series B, $0.001 par value; 50,000 authorized and 15,868 and zero shares issued and outstanding as of December 31, 2025</w:t>
            </w:r>
          </w:p>
        </w:tc>
        <w:tc>
          <w:tcPr>
            <w:tcW w:w="1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and 2024, respectfully</w:t>
            </w:r>
          </w:p>
        </w:tc>
        <w:tc>
          <w:tcPr>
            <w:tcW w:w="16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9"/>
        </w:trPr>
        <w:tc>
          <w:tcPr>
            <w:tcW w:w="6840" w:type="dxa"/>
            <w:vAlign w:val="bottom"/>
          </w:tcPr>
          <w:p>
            <w:pPr>
              <w:spacing w:after="0" w:line="119" w:lineRule="exact"/>
              <w:rPr>
                <w:sz w:val="20"/>
                <w:szCs w:val="20"/>
                <w:color w:val="auto"/>
              </w:rPr>
            </w:pPr>
            <w:r>
              <w:rPr>
                <w:rFonts w:ascii="Times New Roman" w:cs="Times New Roman" w:eastAsia="Times New Roman" w:hAnsi="Times New Roman"/>
                <w:sz w:val="12"/>
                <w:szCs w:val="12"/>
                <w:color w:val="auto"/>
              </w:rPr>
              <w:t>Common stock Class A, $0.001 par value; 100,000,000 shares authorized, 6,534,319 and 759,370 shares issued and outstanding as of</w:t>
            </w:r>
          </w:p>
        </w:tc>
        <w:tc>
          <w:tcPr>
            <w:tcW w:w="1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December 31, 2025 and 2024, respectively</w:t>
            </w:r>
          </w:p>
        </w:tc>
        <w:tc>
          <w:tcPr>
            <w:tcW w:w="16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19"/>
        </w:trPr>
        <w:tc>
          <w:tcPr>
            <w:tcW w:w="6840" w:type="dxa"/>
            <w:vAlign w:val="bottom"/>
          </w:tcPr>
          <w:p>
            <w:pPr>
              <w:spacing w:after="0" w:line="119" w:lineRule="exact"/>
              <w:rPr>
                <w:sz w:val="20"/>
                <w:szCs w:val="20"/>
                <w:color w:val="auto"/>
              </w:rPr>
            </w:pPr>
            <w:r>
              <w:rPr>
                <w:rFonts w:ascii="Times New Roman" w:cs="Times New Roman" w:eastAsia="Times New Roman" w:hAnsi="Times New Roman"/>
                <w:sz w:val="12"/>
                <w:szCs w:val="12"/>
                <w:color w:val="auto"/>
              </w:rPr>
              <w:t>Common stock Class B, $0.001 par value; 15,000,000 shares authorized, 370,822 shares issued and outstanding as of both December 31,</w:t>
            </w:r>
          </w:p>
        </w:tc>
        <w:tc>
          <w:tcPr>
            <w:tcW w:w="1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2025 and 2024</w:t>
            </w:r>
          </w:p>
        </w:tc>
        <w:tc>
          <w:tcPr>
            <w:tcW w:w="16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Paid-in capital</w:t>
            </w:r>
          </w:p>
        </w:tc>
        <w:tc>
          <w:tcPr>
            <w:tcW w:w="16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79,731</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44,017</w:t>
            </w:r>
          </w:p>
        </w:tc>
        <w:tc>
          <w:tcPr>
            <w:tcW w:w="0" w:type="dxa"/>
            <w:vAlign w:val="bottom"/>
          </w:tcPr>
          <w:p>
            <w:pPr>
              <w:spacing w:after="0"/>
              <w:rPr>
                <w:sz w:val="1"/>
                <w:szCs w:val="1"/>
                <w:color w:val="auto"/>
              </w:rPr>
            </w:pPr>
          </w:p>
        </w:tc>
      </w:tr>
      <w:tr>
        <w:trPr>
          <w:trHeight w:val="155"/>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16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(78,405)</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(56,607)</w:t>
            </w:r>
          </w:p>
        </w:tc>
        <w:tc>
          <w:tcPr>
            <w:tcW w:w="0" w:type="dxa"/>
            <w:vAlign w:val="bottom"/>
          </w:tcPr>
          <w:p>
            <w:pPr>
              <w:spacing w:after="0"/>
              <w:rPr>
                <w:sz w:val="1"/>
                <w:szCs w:val="1"/>
                <w:color w:val="auto"/>
              </w:rPr>
            </w:pPr>
          </w:p>
        </w:tc>
      </w:tr>
      <w:tr>
        <w:trPr>
          <w:trHeight w:val="140"/>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(deficit) equity attributable to CaliberCos Inc.</w:t>
            </w:r>
          </w:p>
        </w:tc>
        <w:tc>
          <w:tcPr>
            <w:tcW w:w="16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1,333</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(12,589)</w:t>
            </w:r>
          </w:p>
        </w:tc>
        <w:tc>
          <w:tcPr>
            <w:tcW w:w="0" w:type="dxa"/>
            <w:vAlign w:val="bottom"/>
          </w:tcPr>
          <w:p>
            <w:pPr>
              <w:spacing w:after="0"/>
              <w:rPr>
                <w:sz w:val="1"/>
                <w:szCs w:val="1"/>
                <w:color w:val="auto"/>
              </w:rPr>
            </w:pPr>
          </w:p>
        </w:tc>
      </w:tr>
      <w:tr>
        <w:trPr>
          <w:trHeight w:val="155"/>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equity attributable to noncontrolling interests</w:t>
            </w:r>
          </w:p>
        </w:tc>
        <w:tc>
          <w:tcPr>
            <w:tcW w:w="16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24,898</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23,842</w:t>
            </w:r>
          </w:p>
        </w:tc>
        <w:tc>
          <w:tcPr>
            <w:tcW w:w="0" w:type="dxa"/>
            <w:vAlign w:val="bottom"/>
          </w:tcPr>
          <w:p>
            <w:pPr>
              <w:spacing w:after="0"/>
              <w:rPr>
                <w:sz w:val="1"/>
                <w:szCs w:val="1"/>
                <w:color w:val="auto"/>
              </w:rPr>
            </w:pPr>
          </w:p>
        </w:tc>
      </w:tr>
      <w:tr>
        <w:trPr>
          <w:trHeight w:val="142"/>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Total stockholders’ equity</w:t>
            </w:r>
          </w:p>
        </w:tc>
        <w:tc>
          <w:tcPr>
            <w:tcW w:w="16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26,231</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11,253</w:t>
            </w:r>
          </w:p>
        </w:tc>
        <w:tc>
          <w:tcPr>
            <w:tcW w:w="0" w:type="dxa"/>
            <w:vAlign w:val="bottom"/>
          </w:tcPr>
          <w:p>
            <w:pPr>
              <w:spacing w:after="0"/>
              <w:rPr>
                <w:sz w:val="1"/>
                <w:szCs w:val="1"/>
                <w:color w:val="auto"/>
              </w:rPr>
            </w:pPr>
          </w:p>
        </w:tc>
      </w:tr>
      <w:tr>
        <w:trPr>
          <w:trHeight w:val="142"/>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1640" w:type="dxa"/>
            <w:vAlign w:val="bottom"/>
            <w:tcBorders>
              <w:bottom w:val="single" w:sz="8" w:color="auto"/>
            </w:tcBorders>
          </w:tcPr>
          <w:p>
            <w:pPr>
              <w:jc w:val="right"/>
              <w:ind w:right="15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135,396</w:t>
            </w:r>
          </w:p>
        </w:tc>
        <w:tc>
          <w:tcPr>
            <w:tcW w:w="14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105,535</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1140"/>
          </w:cols>
          <w:pgMar w:left="300" w:top="1106"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252525"/>
        </w:rPr>
        <w:t>Definitions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52525"/>
        </w:rPr>
        <w:t>Assets Under Management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AUM refers to the assets we manage or sponsor. We monitor two types of information with regard to our AUM:</w:t>
      </w:r>
    </w:p>
    <w:p>
      <w:pPr>
        <w:spacing w:after="0" w:line="172" w:lineRule="exact"/>
        <w:rPr>
          <w:sz w:val="20"/>
          <w:szCs w:val="20"/>
          <w:color w:val="auto"/>
        </w:rPr>
      </w:pPr>
    </w:p>
    <w:p>
      <w:pPr>
        <w:jc w:val="both"/>
        <w:ind w:left="420" w:hanging="212"/>
        <w:spacing w:after="0" w:line="268" w:lineRule="auto"/>
        <w:tabs>
          <w:tab w:leader="none" w:pos="41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Managed Capital – we define this as the total capital we fundraise from our customers as investments in our funds. It also includes fundraising into our corporate note program, the proceeds of which were used, in part, to invest in or loan to our funds. We use this information to monitor, among other things, the amount of ‘preferred return’ that would be paid at the time of a distribution and the potential to earn a performance fee over and above the preferred return at the time of the distribution. Our fund management fees are based on a percentage of managed capital or a percentage of assets under management, and monitoring the change and composition of managed capital provides relevant data points for Caliber management to further calculate and predict future earnings.</w:t>
      </w:r>
    </w:p>
    <w:p>
      <w:pPr>
        <w:spacing w:after="0" w:line="127" w:lineRule="exact"/>
        <w:rPr>
          <w:rFonts w:ascii="Times New Roman" w:cs="Times New Roman" w:eastAsia="Times New Roman" w:hAnsi="Times New Roman"/>
          <w:sz w:val="14"/>
          <w:szCs w:val="14"/>
          <w:color w:val="auto"/>
        </w:rPr>
      </w:pPr>
    </w:p>
    <w:p>
      <w:pPr>
        <w:jc w:val="both"/>
        <w:ind w:left="420" w:hanging="212"/>
        <w:spacing w:after="0" w:line="268" w:lineRule="auto"/>
        <w:tabs>
          <w:tab w:leader="none" w:pos="41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(“FV”) AUM – we define this is as the aggregate fair value of the real estate assets we manage and from which we derive management fees, performance revenues and other fees and expense reimbursements. We estimate the value of these assets quarterly to help make sale and hold decisions and to evaluate whether an existing asset would benefit from refinancing or recapitalization. This also gives us insight into the value of our carried interest at any point in time. We also utilize FV AUM to predict the percentage of our portfolio which may need development services in a given year, fund management services (such as refinance), and brokerage services. As we control the decision to hire for these services, our service income is generally predictable based upon our current portfolio AUM and our expectations for AUM growth in the year forecasted.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52525"/>
        </w:rPr>
        <w:t>Non-GAAP Measures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252525"/>
        </w:rPr>
        <w:t>We use non-GAAP financial measures to evaluate operating performance, identify trends, formulate financial projections, make strategic decisions, and for other discretionary purposes. We believe that these measures enhance the understanding of ongoing operations and comparability of current results to prior periods and may be useful for investors to analyze our financial performance because they provide investors a view of the performance attributable to CaliberCos Inc. When analyzing our operating performance, investors should use these measures in addition to, and not as an alternative for, their most directly comparable financial measure calculated and presented in accordance with U.S. GAAP. Our presentation of non-GAAP measures may not be comparable to similarly identified measures of other companies because not all companies use the same calculations. These measures may also differ from the amounts calculated under similarly titled definitions in our debt instruments, which amounts are further adjusted to reflect certain other cash and non-cash charges and are used by us to determine compliance with financial covenants therein and our ability to engage in certain activities, such as incurring additional debt and making certain restricted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1300"/>
          </w:cols>
          <w:pgMar w:left="300" w:top="1100"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color w:val="252525"/>
        </w:rPr>
        <w:t>Asset Management Platform or Platform</w:t>
      </w:r>
    </w:p>
    <w:p>
      <w:pPr>
        <w:spacing w:after="0" w:line="16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4"/>
          <w:szCs w:val="14"/>
          <w:color w:val="252525"/>
        </w:rPr>
        <w:t>Platform refers to the performance of the Caliber asset management platform, which generates revenues and expenses from managing our investment portfolio, which does not include any consolidated assets or funds. These activities include asset management, transaction services, and performance allocations. Management believes that this is an important view of the Company because it communicates performance of the Company that would be most useful for understanding the value of CWD.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52525"/>
        </w:rPr>
        <w:t>Fee-Related Earnings and Related Components</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252525"/>
        </w:rPr>
        <w:t>Fee-Related Earnings is a supplemental non-GAAP performance measure used to assess our ability to generate profits from fee-based revenues, focusing on whether our core revenue streams, are sufficient to cover our core operating expenses. Fee- Related Earnings represents the Company’s net income (loss) before income taxes adjusted to exclude depreciation and amortization, stock-based compensation, interest expense and extraordinary or non-recurring revenue and expenses, including performance allocation revenue and gain (loss) on extinguishment of debt, public registration direct costs related to aborted or delayed offerings and our Reg A+ offering, litigation settlements, and expenses recorded to earnings relating to investment deals which were abandoned or closed. Fee-Related Earnings is presented on a basis that deconsolidates our consolidated funds (intercompany eliminations) and eliminates noncontrolling interest. Eliminating the impact of consolidated funds and noncontrolling interest provides investors a view of the performance attributable to CaliberCos Inc. and is consistent with performance models and analysis used by management.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52525"/>
        </w:rPr>
        <w:t>Distributable Earnings</w:t>
      </w:r>
    </w:p>
    <w:p>
      <w:pPr>
        <w:spacing w:after="0" w:line="1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252525"/>
        </w:rPr>
        <w:t>Distributable Earnings is a supplemental non-GAAP performance measure equal to Fee-Related Earnings plus performance allocation revenue and less interest expenses and provision for income taxes. We believe that Distributable Earnings can be useful as a supplemental performance measure to our GAAP results assessing the amount of earnings available for distribution.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52525"/>
        </w:rPr>
        <w:t>Platform Earnings</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252525"/>
        </w:rPr>
        <w:t>Platform Earnings represents the performance of our asset management platform, which generates revenues and expenses from managing our investment portfolio, excluding any consolidated assets or funds.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52525"/>
        </w:rPr>
        <w:t>Platform Earnings per Share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52525"/>
        </w:rPr>
        <w:t>Platform Earnings per Share is calculated as Platform Earnings divided by weighted average CWD common shares outstanding.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1300"/>
          </w:cols>
          <w:pgMar w:left="300" w:top="983"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color w:val="252525"/>
        </w:rPr>
        <w:t>Platform Adjusted EBITDA</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252525"/>
        </w:rPr>
        <w:t>Platform Adjusted EBITDA represents our Distributable Earnings adjusted for interest expense, other income (expense), and provision for income taxes on a basis that deconsolidates our consolidated funds (intercompany eliminations), and eliminates noncontrolling interest. Eliminating the impact of consolidated funds and noncontrolling interest provides investors a view of the performance attributable to the Platform and is consistent with performance models and analysis used by management.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52525"/>
        </w:rPr>
        <w:t>Consolidated Adjusted EBITDA</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252525"/>
        </w:rPr>
        <w:t>Consolidated Adjusted EBITDA represents the Company’s and the consolidated funds’ earnings before net interest expense, income taxes, depreciation and amortization, further adjusted to exclude stock-based compensation, transaction fees, expenses and other public registration direct costs related to aborted or delayed offerings and our Reg A+ offering, litigation settlements, expenses recorded to earnings relating to investment deals which were abandoned or closed, any other non-cash expenses or losses, as further adjusted for extraordinary or non-recurring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11300"/>
          </w:cols>
          <w:pgMar w:left="300" w:top="1145"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color w:val="auto"/>
        </w:rPr>
        <w:t>NON-GAAP ADJUSTED EBITDA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(AMOUNTS IN THOUSANDS) (UNAUDITED)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4140" w:type="dxa"/>
            <w:vAlign w:val="bottom"/>
          </w:tcPr>
          <w:p>
            <w:pPr>
              <w:spacing w:after="0"/>
              <w:rPr>
                <w:sz w:val="13"/>
                <w:szCs w:val="13"/>
                <w:color w:val="auto"/>
              </w:rPr>
            </w:pPr>
          </w:p>
        </w:tc>
        <w:tc>
          <w:tcPr>
            <w:tcW w:w="31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Year Ended December 31,</w:t>
            </w:r>
          </w:p>
        </w:tc>
        <w:tc>
          <w:tcPr>
            <w:tcW w:w="940" w:type="dxa"/>
            <w:vAlign w:val="bottom"/>
            <w:tcBorders>
              <w:bottom w:val="single" w:sz="8" w:color="auto"/>
            </w:tcBorders>
          </w:tcPr>
          <w:p>
            <w:pPr>
              <w:spacing w:after="0"/>
              <w:rPr>
                <w:sz w:val="13"/>
                <w:szCs w:val="13"/>
                <w:color w:val="auto"/>
              </w:rPr>
            </w:pPr>
          </w:p>
        </w:tc>
      </w:tr>
      <w:tr>
        <w:trPr>
          <w:trHeight w:val="151"/>
        </w:trPr>
        <w:tc>
          <w:tcPr>
            <w:tcW w:w="4140" w:type="dxa"/>
            <w:vAlign w:val="bottom"/>
          </w:tcPr>
          <w:p>
            <w:pPr>
              <w:spacing w:after="0"/>
              <w:rPr>
                <w:sz w:val="13"/>
                <w:szCs w:val="13"/>
                <w:color w:val="auto"/>
              </w:rPr>
            </w:pPr>
          </w:p>
        </w:tc>
        <w:tc>
          <w:tcPr>
            <w:tcW w:w="12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0"/>
        </w:trPr>
        <w:tc>
          <w:tcPr>
            <w:tcW w:w="4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attributable to CaliberCos Inc.</w:t>
            </w:r>
          </w:p>
        </w:tc>
        <w:tc>
          <w:tcPr>
            <w:tcW w:w="1220" w:type="dxa"/>
            <w:vAlign w:val="bottom"/>
          </w:tcPr>
          <w:p>
            <w:pPr>
              <w:jc w:val="right"/>
              <w:ind w:right="108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(7,721)</w:t>
            </w:r>
          </w:p>
        </w:tc>
        <w:tc>
          <w:tcPr>
            <w:tcW w:w="140" w:type="dxa"/>
            <w:vAlign w:val="bottom"/>
          </w:tcPr>
          <w:p>
            <w:pPr>
              <w:spacing w:after="0"/>
              <w:rPr>
                <w:sz w:val="12"/>
                <w:szCs w:val="12"/>
                <w:color w:val="auto"/>
              </w:rPr>
            </w:pPr>
          </w:p>
        </w:tc>
        <w:tc>
          <w:tcPr>
            <w:tcW w:w="1200" w:type="dxa"/>
            <w:vAlign w:val="bottom"/>
          </w:tcPr>
          <w:p>
            <w:pPr>
              <w:jc w:val="right"/>
              <w:ind w:right="10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(11,388)</w:t>
            </w:r>
          </w:p>
        </w:tc>
        <w:tc>
          <w:tcPr>
            <w:tcW w:w="140" w:type="dxa"/>
            <w:vAlign w:val="bottom"/>
          </w:tcPr>
          <w:p>
            <w:pPr>
              <w:spacing w:after="0"/>
              <w:rPr>
                <w:sz w:val="12"/>
                <w:szCs w:val="12"/>
                <w:color w:val="auto"/>
              </w:rPr>
            </w:pPr>
          </w:p>
        </w:tc>
        <w:tc>
          <w:tcPr>
            <w:tcW w:w="920" w:type="dxa"/>
            <w:vAlign w:val="bottom"/>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(21,798)</w:t>
            </w:r>
          </w:p>
        </w:tc>
        <w:tc>
          <w:tcPr>
            <w:tcW w:w="140" w:type="dxa"/>
            <w:vAlign w:val="bottom"/>
          </w:tcPr>
          <w:p>
            <w:pPr>
              <w:spacing w:after="0"/>
              <w:rPr>
                <w:sz w:val="12"/>
                <w:szCs w:val="12"/>
                <w:color w:val="auto"/>
              </w:rPr>
            </w:pP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(19,777)</w:t>
            </w:r>
          </w:p>
        </w:tc>
      </w:tr>
      <w:tr>
        <w:trPr>
          <w:trHeight w:val="155"/>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(loss) income attributable to noncontrolling interests</w:t>
            </w:r>
          </w:p>
        </w:tc>
        <w:tc>
          <w:tcPr>
            <w:tcW w:w="1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(339)</w:t>
            </w:r>
          </w:p>
        </w:tc>
        <w:tc>
          <w:tcPr>
            <w:tcW w:w="14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1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(1,229)</w:t>
            </w:r>
          </w:p>
        </w:tc>
        <w:tc>
          <w:tcPr>
            <w:tcW w:w="1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(1,693)</w:t>
            </w:r>
          </w:p>
        </w:tc>
      </w:tr>
      <w:tr>
        <w:trPr>
          <w:trHeight w:val="140"/>
        </w:trPr>
        <w:tc>
          <w:tcPr>
            <w:tcW w:w="4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(8,060)</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(10,893)</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(23,027)</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(21,470)</w:t>
            </w:r>
          </w:p>
        </w:tc>
      </w:tr>
      <w:tr>
        <w:trPr>
          <w:trHeight w:val="155"/>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22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4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before income taxes</w:t>
            </w:r>
          </w:p>
        </w:tc>
        <w:tc>
          <w:tcPr>
            <w:tcW w:w="1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(8,060)</w:t>
            </w:r>
          </w:p>
        </w:tc>
        <w:tc>
          <w:tcPr>
            <w:tcW w:w="14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(10,893)</w:t>
            </w:r>
          </w:p>
        </w:tc>
        <w:tc>
          <w:tcPr>
            <w:tcW w:w="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(23,027)</w:t>
            </w: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(21,470)</w:t>
            </w:r>
          </w:p>
        </w:tc>
      </w:tr>
      <w:tr>
        <w:trPr>
          <w:trHeight w:val="153"/>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w:t>
            </w:r>
          </w:p>
        </w:tc>
      </w:tr>
      <w:tr>
        <w:trPr>
          <w:trHeight w:val="153"/>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Consolidated funds' impact on fee-related earnings</w:t>
            </w:r>
          </w:p>
        </w:tc>
        <w:tc>
          <w:tcPr>
            <w:tcW w:w="1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1,185</w:t>
            </w:r>
          </w:p>
        </w:tc>
      </w:tr>
      <w:tr>
        <w:trPr>
          <w:trHeight w:val="153"/>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1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1,697</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2,378</w:t>
            </w:r>
          </w:p>
        </w:tc>
      </w:tr>
      <w:tr>
        <w:trPr>
          <w:trHeight w:val="153"/>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Severance</w:t>
            </w:r>
          </w:p>
        </w:tc>
        <w:tc>
          <w:tcPr>
            <w:tcW w:w="1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1,016</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w:t>
            </w:r>
          </w:p>
        </w:tc>
      </w:tr>
      <w:tr>
        <w:trPr>
          <w:trHeight w:val="153"/>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Performance allocations</w:t>
            </w:r>
          </w:p>
        </w:tc>
        <w:tc>
          <w:tcPr>
            <w:tcW w:w="1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w:t>
            </w:r>
          </w:p>
        </w:tc>
      </w:tr>
      <w:tr>
        <w:trPr>
          <w:trHeight w:val="153"/>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(income) expenses, net</w:t>
            </w:r>
          </w:p>
        </w:tc>
        <w:tc>
          <w:tcPr>
            <w:tcW w:w="1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(1,211)</w:t>
            </w:r>
          </w:p>
        </w:tc>
      </w:tr>
      <w:tr>
        <w:trPr>
          <w:trHeight w:val="153"/>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Investments impairment</w:t>
            </w:r>
          </w:p>
        </w:tc>
        <w:tc>
          <w:tcPr>
            <w:tcW w:w="1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2,808</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4,304</w:t>
            </w:r>
          </w:p>
        </w:tc>
      </w:tr>
      <w:tr>
        <w:trPr>
          <w:trHeight w:val="153"/>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fair value of digital assets</w:t>
            </w:r>
          </w:p>
        </w:tc>
        <w:tc>
          <w:tcPr>
            <w:tcW w:w="1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5,116</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5,793</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Bad debt expense</w:t>
            </w:r>
          </w:p>
        </w:tc>
        <w:tc>
          <w:tcPr>
            <w:tcW w:w="1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4,079</w:t>
            </w:r>
          </w:p>
        </w:tc>
      </w:tr>
      <w:tr>
        <w:trPr>
          <w:trHeight w:val="155"/>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 net</w:t>
            </w:r>
          </w:p>
        </w:tc>
        <w:tc>
          <w:tcPr>
            <w:tcW w:w="1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1,221</w:t>
            </w:r>
          </w:p>
        </w:tc>
        <w:tc>
          <w:tcPr>
            <w:tcW w:w="14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1,421</w:t>
            </w:r>
          </w:p>
        </w:tc>
        <w:tc>
          <w:tcPr>
            <w:tcW w:w="1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6,355</w:t>
            </w:r>
          </w:p>
        </w:tc>
        <w:tc>
          <w:tcPr>
            <w:tcW w:w="1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4,865</w:t>
            </w:r>
          </w:p>
        </w:tc>
      </w:tr>
      <w:tr>
        <w:trPr>
          <w:trHeight w:val="140"/>
        </w:trPr>
        <w:tc>
          <w:tcPr>
            <w:tcW w:w="4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Fee-related earnings</w:t>
            </w:r>
          </w:p>
        </w:tc>
        <w:tc>
          <w:tcPr>
            <w:tcW w:w="1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(818)</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(3,944)</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(5,386)</w:t>
            </w:r>
          </w:p>
        </w:tc>
      </w:tr>
      <w:tr>
        <w:trPr>
          <w:trHeight w:val="153"/>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Performance allocations</w:t>
            </w:r>
          </w:p>
        </w:tc>
        <w:tc>
          <w:tcPr>
            <w:tcW w:w="1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w:t>
            </w:r>
          </w:p>
        </w:tc>
      </w:tr>
      <w:tr>
        <w:trPr>
          <w:trHeight w:val="153"/>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 net</w:t>
            </w:r>
          </w:p>
        </w:tc>
        <w:tc>
          <w:tcPr>
            <w:tcW w:w="1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(1,221)</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(1,421)</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(6,355)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(4,865)</w:t>
            </w:r>
          </w:p>
        </w:tc>
      </w:tr>
      <w:tr>
        <w:trPr>
          <w:trHeight w:val="155"/>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22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4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Distributable earnings</w:t>
            </w:r>
          </w:p>
        </w:tc>
        <w:tc>
          <w:tcPr>
            <w:tcW w:w="1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(2,037)</w:t>
            </w:r>
          </w:p>
        </w:tc>
        <w:tc>
          <w:tcPr>
            <w:tcW w:w="14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(2,570)</w:t>
            </w:r>
          </w:p>
        </w:tc>
        <w:tc>
          <w:tcPr>
            <w:tcW w:w="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(10,272)</w:t>
            </w: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(9,893)</w:t>
            </w:r>
          </w:p>
        </w:tc>
      </w:tr>
      <w:tr>
        <w:trPr>
          <w:trHeight w:val="153"/>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1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1,487</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1,466</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6,712</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5,424</w:t>
            </w:r>
          </w:p>
        </w:tc>
      </w:tr>
      <w:tr>
        <w:trPr>
          <w:trHeight w:val="153"/>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expenses (income), net</w:t>
            </w:r>
          </w:p>
        </w:tc>
        <w:tc>
          <w:tcPr>
            <w:tcW w:w="1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1,211</w:t>
            </w:r>
          </w:p>
        </w:tc>
      </w:tr>
      <w:tr>
        <w:trPr>
          <w:trHeight w:val="153"/>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22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Consolidated funds' impact on Caliber adjusted EBITDA</w:t>
            </w:r>
          </w:p>
        </w:tc>
        <w:tc>
          <w:tcPr>
            <w:tcW w:w="1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4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772</w:t>
            </w:r>
          </w:p>
        </w:tc>
        <w:tc>
          <w:tcPr>
            <w:tcW w:w="1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548</w:t>
            </w:r>
          </w:p>
        </w:tc>
      </w:tr>
      <w:tr>
        <w:trPr>
          <w:trHeight w:val="140"/>
        </w:trPr>
        <w:tc>
          <w:tcPr>
            <w:tcW w:w="4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Platform adjusted EBITDA</w:t>
            </w:r>
          </w:p>
        </w:tc>
        <w:tc>
          <w:tcPr>
            <w:tcW w:w="1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(1,002)</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(2,428)</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(2,710)</w:t>
            </w:r>
          </w:p>
        </w:tc>
      </w:tr>
      <w:tr>
        <w:trPr>
          <w:trHeight w:val="155"/>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Consolidated funds' EBITDA adjustments</w:t>
            </w:r>
          </w:p>
        </w:tc>
        <w:tc>
          <w:tcPr>
            <w:tcW w:w="1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14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2,517</w:t>
            </w:r>
          </w:p>
        </w:tc>
        <w:tc>
          <w:tcPr>
            <w:tcW w:w="1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1,633</w:t>
            </w:r>
          </w:p>
        </w:tc>
        <w:tc>
          <w:tcPr>
            <w:tcW w:w="1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9,694</w:t>
            </w:r>
          </w:p>
        </w:tc>
      </w:tr>
      <w:tr>
        <w:trPr>
          <w:trHeight w:val="142"/>
        </w:trPr>
        <w:tc>
          <w:tcPr>
            <w:tcW w:w="4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Consolidated adjusted EBITDA</w:t>
            </w:r>
          </w:p>
        </w:tc>
        <w:tc>
          <w:tcPr>
            <w:tcW w:w="1220" w:type="dxa"/>
            <w:vAlign w:val="bottom"/>
            <w:tcBorders>
              <w:bottom w:val="single" w:sz="8" w:color="auto"/>
            </w:tcBorders>
          </w:tcPr>
          <w:p>
            <w:pPr>
              <w:jc w:val="right"/>
              <w:ind w:right="108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140" w:type="dxa"/>
            <w:vAlign w:val="bottom"/>
          </w:tcPr>
          <w:p>
            <w:pPr>
              <w:spacing w:after="0"/>
              <w:rPr>
                <w:sz w:val="12"/>
                <w:szCs w:val="12"/>
                <w:color w:val="auto"/>
              </w:rPr>
            </w:pPr>
          </w:p>
        </w:tc>
        <w:tc>
          <w:tcPr>
            <w:tcW w:w="12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1,515</w:t>
            </w:r>
          </w:p>
        </w:tc>
        <w:tc>
          <w:tcPr>
            <w:tcW w:w="140" w:type="dxa"/>
            <w:vAlign w:val="bottom"/>
          </w:tcPr>
          <w:p>
            <w:pPr>
              <w:spacing w:after="0"/>
              <w:rPr>
                <w:sz w:val="12"/>
                <w:szCs w:val="12"/>
                <w:color w:val="auto"/>
              </w:rPr>
            </w:pPr>
          </w:p>
        </w:tc>
        <w:tc>
          <w:tcPr>
            <w:tcW w:w="92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(795)</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6,984</w:t>
            </w:r>
          </w:p>
        </w:tc>
      </w:tr>
      <w:tr>
        <w:trPr>
          <w:trHeight w:val="20"/>
        </w:trPr>
        <w:tc>
          <w:tcPr>
            <w:tcW w:w="4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11280"/>
          </w:cols>
          <w:pgMar w:left="300" w:top="989" w:right="319" w:bottom="1440"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79190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o"/>
      <w:numFmt w:val="bullet"/>
      <w:start w:val="1"/>
    </w:lvl>
  </w:abstractNum>
  <w:abstractNum w:abstractNumId="1">
    <w:nsid w:val="5BD062C2"/>
    <w:multiLevelType w:val="hybridMultilevel"/>
    <w:lvl w:ilvl="0">
      <w:lvlJc w:val="left"/>
      <w:lvlText w:val="•"/>
      <w:numFmt w:val="bullet"/>
      <w:start w:val="1"/>
    </w:lvl>
    <w:lvl w:ilvl="1">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2026-03-25T16:46:06Z</dcterms:created>
  <dcterms:modified xsi:type="dcterms:W3CDTF">2026-03-25T16:46:06Z</dcterms:modified>
</cp:coreProperties>
</file>