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6242-8k_calibercos.htm"/>
      <w:bookmarkStart w:id="1" w:name="ksea02862428k_caliberco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4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br/>
      </w:r>
      <w:bookmarkStart w:id="3" w:name="xdx_906_edei--DocumentPeriodEndDate_c202"/>
      <w:bookmarkEnd w:id="3"/>
      <w:r>
        <w:rPr>
          <w:rFonts w:ascii="Times New Roman;Times;Serif" w:hAnsi="Times New Roman;Times;Serif"/>
          <w:b w:val="false"/>
          <w:i w:val="false"/>
          <w:caps w:val="false"/>
          <w:smallCaps w:val="false"/>
          <w:sz w:val="20"/>
        </w:rPr>
        <w:t>April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 w:name="xdx_90D_edei--EntityRegistrantName_c2026"/>
      <w:bookmarkEnd w:id="4"/>
      <w:r>
        <w:rPr>
          <w:rFonts w:ascii="Times New Roman;Times;Serif" w:hAnsi="Times New Roman;Times;Serif"/>
          <w:b/>
          <w:i w:val="false"/>
          <w:caps w:val="false"/>
          <w:smallCaps w:val="false"/>
          <w:sz w:val="20"/>
          <w:u w:val="single"/>
        </w:rPr>
        <w:t>CALIBERCOS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center"/>
        <w:rPr>
          <w:caps w:val="false"/>
          <w:smallCaps w:val="false"/>
        </w:rPr>
      </w:pPr>
      <w:r>
        <w:rPr>
          <w:caps w:val="false"/>
          <w:smallCaps w:val="false"/>
        </w:rPr>
        <w:t> </w:t>
      </w:r>
    </w:p>
    <w:tbl>
      <w:tblPr>
        <w:tblW w:w="5965" w:type="dxa"/>
        <w:jc w:val="left"/>
        <w:tblInd w:w="0" w:type="dxa"/>
        <w:tblLayout w:type="fixed"/>
        <w:tblCellMar>
          <w:top w:w="0" w:type="dxa"/>
          <w:left w:w="0" w:type="dxa"/>
          <w:bottom w:w="28" w:type="dxa"/>
          <w:right w:w="0" w:type="dxa"/>
        </w:tblCellMar>
      </w:tblPr>
      <w:tblGrid>
        <w:gridCol w:w="2630"/>
        <w:gridCol w:w="60"/>
        <w:gridCol w:w="3275"/>
      </w:tblGrid>
      <w:tr>
        <w:trPr/>
        <w:tc>
          <w:tcPr>
            <w:tcW w:w="2630" w:type="dxa"/>
            <w:tcBorders>
              <w:bottom w:val="single" w:sz="12" w:space="0" w:color="000000"/>
            </w:tcBorders>
            <w:vAlign w:val="center"/>
          </w:tcPr>
          <w:p>
            <w:pPr>
              <w:pStyle w:val="TableContents"/>
              <w:bidi w:val="0"/>
              <w:spacing w:before="0" w:after="283"/>
              <w:jc w:val="center"/>
              <w:rPr>
                <w:b/>
              </w:rPr>
            </w:pPr>
            <w:bookmarkStart w:id="6" w:name="xdx_90C_edei--EntityFileNumber_c20260409"/>
            <w:bookmarkEnd w:id="6"/>
            <w:r>
              <w:rPr>
                <w:b/>
              </w:rPr>
              <w:t>001-41703</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12" w:space="0" w:color="000000"/>
            </w:tcBorders>
            <w:vAlign w:val="center"/>
          </w:tcPr>
          <w:p>
            <w:pPr>
              <w:pStyle w:val="TableContents"/>
              <w:bidi w:val="0"/>
              <w:spacing w:before="0" w:after="283"/>
              <w:jc w:val="center"/>
              <w:rPr>
                <w:b/>
              </w:rPr>
            </w:pPr>
            <w:bookmarkStart w:id="7" w:name="xdx_908_edei--EntityTaxIdentificationNum"/>
            <w:bookmarkEnd w:id="7"/>
            <w:r>
              <w:rPr>
                <w:b/>
              </w:rPr>
              <w:t>47-2426901</w:t>
            </w:r>
          </w:p>
        </w:tc>
      </w:tr>
      <w:tr>
        <w:trPr/>
        <w:tc>
          <w:tcPr>
            <w:tcW w:w="2630"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28" w:type="dxa"/>
          <w:right w:w="0" w:type="dxa"/>
        </w:tblCellMar>
      </w:tblPr>
      <w:tblGrid>
        <w:gridCol w:w="5345"/>
        <w:gridCol w:w="60"/>
        <w:gridCol w:w="1085"/>
      </w:tblGrid>
      <w:tr>
        <w:trPr/>
        <w:tc>
          <w:tcPr>
            <w:tcW w:w="5345" w:type="dxa"/>
            <w:tcBorders>
              <w:bottom w:val="single" w:sz="12" w:space="0" w:color="000000"/>
            </w:tcBorders>
            <w:vAlign w:val="center"/>
          </w:tcPr>
          <w:p>
            <w:pPr>
              <w:pStyle w:val="TableContents"/>
              <w:bidi w:val="0"/>
              <w:spacing w:before="0" w:after="283"/>
              <w:jc w:val="center"/>
              <w:rPr>
                <w:b/>
              </w:rPr>
            </w:pPr>
            <w:bookmarkStart w:id="8" w:name="xdx_90B_edei--EntityAddressAddressLine1_"/>
            <w:bookmarkEnd w:id="8"/>
            <w:r>
              <w:rPr>
                <w:b/>
              </w:rPr>
              <w:t xml:space="preserve">8901 E. Mountain View Rd. </w:t>
            </w:r>
            <w:bookmarkStart w:id="9" w:name="xdx_907_edei--EntityAddressAddressLine2_"/>
            <w:bookmarkEnd w:id="9"/>
            <w:r>
              <w:rPr>
                <w:b/>
              </w:rPr>
              <w:t xml:space="preserve">Ste. 150, </w:t>
            </w:r>
            <w:bookmarkStart w:id="10" w:name="xdx_90E_edei--EntityAddressCityOrTown_c2"/>
            <w:bookmarkEnd w:id="10"/>
            <w:r>
              <w:rPr>
                <w:b/>
              </w:rPr>
              <w:t xml:space="preserve">Scottsdale, </w:t>
            </w:r>
            <w:bookmarkStart w:id="11" w:name="xdx_909_edei--EntityAddressStateOrProvin"/>
            <w:bookmarkEnd w:id="11"/>
            <w:r>
              <w:rPr>
                <w:b/>
              </w:rPr>
              <w:t>AZ</w:t>
            </w:r>
          </w:p>
        </w:tc>
        <w:tc>
          <w:tcPr>
            <w:tcW w:w="60" w:type="dxa"/>
            <w:tcBorders/>
            <w:tcMar>
              <w:bottom w:w="0" w:type="dxa"/>
            </w:tcMar>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2" w:name="xdx_903_edei--EntityAddressPostalZipCode"/>
            <w:bookmarkEnd w:id="12"/>
            <w:r>
              <w:rPr>
                <w:b/>
              </w:rPr>
              <w:t>85258</w:t>
            </w:r>
          </w:p>
        </w:tc>
      </w:tr>
      <w:tr>
        <w:trPr/>
        <w:tc>
          <w:tcPr>
            <w:tcW w:w="534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4_edei--CityAreaCode_c20260409__20"/>
      <w:bookmarkEnd w:id="13"/>
      <w:r>
        <w:rPr>
          <w:rFonts w:ascii="Times New Roman;Times;Serif" w:hAnsi="Times New Roman;Times;Serif"/>
          <w:b/>
          <w:i w:val="false"/>
          <w:caps w:val="false"/>
          <w:smallCaps w:val="false"/>
          <w:sz w:val="20"/>
        </w:rPr>
        <w:t xml:space="preserve">480) </w:t>
      </w:r>
      <w:bookmarkStart w:id="14" w:name="xdx_90B_edei--LocalPhoneNumber_c20260409"/>
      <w:bookmarkEnd w:id="14"/>
      <w:r>
        <w:rPr>
          <w:rFonts w:ascii="Times New Roman;Times;Serif" w:hAnsi="Times New Roman;Times;Serif"/>
          <w:b/>
          <w:i w:val="false"/>
          <w:caps w:val="false"/>
          <w:smallCaps w:val="false"/>
          <w:sz w:val="20"/>
        </w:rPr>
        <w:t>295-7600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pPr>
            <w:bookmarkStart w:id="15" w:name="xdx_908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both"/>
              <w:rPr/>
            </w:pPr>
            <w:bookmarkStart w:id="16" w:name="xdx_90A_edei--SolicitingMaterial_c202604"/>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both"/>
              <w:rPr/>
            </w:pPr>
            <w:bookmarkStart w:id="17" w:name="xdx_90B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both"/>
              <w:rPr/>
            </w:pPr>
            <w:bookmarkStart w:id="18" w:name="xdx_90C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54"/>
        <w:gridCol w:w="60"/>
        <w:gridCol w:w="1750"/>
        <w:gridCol w:w="60"/>
        <w:gridCol w:w="4381"/>
      </w:tblGrid>
      <w:tr>
        <w:trPr/>
        <w:tc>
          <w:tcPr>
            <w:tcW w:w="3954"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750"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381"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954" w:type="dxa"/>
            <w:tcBorders/>
            <w:shd w:fill="CCEEFF" w:val="clear"/>
            <w:tcMar>
              <w:bottom w:w="0" w:type="dxa"/>
            </w:tcMar>
            <w:vAlign w:val="center"/>
          </w:tcPr>
          <w:p>
            <w:pPr>
              <w:pStyle w:val="TableContents"/>
              <w:bidi w:val="0"/>
              <w:spacing w:before="0" w:after="283"/>
              <w:jc w:val="center"/>
              <w:rPr/>
            </w:pPr>
            <w:bookmarkStart w:id="19" w:name="xdx_908_edei--Security12bTitle_c20260409"/>
            <w:bookmarkEnd w:id="19"/>
            <w:r>
              <w:rPr/>
              <w:t>Class A Common Stock, par value $0.001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50" w:type="dxa"/>
            <w:tcBorders/>
            <w:shd w:fill="CCEEFF" w:val="clear"/>
            <w:tcMar>
              <w:bottom w:w="0" w:type="dxa"/>
            </w:tcMar>
            <w:vAlign w:val="center"/>
          </w:tcPr>
          <w:p>
            <w:pPr>
              <w:pStyle w:val="TableContents"/>
              <w:bidi w:val="0"/>
              <w:spacing w:before="0" w:after="283"/>
              <w:jc w:val="center"/>
              <w:rPr/>
            </w:pPr>
            <w:bookmarkStart w:id="20" w:name="xdx_90B_edei--TradingSymbol_c20260409__2"/>
            <w:bookmarkEnd w:id="20"/>
            <w:r>
              <w:rPr/>
              <w:t>CWD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1" w:type="dxa"/>
            <w:tcBorders/>
            <w:shd w:fill="CCEEFF" w:val="clear"/>
            <w:tcMar>
              <w:bottom w:w="0" w:type="dxa"/>
            </w:tcMar>
            <w:vAlign w:val="center"/>
          </w:tcPr>
          <w:p>
            <w:pPr>
              <w:pStyle w:val="TableContents"/>
              <w:bidi w:val="0"/>
              <w:spacing w:before="0" w:after="283"/>
              <w:jc w:val="center"/>
              <w:rPr/>
            </w:pPr>
            <w:r>
              <w:rPr/>
              <w:t xml:space="preserve">The </w:t>
            </w:r>
            <w:bookmarkStart w:id="21" w:name="xdx_903_edei--SecurityExchangeName_c2026"/>
            <w:bookmarkEnd w:id="21"/>
            <w: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E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CaliberCos Inc. (the “Company”) launched a note conversion program (the “Program”) pursuant to which holders (the “Note Holders”) of certain of the Company’s unsecured, outstanding promissory notes (the “Notes”) may elect to convert all or part of their Notes into (i) shares of the Company’s Class A common stock, par value $0.001 (“Common Stock”) pursuant to a common stock subscription agreement, or (ii) shares of Series AAA Convertible Preferred Stock (“Series AAA Preferred Stock”) pursuant to a preferred stock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agreements provide for registration rights for the shares of Common Stock and the shares of Common Stock issuable upon conversion of Series AAA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9, 2026, the Company has entered into subscription agreements with the Note Holders whereby the Note Holders converted and cancelled an aggregate of $3,450,271 of outstanding indebtedness of the Company, consisting of $1,921,771 of outstanding Notes in exchange for 1,707,900 shares of Class A Common Stock and $1,528,500 of outstanding Notes in exchange for 1,529 shares of Series AAA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summary of the material terms of the Program and the subscription agreements and does not purport to be a complete description of the rights and obligations of the parties thereunder. The foregoing summary of the Program and the subscription agreements is qualified in its entirety by reference to the forms of the common stock subscription agreement and the preferred stock subscription agreement, which are filed as Exhibit 10.1 and Exhibit 10.2 to this Current Report, respectively,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1.01 regarding the issuance of the shares of Common Stock, including the shares of Common Stock issuable upon conversion of the Series AAA Preferred Stock, is hereby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issuance of the shares of Common Stock and shares of Series AAA Preferred Stock described herein, such shares of Common Stock, including the shares of Common Stock issuable upon conversion of the Series AAA Preferred Stock, have not been registered under the Securities Act of 1933, as amended (the “Securities Act”), or any state securities laws, and were issued to the respective recipients in transactions exempt from registration under the Securities Act in reliance upon the exemption from registration provided by Section 4(a)(2) under the Securities Act and/or Regulation D promulgated thereunder. Accordingly, such shares of Common Stock constitute “restricted securities” within the meaning of Rule 144 under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Material Modification to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the Company filed a Certificate of Amendment (the “Series A Amendment”) to the Certificate of Designation for the Company’s Series A Convertible Preferred Stock (the “Series A Certificate of Designation”) with the Delaware Secretary of State’s Office. Pursuant to the Series A Amendment, the Series A Convertible Preferred Stock (the “Series A Preferred Stock”) will rank pari passu with the Series AAA Preferred Stock and the conversion provisions in the Series A Certificate of Designation were restated in full to match the conversion provisions in the Series AAA COD. The Series A Amendment was approved by the requisite holders of the Company’s 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Series A Amendment does not purport to be complete and is subject to, and qualified in its entirety by, the copy of the Series A Amendment attached as Exhibit 3.1 to this Current Report,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2024, the Company filed the Series A Certificate of Designation with the Secretary of State of the State of Delaware to establish the preferences, voting powers, limitations as to dividends or other distributions, qualifications, terms and conditions of redemption and other terms and conditions of the Company’s Series A Preferred Stock. On April 9, 2026, the Company filed the Series A Amendment. The Series A Preferred Stock is subject to certain rights, preferences, privileges, and obligations, including voluntary and mandatory conversion provisions, as well as beneficial ownership restrictions and share cap limitations, as set forth in the Series A Certificate of Designation, as amended. The following is a summary description of the terms and the general effect of the issuance of the shares of Series A Preferred Stock on the Company’s other classes of 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Value</w:t>
      </w:r>
      <w:r>
        <w:rPr>
          <w:rFonts w:ascii="Times New Roman;Times;Serif" w:hAnsi="Times New Roman;Times;Serif"/>
          <w:b w:val="false"/>
          <w:i w:val="false"/>
          <w:caps w:val="false"/>
          <w:smallCaps w:val="false"/>
          <w:sz w:val="20"/>
        </w:rPr>
        <w:t>. Each share of Series A Preferred Stock has an initial stated value of $400.00, subject to appropriate adjustment in relation to certain events, such as recapitalizations, stock dividends, stock splits, stock combinations, reclassifications or similar events affecting our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the shares of Series A Preferred Stock will be entitled to receive a twelve percent (12%) annual, non-cumulative dividend payable annually, at the Company’s option, (i) in cash or (ii) in shares of the Company’s Class A common stock, at a price per share of Class A Common Stock equal to the lower of (A) the average closing price of Class A Common Stock as quoted on the principal trading market, if any, in which the shares of Class A Common Stock then trade (“Principal Market”) for the five trading days immediately preceding the date of issuance, or (B) the closing price of the Class A Common Stock as quoted on the Principal Market on the trading day prior to the date of issuance, but in no event less than $20.00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Conversion</w:t>
      </w:r>
      <w:r>
        <w:rPr>
          <w:rFonts w:ascii="Times New Roman;Times;Serif" w:hAnsi="Times New Roman;Times;Serif"/>
          <w:b w:val="false"/>
          <w:i w:val="false"/>
          <w:caps w:val="false"/>
          <w:smallCaps w:val="false"/>
          <w:sz w:val="20"/>
        </w:rPr>
        <w:t>. At any time and from time to time, a holder of the shares of Series A Preferred Stock may, at its option, convert (i) up to thirty three and one-third percent (33.3%) of the holder’s total shares of Series A Preferred Stock (the “First Tranche Convertible Shares”) at a rate equal to the stated value divided by $2.50 (the “First Tranche Conversion Rate”), (ii) up to thirty three and one-third percent (33.3%) of the holder’s total shares of Series A Preferred Stock (the “Second Tranche Convertible Shares”) at a rate equal to the stated value divided by $3.50 (the “Second Tranche Conversion Rate”), and (iii) up to thirty three and one-third percent (33.3%) of the holder’s total shares of Series A Preferred Stock (the “Third Tranche Convertible Shares”) at a rate equal to the stated value divided by $4.50 (the “Third Tranche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The Series A Preferred Stock will have no voting rights relative to matters submitted to a vote of our stockholders (other than as required by law). However, we may not, without the affirmative vote or written consent of the holders of a majority of the then issued and outstanding Series A Preferred Stock: (i) amend or waive any provision of the certificate of designation or otherwise take any action that modifies any powers, rights, preferences, privileges or restrictions of the Series A Preferred Stock (other than an amendment solely for the purpose of changing the number of shares of Series A Preferred Stock designated for issuance as provided in the certificate of designation); (ii) authorize, create or issue shares of any class of stock having rights, preferences or privileges as to dividends or distributions upon a liquidation that are superior to the Series A Preferred Stock; or (iii) amend our certificate of incorporation in a manner that adversely and materially affects the rights of the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 up of the Company, the holders of shares of the Series A Preferred Stock then outstanding will be entitled to receive in cash out of the assets of the Company, whether from capital or from earnings available for distribution to its stockholders, before any amount will be paid to the holders of any of the capital stock of the Company of any class junior in rank to the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Series A Preferred Stock ranks senior to our Series B Preferred Stock, Class A Common Stock and Class B common stock and pari passu with our Series AA Preferred Stock and Series AAA Preferred Stock, with respect to the preferences provided for in the Certificate of Designation as to distributions and payments upon the liquidation, dissolution and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w:t>
      </w:r>
      <w:r>
        <w:rPr>
          <w:rFonts w:ascii="Times New Roman;Times;Serif" w:hAnsi="Times New Roman;Times;Serif"/>
          <w:b w:val="false"/>
          <w:i w:val="false"/>
          <w:caps w:val="false"/>
          <w:smallCaps w:val="false"/>
          <w:sz w:val="20"/>
        </w:rPr>
        <w:t>. The Company has the right to redeem the outstanding shares of the Series A Preferred Stock at an amount equal to the Liquidation Preference, provided that the holders of Series A Preferred Stock are granted thirty (30) calendar days to first exercise their conversion rights. “Liquidation Preference” means, with respect to each outstanding share of Series A Preferred Stock, the sum of: (i) the amount of all accrued but unpaid dividends on such share; plus (ii) the product of the stated value multiplied by 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The Certificate of Designation may be amended by obtaining the affirmative vote of a majority of the outstanding shares of Series A Preferred Stock, voting separately as a single class.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Series AAA 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the Company filed the Series AAA Preferred Stock Certificate of Designation with the Secretary of State of the State of Delaware (“Series AAA COD”) to establish the preferences, voting powers, limitations as to dividends or other distributions, qualifications, terms and conditions of redemption and other terms and conditions of the Company’s Series AAA Preferred Stock. The Series AAA Preferred Stock is subject to certain rights, preferences, privileges, and obligations, including voluntary and mandatory conversion provisions, as well as beneficial ownership restrictions and share cap limitations, as set forth in the Series AAA Certificate of Designation. The following is a summary description of the terms and the general effect of the issuance of the shares of Series AAA Preferred Stock on the Company’s other classes of 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Value</w:t>
      </w:r>
      <w:r>
        <w:rPr>
          <w:rFonts w:ascii="Times New Roman;Times;Serif" w:hAnsi="Times New Roman;Times;Serif"/>
          <w:b w:val="false"/>
          <w:i w:val="false"/>
          <w:caps w:val="false"/>
          <w:smallCaps w:val="false"/>
          <w:sz w:val="20"/>
        </w:rPr>
        <w:t>. Each share of Series AAA Preferred Stock has an initial stated value of $1,000.00, subject to appropriate adjustment in relation to certain events, such as recapitalizations, stock dividends, stock splits, stock combinations, reclassifications or similar events affecting the Company’s Series AAA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the shares of Series AAA Preferred Stock will be entitled to receive a twelve percent (12%) annual, non-cumulative dividend payable quarterly, at the Company’s option, (i) in cash or (ii) in shares of the Company’s Class A common stock, at a price per share of Class A Common Stock equal to the lower of (A) the average closing price of Class A Common Stock as quoted on the principal trading market, if any, in which the shares of Class A Common Stock then trade (“Principal Market”) for the five trading days immediately preceding the date of issuance, or (B) the closing price of the Class A Common Stock as quoted on the Principal Market on the trading day prior to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Conversion</w:t>
      </w:r>
      <w:r>
        <w:rPr>
          <w:rFonts w:ascii="Times New Roman;Times;Serif" w:hAnsi="Times New Roman;Times;Serif"/>
          <w:b w:val="false"/>
          <w:i w:val="false"/>
          <w:caps w:val="false"/>
          <w:smallCaps w:val="false"/>
          <w:sz w:val="20"/>
        </w:rPr>
        <w:t>. At any time and from time to time, a holder of the shares of Series AAA Preferred Stock may, at its option, convert (i) up to thirty three and one-third percent (33.3%) of the holder’s total shares of Series AAA Preferred Stock (the “First Tranche Convertible Shares”) at a rate equal to the stated value divided by $2.50 (the “First Tranche Conversion Rate”), (ii) up to thirty three and one-third percent (33.3%) of the holder’s total shares of Series AAA Preferred Stock (the “Second Tranche Convertible Shares”) at a rate equal to the stated value divided by $3.50 (the “Second Tranche Conversion Rate”), and (iii) up to thirty three and one-third percent (33.3%) of the holder’s total shares of Series AAA Preferred Stock (the “Third Tranche Convertible Shares”) at a rate equal to the stated value divided by $4.50 (the “Third Tranche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Except as provided in the Series AAA COD or under Delaware law, the holders of shares of the Series AAA Preferred Stock do not have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 up of the Company, the holders of shares of the Series AAA Preferred Stock then outstanding will be entitled to receive in cash out of the assets of the Company, whether from capital or from earnings available for distribution to its stockholders, before any amount will be paid to the holders of any of the capital stock of the Company of any class junior in rank to the Series AAA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Series AAA Preferred Stock ranks senior to the Company’s Series B Convertible Preferred Stock, Class A Common Stock and Class B common stock and pari passu with the Company’s Series A Convertible Preferred Stock and Series AA Cumulative Redeemable Preferred Stock, with respect to the preferences provided for in the Series AAA COD as to distributions and payments upon the liquidation, dissolution and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w:t>
      </w:r>
      <w:r>
        <w:rPr>
          <w:rFonts w:ascii="Times New Roman;Times;Serif" w:hAnsi="Times New Roman;Times;Serif"/>
          <w:b w:val="false"/>
          <w:i w:val="false"/>
          <w:caps w:val="false"/>
          <w:smallCaps w:val="false"/>
          <w:sz w:val="20"/>
        </w:rPr>
        <w:t>. The Company has the right to redeem the outstanding shares of the Series AAA Preferred Stock at an amount equal to the Liquidation Preference, provided that the holders of Series AAA Preferred Stock are granted thirty (30) calendar days to first exercise their conversion rights. “Liquidation Preference” means, with respect to each outstanding share of Series AAA Preferred Stock, the sum of: (i) the amount of all accrued but unpaid dividends on such share; plus (ii) the stated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The Certificate of Designation may be amended by obtaining the affirmative vote of a majority of the outstanding shares of Series AAA Preferred Stock, voting separately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Listing</w:t>
      </w:r>
      <w:r>
        <w:rPr>
          <w:rFonts w:ascii="Times New Roman;Times;Serif" w:hAnsi="Times New Roman;Times;Serif"/>
          <w:b w:val="false"/>
          <w:i w:val="false"/>
          <w:caps w:val="false"/>
          <w:smallCaps w:val="false"/>
          <w:sz w:val="20"/>
        </w:rPr>
        <w:t>. The Series AAA Convertible Preferred Stock will not be listed on the Nasdaq Capital Market or any other exchange or trading market. The Company does not plan on making an application to list the Series AAA Convertible Preferred Stock on the Nasdaq Capital Market, any other national securities exchange or any other nationally recognized trading system. The Class A Common Stock issuable upon conversion of the Series AAA Convertible Preferred Stock is listed on the Nasdaq Capital Market under the symbol “CWD.”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Series AAA Certificate of Designation does not purport to be complete and is subject to, and qualified in its entirety by, the copy of the Series AAA Certificate of Designation attached as Exhibit 3.2 to this Current Report,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89"/>
        <w:gridCol w:w="60"/>
        <w:gridCol w:w="9056"/>
      </w:tblGrid>
      <w:tr>
        <w:trPr/>
        <w:tc>
          <w:tcPr>
            <w:tcW w:w="1089"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56" w:type="dxa"/>
            <w:tcBorders>
              <w:bottom w:val="single" w:sz="12" w:space="0" w:color="000000"/>
            </w:tcBorders>
            <w:vAlign w:val="center"/>
          </w:tcPr>
          <w:p>
            <w:pPr>
              <w:pStyle w:val="TableContents"/>
              <w:bidi w:val="0"/>
              <w:spacing w:before="0" w:after="283"/>
              <w:jc w:val="both"/>
              <w:rPr>
                <w:b/>
              </w:rPr>
            </w:pPr>
            <w:r>
              <w:rPr>
                <w:b/>
              </w:rPr>
              <w:t>Exhibit</w:t>
            </w:r>
          </w:p>
        </w:tc>
      </w:tr>
      <w:tr>
        <w:trPr/>
        <w:tc>
          <w:tcPr>
            <w:tcW w:w="1089" w:type="dxa"/>
            <w:tcBorders/>
            <w:shd w:fill="CCEEFF" w:val="clear"/>
            <w:tcMar>
              <w:bottom w:w="0" w:type="dxa"/>
            </w:tcMar>
            <w:vAlign w:val="center"/>
          </w:tcPr>
          <w:p>
            <w:pPr>
              <w:pStyle w:val="TableContents"/>
              <w:bidi w:val="0"/>
              <w:spacing w:before="0" w:after="283"/>
              <w:jc w:val="lef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6" w:type="dxa"/>
            <w:tcBorders/>
            <w:shd w:fill="CCEEFF" w:val="clear"/>
            <w:tcMar>
              <w:bottom w:w="0" w:type="dxa"/>
            </w:tcMar>
            <w:vAlign w:val="center"/>
          </w:tcPr>
          <w:p>
            <w:pPr>
              <w:pStyle w:val="TableContents"/>
              <w:bidi w:val="0"/>
              <w:spacing w:before="0" w:after="283"/>
              <w:jc w:val="both"/>
              <w:rPr/>
            </w:pPr>
            <w:hyperlink w:anchor="ea028624201ex3-1.htm">
              <w:r>
                <w:rPr>
                  <w:rStyle w:val="InternetLink"/>
                </w:rPr>
                <w:t>Certificate of Amendment to the Certificate of Designation for the Company’s Series A Convertible Preferred Stock</w:t>
              </w:r>
            </w:hyperlink>
          </w:p>
        </w:tc>
      </w:tr>
      <w:tr>
        <w:trPr/>
        <w:tc>
          <w:tcPr>
            <w:tcW w:w="1089" w:type="dxa"/>
            <w:tcBorders/>
            <w:shd w:fill="FFFFFF" w:val="clear"/>
            <w:tcMar>
              <w:bottom w:w="0" w:type="dxa"/>
            </w:tcMar>
            <w:vAlign w:val="center"/>
          </w:tcPr>
          <w:p>
            <w:pPr>
              <w:pStyle w:val="TableContents"/>
              <w:bidi w:val="0"/>
              <w:spacing w:before="0" w:after="283"/>
              <w:jc w:val="left"/>
              <w:rPr/>
            </w:pPr>
            <w:r>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6" w:type="dxa"/>
            <w:tcBorders/>
            <w:shd w:fill="FFFFFF" w:val="clear"/>
            <w:tcMar>
              <w:bottom w:w="0" w:type="dxa"/>
            </w:tcMar>
            <w:vAlign w:val="center"/>
          </w:tcPr>
          <w:p>
            <w:pPr>
              <w:pStyle w:val="TableContents"/>
              <w:bidi w:val="0"/>
              <w:spacing w:before="0" w:after="283"/>
              <w:jc w:val="both"/>
              <w:rPr/>
            </w:pPr>
            <w:hyperlink w:anchor="ea028624201ex3-2.htm">
              <w:r>
                <w:rPr>
                  <w:rStyle w:val="InternetLink"/>
                </w:rPr>
                <w:t>Certificate of Designation, Preferences and Rights relating to the Series AAA Convertible Preferred Stock, dated April 9, 2026</w:t>
              </w:r>
            </w:hyperlink>
          </w:p>
        </w:tc>
      </w:tr>
      <w:tr>
        <w:trPr/>
        <w:tc>
          <w:tcPr>
            <w:tcW w:w="1089"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6" w:type="dxa"/>
            <w:tcBorders/>
            <w:shd w:fill="CCEEFF" w:val="clear"/>
            <w:tcMar>
              <w:bottom w:w="0" w:type="dxa"/>
            </w:tcMar>
            <w:vAlign w:val="center"/>
          </w:tcPr>
          <w:p>
            <w:pPr>
              <w:pStyle w:val="TableContents"/>
              <w:bidi w:val="0"/>
              <w:spacing w:before="0" w:after="283"/>
              <w:jc w:val="both"/>
              <w:rPr/>
            </w:pPr>
            <w:hyperlink w:anchor="ea028624201ex10-1.htm">
              <w:r>
                <w:rPr>
                  <w:rStyle w:val="InternetLink"/>
                </w:rPr>
                <w:t>Subscription Agreement for Class A common stock</w:t>
              </w:r>
            </w:hyperlink>
          </w:p>
        </w:tc>
      </w:tr>
      <w:tr>
        <w:trPr/>
        <w:tc>
          <w:tcPr>
            <w:tcW w:w="1089" w:type="dxa"/>
            <w:tcBorders/>
            <w:shd w:fill="FFFFFF" w:val="clear"/>
            <w:tcMar>
              <w:bottom w:w="0" w:type="dxa"/>
            </w:tcMar>
            <w:vAlign w:val="center"/>
          </w:tcPr>
          <w:p>
            <w:pPr>
              <w:pStyle w:val="TableContents"/>
              <w:bidi w:val="0"/>
              <w:spacing w:before="0" w:after="283"/>
              <w:jc w:val="left"/>
              <w:rPr/>
            </w:pPr>
            <w:r>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6" w:type="dxa"/>
            <w:tcBorders/>
            <w:shd w:fill="FFFFFF" w:val="clear"/>
            <w:tcMar>
              <w:bottom w:w="0" w:type="dxa"/>
            </w:tcMar>
            <w:vAlign w:val="center"/>
          </w:tcPr>
          <w:p>
            <w:pPr>
              <w:pStyle w:val="TableContents"/>
              <w:bidi w:val="0"/>
              <w:spacing w:before="0" w:after="283"/>
              <w:jc w:val="both"/>
              <w:rPr/>
            </w:pPr>
            <w:hyperlink w:anchor="ea028624201ex10-2.htm">
              <w:r>
                <w:rPr>
                  <w:rStyle w:val="InternetLink"/>
                </w:rPr>
                <w:t>Subscription Agreement for Series AAA Convertible Preferred Stock</w:t>
              </w:r>
            </w:hyperlink>
          </w:p>
        </w:tc>
      </w:tr>
      <w:tr>
        <w:trPr/>
        <w:tc>
          <w:tcPr>
            <w:tcW w:w="1089"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6"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000"/>
        <w:gridCol w:w="650"/>
        <w:gridCol w:w="2300"/>
      </w:tblGrid>
      <w:tr>
        <w:trPr/>
        <w:tc>
          <w:tcPr>
            <w:tcW w:w="2000" w:type="dxa"/>
            <w:tcBorders/>
            <w:vAlign w:val="center"/>
          </w:tcPr>
          <w:p>
            <w:pPr>
              <w:pStyle w:val="TableContents"/>
              <w:bidi w:val="0"/>
              <w:spacing w:before="0" w:after="283"/>
              <w:jc w:val="left"/>
              <w:rPr/>
            </w:pPr>
            <w:r>
              <w:rPr/>
              <w:t>Date: April 14, 2026</w:t>
            </w:r>
          </w:p>
        </w:tc>
        <w:tc>
          <w:tcPr>
            <w:tcW w:w="2950" w:type="dxa"/>
            <w:gridSpan w:val="2"/>
            <w:tcBorders/>
            <w:vAlign w:val="center"/>
          </w:tcPr>
          <w:p>
            <w:pPr>
              <w:pStyle w:val="TableContents"/>
              <w:bidi w:val="0"/>
              <w:spacing w:before="0" w:after="283"/>
              <w:jc w:val="left"/>
              <w:rPr>
                <w:b/>
              </w:rPr>
            </w:pPr>
            <w:r>
              <w:rPr>
                <w:b/>
              </w:rPr>
              <w:t>CaliberCos Inc.</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i/>
              </w:rPr>
            </w:pPr>
            <w:r>
              <w:rPr>
                <w:i/>
              </w:rPr>
              <w:t>/s/ John C. Loeffler, II</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John C. Loeffler, II</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right"/>
        <w:rPr>
          <w:b/>
        </w:rPr>
      </w:pPr>
      <w:bookmarkStart w:id="24" w:name="ea028624201ex3-1.htm"/>
      <w:bookmarkStart w:id="25" w:name="ksea028624201ex31"/>
      <w:bookmarkEnd w:id="24"/>
      <w:bookmarkEnd w:id="25"/>
      <w:r>
        <w:rPr>
          <w:b/>
        </w:rPr>
        <w:t>Exhibit 3.1</w:t>
      </w:r>
      <w:r>
        <w:br w:type="page"/>
      </w:r>
    </w:p>
    <w:p>
      <w:pPr>
        <w:pStyle w:val="TextBody"/>
        <w:bidi w:val="0"/>
        <w:spacing w:before="0" w:after="283"/>
        <w:jc w:val="left"/>
        <w:rPr/>
      </w:pPr>
      <w:r>
        <w:rPr/>
        <w:t> </w:t>
      </w:r>
    </w:p>
    <w:tbl>
      <w:tblPr>
        <w:tblW w:w="1071" w:type="dxa"/>
        <w:jc w:val="left"/>
        <w:tblInd w:w="0" w:type="dxa"/>
        <w:tblLayout w:type="fixed"/>
        <w:tblCellMar>
          <w:top w:w="0" w:type="dxa"/>
          <w:left w:w="0" w:type="dxa"/>
          <w:bottom w:w="0" w:type="dxa"/>
          <w:right w:w="0" w:type="dxa"/>
        </w:tblCellMar>
      </w:tblPr>
      <w:tblGrid>
        <w:gridCol w:w="38"/>
        <w:gridCol w:w="99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995" w:type="dxa"/>
            <w:tcBorders>
              <w:bottom w:val="single" w:sz="12" w:space="0" w:color="000000"/>
            </w:tcBorders>
            <w:tcMar>
              <w:bottom w:w="28" w:type="dxa"/>
            </w:tcMar>
            <w:vAlign w:val="center"/>
          </w:tcPr>
          <w:p>
            <w:pPr>
              <w:pStyle w:val="TableContents"/>
              <w:bidi w:val="0"/>
              <w:spacing w:before="0" w:after="283"/>
              <w:jc w:val="center"/>
              <w:rPr>
                <w:b/>
              </w:rPr>
            </w:pPr>
            <w:r>
              <w:rPr>
                <w:b/>
              </w:rPr>
              <w:t>Delaware</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The First State</w:t>
      </w:r>
    </w:p>
    <w:p>
      <w:pPr>
        <w:pStyle w:val="TextBody"/>
        <w:bidi w:val="0"/>
        <w:jc w:val="center"/>
        <w:rPr/>
      </w:pPr>
      <w:r>
        <w:rPr/>
        <w:t> </w:t>
      </w:r>
    </w:p>
    <w:p>
      <w:pPr>
        <w:pStyle w:val="TextBody"/>
        <w:bidi w:val="0"/>
        <w:ind w:left="0" w:right="0" w:firstLine="720"/>
        <w:jc w:val="both"/>
        <w:rPr>
          <w:i/>
        </w:rPr>
      </w:pPr>
      <w:r>
        <w:rPr>
          <w:i/>
        </w:rPr>
        <w:t>I, CHARUNI PATIBANDA-SANCHEZ, SECRETARY OF STATE OF THE STATE OF DELAWARE, DO HEREBY CERTIFY THE ATTACHED IS A TRUE AND CORRECT COPY OF THE CERTIFICATE OF AMENDMENT OF “CALIBERCOS INC.”, FILED IN THIS OFFICE ON THE NINTH DAY OF APRIL, A.D. 2026, AT 8:07 O’CLOCK A.M.</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jc w:val="center"/>
        <w:rPr/>
      </w:pPr>
      <w:r>
        <w:rPr/>
        <w:drawing>
          <wp:inline distT="0" distB="0" distL="0" distR="0">
            <wp:extent cx="6667500" cy="1762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1762125"/>
                    </a:xfrm>
                    <a:prstGeom prst="rect">
                      <a:avLst/>
                    </a:prstGeom>
                  </pic:spPr>
                </pic:pic>
              </a:graphicData>
            </a:graphic>
          </wp:inline>
        </w:drawing>
      </w:r>
      <w:r>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DESIGNATIONS, PREFERENCES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 OF SERIES A CONVERTIBLE PREFERRED STOCK OF CALIBERCOS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CALIBERCOS INC., a corporation organized and existing under the laws of the State of Delaware (the “Corporation”), and acting pursuant to Section 151 of the General Corporation Law of the State of Delaware (the “DGCL”), and Section 4.03 of the Corporation’s Third Amended and Restated Certificate of Incorporation, as amended (the “Certificate of Incorporation”), does hereby certify as follows for the purpose of amending and restating certain provisions of the Corporation’s Certificate of Designations, Preferences and Rights of Series A Convertible Preferred Stock (the “Series A Certificate of Designation”), filed on November 26, 2024 with the Delaware Secretary of State, to adjust certain terms of the Corporation’s Series A Convertible Preferred Stock, par value $0.001 per share (the “Series A Preferred Stock”):</w:t>
      </w:r>
    </w:p>
    <w:p>
      <w:pPr>
        <w:pStyle w:val="TextBody"/>
        <w:bidi w:val="0"/>
        <w:spacing w:before="0" w:after="0"/>
        <w:ind w:left="2184" w:right="0" w:hanging="721"/>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CaliberCos Inc., a Delaware corporation.</w:t>
      </w:r>
    </w:p>
    <w:p>
      <w:pPr>
        <w:pStyle w:val="TextBody"/>
        <w:bidi w:val="0"/>
        <w:spacing w:before="0" w:after="0"/>
        <w:ind w:left="17" w:right="0" w:firstLine="144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1(vi) “Conversion Amount” of the Series A Certificate of Designation is hereby amended to mean, with respect to each Preferred Share, as of the applicable date of determination, thirty-three and one-third percent (33.3%) of the Stated Value.</w:t>
      </w:r>
    </w:p>
    <w:p>
      <w:pPr>
        <w:pStyle w:val="TextBody"/>
        <w:bidi w:val="0"/>
        <w:spacing w:before="0" w:after="0"/>
        <w:ind w:left="17" w:right="0" w:firstLine="1442"/>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Section l(xii) “First Tranche Convertible Shares” of the Series A Certificate of Designation is hereby amended to mean, with respect to any holder of Preferred Shares, a number of Preferred Shares equal to thirty-three and one-third percent (33.3%) of the total Preferred Shares held by the original holder of such Preferred Shares as of the Issuance Date (rounded down to the nearest whole share).</w:t>
      </w:r>
    </w:p>
    <w:p>
      <w:pPr>
        <w:pStyle w:val="TextBody"/>
        <w:bidi w:val="0"/>
        <w:spacing w:before="0" w:after="0"/>
        <w:ind w:left="24" w:right="0" w:firstLine="1441"/>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Section l(xiii), Section l(xiv), Section l(xv), and Section l(xix) are hereby removed.</w:t>
      </w:r>
    </w:p>
    <w:p>
      <w:pPr>
        <w:pStyle w:val="TextBody"/>
        <w:bidi w:val="0"/>
        <w:spacing w:before="0" w:after="0"/>
        <w:ind w:left="18"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Section l(xvi) “Initial Conversion Price” of the Series A Certificate of Designation is hereby amended to mean, on a per share basis, as of any Conversion Date (as defined below) or other date of determination, an amount equal to $2.50, subject to adjustment as provided herein.</w:t>
      </w:r>
    </w:p>
    <w:p>
      <w:pPr>
        <w:pStyle w:val="TextBody"/>
        <w:bidi w:val="0"/>
        <w:spacing w:before="0" w:after="0"/>
        <w:ind w:left="17" w:right="0" w:firstLine="1441"/>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Section l(xxv) “Second Tranche Conversion Price” of the Series A Certificate of Designation is hereby amended to mean the product of the Initial Conversion Price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1.4.</w:t>
      </w:r>
    </w:p>
    <w:p>
      <w:pPr>
        <w:pStyle w:val="TextBody"/>
        <w:bidi w:val="0"/>
        <w:spacing w:before="0" w:after="0"/>
        <w:ind w:left="17" w:right="0" w:firstLine="144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Section l(xxvii) “Second Tranche Convertible Shares” of the Series A Certificate of Designation is hereby amended to mean, with respect to any holder of Preferred Shares, a number of Preferred Shares equal to thirty-three and one-third percent (33.3%) of the total Preferred Shares as of the Issuance Date (rounded down to the nearest whole share).</w:t>
      </w:r>
    </w:p>
    <w:p>
      <w:pPr>
        <w:pStyle w:val="TextBody"/>
        <w:bidi w:val="0"/>
        <w:spacing w:before="0" w:after="0"/>
        <w:ind w:left="17" w:right="0" w:firstLine="144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Section l(xxx) “Third Tranche Conversion Price” of the Series A Certificate of Designation is hereby amended to mean the product of the Initial Conversion Price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1.8.</w:t>
      </w:r>
    </w:p>
    <w:p>
      <w:pPr>
        <w:pStyle w:val="TextBody"/>
        <w:bidi w:val="0"/>
        <w:spacing w:before="0" w:after="0"/>
        <w:ind w:left="22" w:right="0" w:firstLine="144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Section l(xxxii) “Third Tranche Convertible Shares” of the Series A Certificate of Designation is hereby amended to mean, with respect to any holder of Preferred Shares, a number of Preferred Shares equal to thirty-three and one-third percent (33.3%) of the total Preferred Shares held by the original holder of such Preferred Shares as of the Issuance Date (rounded down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1905000" cy="92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92392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Section 3 of the Series A Certificate of Designation is hereby amended and restated as follows:</w:t>
      </w:r>
    </w:p>
    <w:p>
      <w:pPr>
        <w:pStyle w:val="TextBody"/>
        <w:bidi w:val="0"/>
        <w:spacing w:before="0" w:after="0"/>
        <w:ind w:left="1468" w:right="0" w:hanging="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3.</w:t>
            </w:r>
          </w:p>
        </w:tc>
        <w:tc>
          <w:tcPr>
            <w:tcW w:w="9976" w:type="dxa"/>
            <w:tcBorders/>
            <w:vAlign w:val="center"/>
          </w:tcPr>
          <w:p>
            <w:pPr>
              <w:pStyle w:val="TableContents"/>
              <w:bidi w:val="0"/>
              <w:spacing w:before="0" w:after="283"/>
              <w:jc w:val="left"/>
              <w:rPr/>
            </w:pPr>
            <w:r>
              <w:rPr>
                <w:u w:val="single"/>
              </w:rPr>
              <w:t>Conversion of Preferred Shares.</w:t>
            </w:r>
            <w:r>
              <w:rPr/>
              <w:t xml:space="preserve"> The Preferred Shares shall be subject to the conversion rights set forth in this Section 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u w:val="single"/>
              </w:rPr>
              <w:t>Optional Conversion</w:t>
            </w:r>
            <w:r>
              <w:rPr/>
              <w:t>. At any time and from time to time, any holder of Preferred Shares may, at its option, convert (i) all or any portion of the First Tranche Convertible Shares at the First Tranche Conversion Rate, (ii) all or any portion the Second Tranche Convertible Shares at the Second Tranche Conversion Rate and (iii) all or any portion the Third Tranche Convertible Shares at the Third Tranche Conversion Rate.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u w:val="single"/>
              </w:rPr>
              <w:t>Adjustment to the Initial. Second Tranche and Third Tranche Conversion Prices.</w:t>
            </w:r>
            <w:r>
              <w:rPr/>
              <w:t xml:space="preserve"> In order to prevent dilution of the rights granted under this Certificate of Designations, the Initial, Second Tranche and Third Tranche Conversion Prices will be subject to adjustment from time to time as provided in this </w:t>
            </w:r>
            <w:r>
              <w:rPr>
                <w:u w:val="single"/>
              </w:rPr>
              <w:t>Section (3)(c)</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u w:val="single"/>
              </w:rPr>
              <w:t>Stock Dividends and Stock Splits.</w:t>
            </w:r>
            <w:r>
              <w:rPr/>
              <w:t xml:space="preserve"> If the Company, at any time after the Issuance Date: (i) pays a stock dividend or otherwise makes a distribution or distributions on shares of its Class A Common Stock or any other equity or equity equivalent securities payable in shares of Class A Common Stock (which, for avoidance of doubt, shall not include any Conversion Shares issued by the Company upon conversion of Preferred Shares), (ii) subdivides outstanding shares of Class A Common Stock into a larger number of shares, (iii) combines (including by way of reverse stock split) outstanding shares of Class A Common Stock into a smaller number of shares, or (iv) issues by reclassification of shares of the Class A Common Stock any shares of capital stock of the Company, then in each case the Initial Conversion Price shall be multiplied by a fraction of which the numerator shall be the number of shares of Class A Common Stock (excluding treasury shares, if any) outstanding immediately before such event and of which the denominator shall be the number of shares of Class A Common Stock outstanding immediately after such event, and the number of shares issuable upon the conversion of the Preferred Shares shall be proportionately adjusted such that the aggregate Initial Conversion Price of the Preferred Shares shall remain unchanged. Any adjustment made pursuant to this </w:t>
            </w:r>
            <w:r>
              <w:rPr>
                <w:u w:val="single"/>
              </w:rPr>
              <w:t>Section (3)(c)(i)</w:t>
            </w:r>
            <w:r>
              <w:rPr/>
              <w:t xml:space="preserve"> shall become effective immediately after the record date for the determination of stockholders entitled to receive such dividend or distribution and shall become effective immediately after the effective date of the applicable event in the case of a subdivision, combination or re-classification.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ii.</w:t>
            </w:r>
          </w:p>
        </w:tc>
        <w:tc>
          <w:tcPr>
            <w:tcW w:w="9982" w:type="dxa"/>
            <w:tcBorders/>
            <w:vAlign w:val="center"/>
          </w:tcPr>
          <w:p>
            <w:pPr>
              <w:pStyle w:val="TableContents"/>
              <w:bidi w:val="0"/>
              <w:spacing w:before="0" w:after="283"/>
              <w:jc w:val="both"/>
              <w:rPr/>
            </w:pPr>
            <w:r>
              <w:rPr>
                <w:u w:val="single"/>
              </w:rPr>
              <w:t>Subsequent Rights Offerings.</w:t>
            </w:r>
            <w:r>
              <w:rPr/>
              <w:t xml:space="preserve"> In addition to any adjustments pursuant to </w:t>
            </w:r>
            <w:r>
              <w:rPr>
                <w:u w:val="single"/>
              </w:rPr>
              <w:t>Section (3)(c)(i)</w:t>
            </w:r>
            <w:r>
              <w:rPr/>
              <w:t xml:space="preserve"> above, if at any time the Company grants, issues or sells any Options, Convertible Securities or rights to purchase stock, warrants, securities or other property pro rata to the record holders of any class of Class A Common Stock (the “</w:t>
            </w:r>
            <w:r>
              <w:rPr>
                <w:b/>
                <w:sz w:val="20"/>
              </w:rPr>
              <w:t xml:space="preserve">Purchase Rights”), </w:t>
            </w:r>
            <w:r>
              <w:rPr/>
              <w:t>then the holders of Preferred Shares will be entitled to acquire, upon the terms applicable to such Purchase Rights, the aggregate Purchase Rights which each such holder could have acquired if such holder had held the number of shares of Class A Common Stock acquirable upon complete conversion of such holder’s Preferred Shares (without regard to any limitations on exercise thereof) immediately before the date on which a record is taken for the grant, issuance or sale of such Purchase Rights, or, if no such record is taken, the date as of which the record holders of shares of Class A Common Stock are to be determined for the grant, issue or sale of such Purchase Rights.</w:t>
            </w:r>
          </w:p>
        </w:tc>
      </w:tr>
    </w:tbl>
    <w:p>
      <w:pPr>
        <w:pStyle w:val="TextBody"/>
        <w:bidi w:val="0"/>
        <w:spacing w:before="0" w:after="0"/>
        <w:ind w:left="2821"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2821"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Notices.</w:t>
      </w:r>
    </w:p>
    <w:p>
      <w:pPr>
        <w:pStyle w:val="TextBody"/>
        <w:bidi w:val="0"/>
        <w:spacing w:before="0" w:after="0"/>
        <w:ind w:left="3990" w:right="0" w:hanging="35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pPr>
            <w:r>
              <w:rPr/>
              <w:t xml:space="preserve">Whenever the Initial Conversion Price is adjusted pursuant to any provision of this </w:t>
            </w:r>
            <w:r>
              <w:rPr>
                <w:u w:val="single"/>
              </w:rPr>
              <w:t>Section (3)(c)</w:t>
            </w:r>
            <w:r>
              <w:rPr/>
              <w:t>. the Company shall promptly deliver to each holder of Preferred Stock by email a notice setting forth the Initial Conversion Price after such adjustment and setting forth a brief statement of the facts requiring such adjustment.</w:t>
            </w:r>
          </w:p>
        </w:tc>
      </w:tr>
    </w:tbl>
    <w:p>
      <w:pPr>
        <w:pStyle w:val="TextBody"/>
        <w:bidi w:val="0"/>
        <w:spacing w:before="0" w:after="0"/>
        <w:ind w:left="3990" w:right="0" w:hanging="35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2.</w:t>
            </w:r>
          </w:p>
        </w:tc>
        <w:tc>
          <w:tcPr>
            <w:tcW w:w="10025" w:type="dxa"/>
            <w:tcBorders/>
            <w:vAlign w:val="center"/>
          </w:tcPr>
          <w:p>
            <w:pPr>
              <w:pStyle w:val="TableContents"/>
              <w:bidi w:val="0"/>
              <w:spacing w:before="0" w:after="283"/>
              <w:jc w:val="both"/>
              <w:rPr/>
            </w:pPr>
            <w:r>
              <w:rPr/>
              <w:t xml:space="preserve">If (A) the Company shall declare a dividend (or any other distribution in whatever form) on the Class A Common Stock, (B) the Company shall declare a special nonrecurring cash dividend on or a redemption of the Class A Common Stock, (C) the Company shall authorize the granting to all holders of the Class A Common Stock of rights or warrants to subscribe for or purchase any shares of capital stock of any class or of any rights, </w:t>
            </w:r>
            <w:r>
              <w:rPr>
                <w:sz w:val="20"/>
              </w:rPr>
              <w:t>(D)</w:t>
            </w:r>
            <w:r>
              <w:rPr/>
              <w:t xml:space="preserve"> the approval of any stockholders of the Company shall be required in connection with any reclassification of the Class A Common Stock, any consolidation or merger to which the Company is a party, any sale or transfer of all or substantially all of the assets of the Company, or any compulsory share exchange whereby the Class A Common Stock is converted into other securities, cash or property or </w:t>
            </w:r>
            <w:r>
              <w:rPr>
                <w:sz w:val="20"/>
              </w:rPr>
              <w:t xml:space="preserve">(E) </w:t>
            </w:r>
            <w:r>
              <w:rPr/>
              <w:t>the Company shall authorize the voluntary or involuntary dissolution, liquidation or winding up of the affairs of the Company, then, in each case, the Company shall cause to be filed at each office or agency maintained for the purpose of conversion of the Preferred Shares, and shall cause to be delivered by email to each Holder at its last email address as it shall appear upon the stock books of the Company, at least ten (10) Trading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Class A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Class A Common Stock of record shall be entitled to exchange their shares of the Class A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convert the Conversion Amount of the Preferred Shares (or any part hereof) during the 10-Trading Day period commencing on the date of such notice through the effective date of the event triggering such notice except as may otherwise be expressly set forth herein.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283"/>
        <w:jc w:val="left"/>
        <w:rPr/>
      </w:pPr>
      <w:r>
        <w:rPr/>
        <w:t> </w:t>
      </w:r>
    </w:p>
    <w:tbl>
      <w:tblPr>
        <w:tblW w:w="2748" w:type="dxa"/>
        <w:jc w:val="left"/>
        <w:tblInd w:w="0" w:type="dxa"/>
        <w:tblLayout w:type="fixed"/>
        <w:tblCellMar>
          <w:top w:w="0" w:type="dxa"/>
          <w:left w:w="0" w:type="dxa"/>
          <w:bottom w:w="0" w:type="dxa"/>
          <w:right w:w="0" w:type="dxa"/>
        </w:tblCellMar>
      </w:tblPr>
      <w:tblGrid>
        <w:gridCol w:w="38"/>
        <w:gridCol w:w="185"/>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2525" w:type="dxa"/>
            <w:tcBorders/>
            <w:vAlign w:val="center"/>
          </w:tcPr>
          <w:p>
            <w:pPr>
              <w:pStyle w:val="TableContents"/>
              <w:bidi w:val="0"/>
              <w:spacing w:before="0" w:after="283"/>
              <w:jc w:val="left"/>
              <w:rPr>
                <w:u w:val="single"/>
              </w:rPr>
            </w:pPr>
            <w:r>
              <w:rPr>
                <w:u w:val="single"/>
              </w:rPr>
              <w:t>Mechanics of Conversion.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u w:val="single"/>
              </w:rPr>
              <w:t>Delivery of Conversion Shares Upon Conversion.</w:t>
            </w:r>
            <w:r>
              <w:rPr/>
              <w:t xml:space="preserve"> The date on which a conversion shall be deemed effective (the “</w:t>
            </w:r>
            <w:r>
              <w:rPr>
                <w:b/>
              </w:rPr>
              <w:t xml:space="preserve">Conversion Date”) </w:t>
            </w:r>
            <w:r>
              <w:rPr/>
              <w:t>shall be the Trading Day that the Conversion Notice, completed and executed, is sent via email to, and received during regular business hours prior to 5:00 pm Eastern Time by, the Company, provided, that the original certificate(s) (if any) representing the Preferred Shares being converted, duly endorsed, and the accompanying Notice of Conversion, are received by the Company by the Share Delivery Date (as defined below). Not later than two (2) Trading Days after each Conversion Date (the “</w:t>
            </w:r>
            <w:r>
              <w:rPr>
                <w:b/>
              </w:rPr>
              <w:t>Share Delivery Date”),</w:t>
            </w:r>
            <w:r>
              <w:rPr/>
              <w:t xml:space="preserve"> the Company shall deliver, or cause to be delivered, to the converting holder (A) the number of Conversion Shares being acquired upon the conversion of the Preferred Shares, and (B) a bank check in the amount of declared and unpaid dividends, if any. The Company shall deliver the Conversion Shares electronically through The Depository Trust Company through its Deposit or Withdrawal at Custodian system </w:t>
            </w:r>
            <w:r>
              <w:rPr>
                <w:b/>
              </w:rPr>
              <w:t>(“DWAC”)</w:t>
            </w:r>
            <w:r>
              <w:rPr/>
              <w:t xml:space="preserve"> if the Company is then a participant in such system and either (A) there is an effective registration statement permitting the issuance of the Conversion Shares to or resale of the Conversion Shares by the Holder or (B) the Conversion Shares are eligible for resale by the holder without volume or manner-of-sale limitations pursuant to Rule 144, and otherwise by either delivery of a book-entry statement or physical delivery of a certificate, registered in the Company’s share register in the name of the holder or its designee.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ii.</w:t>
            </w:r>
          </w:p>
        </w:tc>
        <w:tc>
          <w:tcPr>
            <w:tcW w:w="9982" w:type="dxa"/>
            <w:tcBorders/>
            <w:vAlign w:val="center"/>
          </w:tcPr>
          <w:p>
            <w:pPr>
              <w:pStyle w:val="TableContents"/>
              <w:bidi w:val="0"/>
              <w:spacing w:before="0" w:after="283"/>
              <w:jc w:val="both"/>
              <w:rPr/>
            </w:pPr>
            <w:r>
              <w:rPr>
                <w:sz w:val="20"/>
                <w:u w:val="single"/>
              </w:rPr>
              <w:t>Obligation Absolute</w:t>
            </w:r>
            <w:r>
              <w:rPr>
                <w:sz w:val="20"/>
              </w:rPr>
              <w:t>.</w:t>
            </w:r>
            <w:r>
              <w:rPr/>
              <w:t xml:space="preserve"> The Company’s obligation to issue and deliver the Conversion Shares upon conversion of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w:t>
            </w:r>
            <w:r>
              <w:rPr>
                <w:u w:val="single"/>
              </w:rPr>
              <w:t>provided, however,</w:t>
            </w:r>
            <w:r>
              <w:rPr/>
              <w:t xml:space="preserve"> that such delivery shall not operate as a waiver by the Company of any such action that the Company may have against such holder.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3270" w:right="0" w:hanging="4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iii.</w:t>
            </w:r>
          </w:p>
        </w:tc>
        <w:tc>
          <w:tcPr>
            <w:tcW w:w="9922" w:type="dxa"/>
            <w:tcBorders/>
            <w:vAlign w:val="center"/>
          </w:tcPr>
          <w:p>
            <w:pPr>
              <w:pStyle w:val="TableContents"/>
              <w:bidi w:val="0"/>
              <w:spacing w:before="0" w:after="283"/>
              <w:jc w:val="both"/>
              <w:rPr/>
            </w:pPr>
            <w:r>
              <w:rPr>
                <w:u w:val="single"/>
              </w:rPr>
              <w:t>Reservation of Shares Issuable Upon Conversion.</w:t>
            </w:r>
            <w:r>
              <w:rPr/>
              <w:t xml:space="preserve"> The Company covenants that it will at all times reserve and keep available out of its authorized and unissued shares of Common Stock for the sole purpose of issuance upon conversion of the Preferred Shares as herein provided, not less than such aggregate number of shares of the Common Stock as shall (subject to the terms and conditions set forth in the Subscription Agreement) be issuable (taking into account the adjustments and restrictions as provided for herein) upon the conversion of the then outstanding Preferred Shares. The Company covenants that all shares of Common Stock that shall be so issuable shall, upon issue, be duly authorized, validly issued, fully paid and nonassessable.</w:t>
            </w:r>
          </w:p>
        </w:tc>
      </w:tr>
    </w:tbl>
    <w:p>
      <w:pPr>
        <w:pStyle w:val="TextBody"/>
        <w:bidi w:val="0"/>
        <w:spacing w:before="0" w:after="0"/>
        <w:ind w:left="3269" w:right="0" w:hanging="4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both"/>
              <w:rPr/>
            </w:pPr>
            <w:r>
              <w:rPr>
                <w:u w:val="single"/>
              </w:rPr>
              <w:t>Fractional Shares.</w:t>
            </w:r>
            <w:r>
              <w:rPr/>
              <w:t xml:space="preserve"> No fractional shares or scrip representing fractional shares shall be issued upon the conversion of the Preferred Shares. As to any fraction of a share which the Holder would otherwise be entitled to purchase upon such conversion, the Company shall at its election, either pay a cash adjustment in respect of such final fraction in an amount equal to such fraction multiplied by the Initial Conversion Price or round up to the next whole share.</w:t>
            </w:r>
          </w:p>
        </w:tc>
      </w:tr>
    </w:tbl>
    <w:p>
      <w:pPr>
        <w:pStyle w:val="TextBody"/>
        <w:bidi w:val="0"/>
        <w:spacing w:before="0" w:after="0"/>
        <w:ind w:left="3268" w:right="0" w:hanging="35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7" w:type="dxa"/>
            <w:tcBorders/>
            <w:vAlign w:val="center"/>
          </w:tcPr>
          <w:p>
            <w:pPr>
              <w:pStyle w:val="TableContents"/>
              <w:bidi w:val="0"/>
              <w:spacing w:before="0" w:after="283"/>
              <w:jc w:val="both"/>
              <w:rPr/>
            </w:pPr>
            <w:r>
              <w:rPr>
                <w:u w:val="single"/>
              </w:rPr>
              <w:t>Transfer Taxes and Expenses.</w:t>
            </w:r>
            <w:r>
              <w:rPr/>
              <w:t xml:space="preserve"> The issuance of Conversion Shares on conversion of the Preferred Shares shall be made without charge to any holder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holders of such Preferred Shares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same-day processing of any Conversion Notice and all fees to the Depository Trust Company (or another established clearing corporation performing similar functions) required for same-day electronic delivery of the Conversion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u w:val="single"/>
              </w:rPr>
              <w:t>Limitation on Beneficial Ownership.</w:t>
            </w:r>
            <w:r>
              <w:rPr/>
              <w:t xml:space="preserve"> The Company shall not effect the conversion of any of the Preferred Shares held by a Holder, and such Holder shall not have the right to convert any of the Preferred Shares held by such Holder pursuant to the terms and conditions of this Certificate of Designations and any such conversion shall be null and void and treated as if never made, to the extent that after giving effect to such conversion, such Holder together with the other Attribution Parties collectively would beneficially own in excess of 4.99% (the “</w:t>
            </w:r>
            <w:r>
              <w:rPr>
                <w:b/>
                <w:sz w:val="20"/>
              </w:rPr>
              <w:t xml:space="preserve">Maximum Percentage”) </w:t>
            </w:r>
            <w:r>
              <w:rPr/>
              <w:t>of the shares of Common Stock outstanding immediately after giving effect to such conversion. For purposes of the foregoing sentence, the aggregate number of shares of Common Stock beneficially owned by such Holder and the other Attribution Parties shall include the number of shares of Common Stock held by such Holder and all other Attribution Parties plus the number of shares of Common Stock issuable upon conversion of the Preferred Shares with respect to which the determination of such sentence is being made, but shall exclude shares of Common Stock which would be issuable upon (A) conversion of the remaining, nonconverted Preferred Shares beneficially owned by such Holder or any of the other Attribution Parties and (B) exercise or conversion of the unexercised or nonconverted portion of any other securities of the Company (including, without limitation, any convertible notes, convertible preferred stock or warrants, including the Preferred Shares and the Warrants) beneficially owned by such Holder or any other Attribution Party subject to a limitation on conversion or exercise analogous to the limitation contained in this Section 3(e). For purposes of this Section 3(e), beneficial ownership shall be calculated in accordance with Section 13(d) of the 1934 Act. For purposes of determining the number of outstanding shares of Common Stock a Holder may acquire upon the conversion of such Preferred Shares without exceeding the Maximum Percentage, such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b/>
                <w:sz w:val="20"/>
              </w:rPr>
              <w:t>Reported Outstanding Share Number”).</w:t>
            </w:r>
            <w:r>
              <w:rPr>
                <w:sz w:val="20"/>
              </w:rPr>
              <w:t xml:space="preserve"> If</w:t>
            </w:r>
            <w:r>
              <w:rPr/>
              <w:t xml:space="preserve"> the Company receives a Conversion Notice from a Holder at a time when the actual number of outstanding shares of Common Stock is less than the Reported Outstanding Share Number, the Company shall notify such Holder in writing of the number of shares of Common Stock then outstanding and, to the extent that such Conversion Notice would otherwise cause such Holder’s beneficial ownership, as determined pursuant to this Section 3(e), to exceed the Maximum Percentage, such Holder must notify the Company of a reduced number of shares of Common Stock to be purchased pursuant to such Conversion Notice. For any reason at any time, upon the written or oral request of any Holder, the Company shall within one (1) Business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Company, including such Preferred Shares, by such Holder and any other Attribution Party since the date as of which the Reported Outstanding Share Number was reported. In the event that the issuance of shares of Common Stock to a Holder upon conversion of such Preferred Shares results in such Holder and the other Attribution Parties being deemed to beneficially own, in the aggregate, more than the Maximum Percentage of the number of outstanding shares of Common Stock (as determined under Section 13(d) of the 1934 Act), the number of shares so issued by which such Holder’s and the other Attribution Parties’ aggregate beneficial ownership exceeds the Maximum Percentage (the “</w:t>
            </w:r>
            <w:r>
              <w:rPr>
                <w:b/>
              </w:rPr>
              <w:t xml:space="preserve">Excess Shares”) </w:t>
            </w:r>
            <w:r>
              <w:rPr/>
              <w:t>shall be deemed null and void and shall be cancelled ab initio, and such Holder shall not have the power to vote or to transfer the Excess Shares. Upon delivery of a written notice to the Company, any Holder may from time to time increase (with such increase not effective until the sixty-first (61st) day after delivery of such notice) or decrease the Maximum Percentage of such Holder to any other percentage not in excess of 9.99% as specified in such notice; provided that (i) any such increase in the Maximum Percentage will not be effective until the sixty-first (61’’) day after such notice is delivered to the Company and (ii) any such increase or decrease will apply only to such Holder and the other Attribution Parties and not to any other Holder that is not an Attribution Party of such Holder. For purposes of clarity, the shares of Common Stock issuable to a Holder pursuant to the terms of this Certificate of Designations in excess of the Maximum Percentage shall not be deemed to be beneficially owned by such Holder for any purpose including for purposes of Section 13(d) or Rule 16a-l(a)(l) of the 1934 Act. No prior inability to convert such Preferred Shares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3(e) to the extent necessary to correct this paragraph (or any portion of this paragraph) which may be defective or inconsistent with the intended beneficial ownership limitation contained in this Section 3(e) or to make changes or supplements necessary or desirable to properly give effect to such limitation. The limitation contained in this paragraph may not be waived and shall apply to a successor holder of such Preferred Shares.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25" w:right="0" w:firstLine="1445"/>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Section 7 of the Series A Certificate of Designation is hereby amended and restated as follows:</w:t>
      </w:r>
    </w:p>
    <w:p>
      <w:pPr>
        <w:pStyle w:val="TextBody"/>
        <w:bidi w:val="0"/>
        <w:spacing w:before="0" w:after="0"/>
        <w:ind w:left="25" w:right="0" w:firstLine="1445"/>
        <w:jc w:val="left"/>
        <w:rPr>
          <w:caps w:val="false"/>
          <w:smallCaps w:val="false"/>
        </w:rPr>
      </w:pPr>
      <w:r>
        <w:rPr>
          <w:caps w:val="false"/>
          <w:smallCaps w:val="false"/>
        </w:rPr>
        <w:t> </w:t>
      </w:r>
    </w:p>
    <w:p>
      <w:pPr>
        <w:pStyle w:val="TextBody"/>
        <w:bidi w:val="0"/>
        <w:spacing w:before="0" w:after="0"/>
        <w:ind w:left="1800" w:right="1800" w:hanging="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Preferred Rank; Participation.</w:t>
      </w:r>
      <w:r>
        <w:rPr>
          <w:rFonts w:ascii="Times New Roman;Times;Serif" w:hAnsi="Times New Roman;Times;Serif"/>
          <w:b w:val="false"/>
          <w:i w:val="false"/>
          <w:caps w:val="false"/>
          <w:smallCaps w:val="false"/>
          <w:sz w:val="20"/>
        </w:rPr>
        <w:t xml:space="preserve"> All Preferred Shares rank senior to the Series B Convertible Preferred Stock and Common Stock in respect to the preferences provided for herein as to distributions and payments upon the liquidation, dissolution and winding up of the Company. The rights of the shares of the Series B Convertible Preferred Stock Common Stock shall be subject to the preferences and relative rights of the Preferred Shares as provided for herein. So long as any of the Preferred Shares remain outstanding, without the prior consent of the holders of a majority of the Preferred Shares, except for the Series AA Convertible Preferred Stock and Series AAA Convertible Preferred Stock of the Company, which shall rank pari passu with the Preferred Shares, the Company shall not authorize or issue additional or other capital stock that is of rank senior to or pari passu with the Preferred Shares in respect of the preferences as to dividends or distributions or payments upon the liquidation, dissolution or winding up of the Company.”</w:t>
      </w:r>
    </w:p>
    <w:p>
      <w:pPr>
        <w:pStyle w:val="TextBody"/>
        <w:bidi w:val="0"/>
        <w:spacing w:before="0" w:after="0"/>
        <w:ind w:left="24" w:right="0" w:firstLine="144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This Certificate of Amendment was duly adopted by the board of directors of the Corporation by unanimous written consent and by the written consent of the holders of the outstanding shares of the Corporation’s Series A Preferred Stock (the class of shares entitled to vote thereon) in accordance with the provisions of Sections 242 and 228 of the DGCL.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23" w:right="0" w:firstLine="1447"/>
        <w:jc w:val="both"/>
        <w:rPr>
          <w:caps w:val="false"/>
          <w:smallCaps w:val="false"/>
        </w:rPr>
      </w:pPr>
      <w:r>
        <w:rPr>
          <w:caps w:val="false"/>
          <w:smallCaps w:val="false"/>
        </w:rPr>
        <w:t> </w:t>
      </w:r>
    </w:p>
    <w:p>
      <w:pPr>
        <w:pStyle w:val="TextBody"/>
        <w:bidi w:val="0"/>
        <w:spacing w:before="0" w:after="0"/>
        <w:ind w:left="2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CaliberCos Inc. has caused this Certificate of Amendment to the Series A Certificate of Designation to be executed by the undersigned as of this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2026.</w:t>
      </w:r>
    </w:p>
    <w:p>
      <w:pPr>
        <w:pStyle w:val="TextBody"/>
        <w:bidi w:val="0"/>
        <w:spacing w:before="0" w:after="0"/>
        <w:ind w:left="1048" w:right="0" w:hanging="0"/>
        <w:jc w:val="center"/>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sz w:val="4"/>
                <w:szCs w:val="4"/>
              </w:rPr>
            </w:pPr>
            <w:r>
              <w:rPr>
                <w:sz w:val="4"/>
                <w:szCs w:val="4"/>
              </w:rPr>
            </w:r>
          </w:p>
        </w:tc>
        <w:tc>
          <w:tcPr>
            <w:tcW w:w="2950" w:type="dxa"/>
            <w:gridSpan w:val="2"/>
            <w:tcBorders/>
            <w:vAlign w:val="center"/>
          </w:tcPr>
          <w:p>
            <w:pPr>
              <w:pStyle w:val="TableContents"/>
              <w:bidi w:val="0"/>
              <w:spacing w:before="0" w:after="283"/>
              <w:jc w:val="left"/>
              <w:rPr/>
            </w:pPr>
            <w:r>
              <w:rPr/>
              <w:t>CALIBERCOS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both"/>
              <w:rPr/>
            </w:pPr>
            <w:r>
              <w:rPr/>
              <w:t>/s/ John C. Loeffier, II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both"/>
              <w:rPr/>
            </w:pPr>
            <w:r>
              <w:rPr/>
              <w:t xml:space="preserve">John C. Loeffier, II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xml:space="preserve">Title: </w:t>
            </w:r>
          </w:p>
        </w:tc>
        <w:tc>
          <w:tcPr>
            <w:tcW w:w="2300" w:type="dxa"/>
            <w:tcBorders/>
            <w:vAlign w:val="center"/>
          </w:tcPr>
          <w:p>
            <w:pPr>
              <w:pStyle w:val="TableContents"/>
              <w:bidi w:val="0"/>
              <w:spacing w:before="0" w:after="283"/>
              <w:jc w:val="both"/>
              <w:rPr/>
            </w:pPr>
            <w:r>
              <w:rPr/>
              <w:t>Chief Executive Officer</w:t>
            </w:r>
          </w:p>
        </w:tc>
      </w:tr>
    </w:tbl>
    <w:p>
      <w:pPr>
        <w:pStyle w:val="TextBody"/>
        <w:bidi w:val="0"/>
        <w:spacing w:before="0" w:after="0"/>
        <w:ind w:left="104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4352" w:right="0" w:hanging="1"/>
        <w:jc w:val="left"/>
        <w:rPr>
          <w:caps w:val="false"/>
          <w:smallCaps w:val="false"/>
        </w:rPr>
      </w:pPr>
      <w:r>
        <w:rPr>
          <w:caps w:val="false"/>
          <w:smallCaps w:val="false"/>
        </w:rPr>
        <w:t> </w:t>
      </w:r>
    </w:p>
    <w:p>
      <w:pPr>
        <w:pStyle w:val="TextBody"/>
        <w:bidi w:val="0"/>
        <w:jc w:val="right"/>
        <w:rPr>
          <w:b/>
        </w:rPr>
      </w:pPr>
      <w:bookmarkStart w:id="26" w:name="ea028624201ex3-2.htm"/>
      <w:bookmarkStart w:id="27" w:name="ksea028624201ex32"/>
      <w:bookmarkEnd w:id="26"/>
      <w:bookmarkEnd w:id="27"/>
      <w:r>
        <w:rPr>
          <w:b/>
        </w:rPr>
        <w:t>Exhibit 3.2</w:t>
      </w:r>
      <w:r>
        <w:br w:type="page"/>
      </w:r>
    </w:p>
    <w:p>
      <w:pPr>
        <w:pStyle w:val="TextBody"/>
        <w:bidi w:val="0"/>
        <w:spacing w:before="0" w:after="283"/>
        <w:jc w:val="left"/>
        <w:rPr/>
      </w:pPr>
      <w:r>
        <w:rPr/>
        <w:t> </w:t>
      </w:r>
    </w:p>
    <w:tbl>
      <w:tblPr>
        <w:tblW w:w="906" w:type="dxa"/>
        <w:jc w:val="left"/>
        <w:tblInd w:w="0" w:type="dxa"/>
        <w:tblLayout w:type="fixed"/>
        <w:tblCellMar>
          <w:top w:w="0" w:type="dxa"/>
          <w:left w:w="0" w:type="dxa"/>
          <w:bottom w:w="0" w:type="dxa"/>
          <w:right w:w="0" w:type="dxa"/>
        </w:tblCellMar>
      </w:tblPr>
      <w:tblGrid>
        <w:gridCol w:w="38"/>
        <w:gridCol w:w="83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State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CHARUNI PATIBANDA-SANCHEZ, SECRETARY OF STATE OF THE STATE OF DELAWARE, DO HEREBY CERTIFY THE ATTACHED IS A TRUE AND CORRECT COPY OF THE CERTIFICATE OF DESIGNATION OF “CALIBERCOS INC.”, FILED IN THIS OFFICE ON THE NINTH DAY OF APRIL, A.D. 2026, AT 8:08 O’CLOCK A.M.</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667500" cy="1790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00" cy="17907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2190750" cy="1066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90750" cy="1066800"/>
                    </a:xfrm>
                    <a:prstGeom prst="rect">
                      <a:avLst/>
                    </a:prstGeom>
                  </pic:spPr>
                </pic:pic>
              </a:graphicData>
            </a:graphic>
          </wp:inline>
        </w:drawing>
      </w: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DESIGNATIONS, PREFERENCES</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 OF SERIES AAA CONVERTIBLE PREFERRED STOCK OF</w:t>
        <w:br/>
        <w:t>CALIBERCOS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CALIBERCOS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corporation organized and existing under the General Corporation Law of the State of Delaware, does hereby certify that, pursuant to authority conferred upon the Board of Directors of the Company by the Third Amended and Restated Certificate of Incorporation of the Company, and pursuant to Section 151 of the General Corporation Law of the State of Delaware, the Board of Directors of the Company duly adopted resolutions (i) authorizing a series of the Company’s previously authorized preferred stock, and (ii) providing for the designations, preferences and relative, participating, optional or other rights, and the qualifications, limitations or restrictions thereof, of forty thousand (40,000) shares of “</w:t>
      </w:r>
      <w:r>
        <w:rPr>
          <w:rFonts w:ascii="Times New Roman;Times;Serif" w:hAnsi="Times New Roman;Times;Serif"/>
          <w:b/>
          <w:i w:val="false"/>
          <w:caps w:val="false"/>
          <w:smallCaps w:val="false"/>
          <w:sz w:val="20"/>
        </w:rPr>
        <w:t>Series AAA Convertible Preferred Stock</w:t>
      </w:r>
      <w:r>
        <w:rPr>
          <w:rFonts w:ascii="Times New Roman;Times;Serif" w:hAnsi="Times New Roman;Times;Serif"/>
          <w:b w:val="false"/>
          <w:i w:val="false"/>
          <w:caps w:val="false"/>
          <w:smallCaps w:val="false"/>
          <w:sz w:val="20"/>
        </w:rPr>
        <w:t>” of the Company,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pursuant to the authority vested in the Board this Company, in accordance with the provisions of the Third Amended and Restated Certificate of Incorporation, a series of preferred stock, par value $0.001 per share, of the Company be and hereby is created, and that the designation and number of shares thereof and the voting and other powers, preferences and relative, participating, optional or other rights of the shares of such Series AAA and the qualifications, limitations and restrictions thereof are as follows: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Certificate of Designations, the following terms shall have the following meanings: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Initial Issuance Date, directly or indirectly managed or advised by a Holder’s investment manager or any of its Affiliates or principals, (ii) any direct or indirect Affiliates of such Holder or any of the foregoing, (iii) any Person acting or who could be deemed to be acting as a Group together with such Holder or any of the foregoing and (iv) any other Persons whose beneficial ownership of the Company’s Common Stock would or could be aggregated with such Holder’s and the other Attribution Parties for purposes of Section 13(d) of the 1934 Act. For clarity, the purpose of the foregoing is to subject collectively such Holder and all other Attribution Parties to the Maximum Percentage.</w:t>
      </w:r>
    </w:p>
    <w:p>
      <w:pPr>
        <w:pStyle w:val="TextBody"/>
        <w:bidi w:val="0"/>
        <w:spacing w:before="0" w:after="0"/>
        <w:ind w:left="189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shall mean the Company’s Class A common stock, par value $0.001.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shall mean the Company’s Class B common stock, par value $0.001.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Class A Common Stock and the Class B Common Stock.</w:t>
      </w:r>
    </w:p>
    <w:p>
      <w:pPr>
        <w:pStyle w:val="TextBody"/>
        <w:bidi w:val="0"/>
        <w:spacing w:before="0" w:after="0"/>
        <w:ind w:left="189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with respect to each Preferred Share, as of the applicable date of determination, thirty-three and one-third percent (33.3%) of the Stated Value.</w:t>
      </w:r>
    </w:p>
    <w:p>
      <w:pPr>
        <w:pStyle w:val="TextBody"/>
        <w:bidi w:val="0"/>
        <w:spacing w:before="0" w:after="0"/>
        <w:ind w:left="189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means the form of Conversion Notice attached hereto as Exhibit 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means shares of Class A Common Stock issuable upon conversion of Preferred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i w:val="false"/>
          <w:caps w:val="false"/>
          <w:smallCaps w:val="false"/>
          <w:sz w:val="20"/>
        </w:rPr>
        <w:t>Convertible Security</w:t>
      </w:r>
      <w:r>
        <w:rPr>
          <w:rFonts w:ascii="Times New Roman;Times;Serif" w:hAnsi="Times New Roman;Times;Serif"/>
          <w:b w:val="false"/>
          <w:i w:val="false"/>
          <w:caps w:val="false"/>
          <w:smallCaps w:val="false"/>
          <w:sz w:val="20"/>
        </w:rPr>
        <w:t>” means any stock or securities (other than Options) directly or indirectly convertible into or exchangeable or exercisable for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First Tranche Conversion Price</w:t>
      </w:r>
      <w:r>
        <w:rPr>
          <w:rFonts w:ascii="Times New Roman;Times;Serif" w:hAnsi="Times New Roman;Times;Serif"/>
          <w:b w:val="false"/>
          <w:i w:val="false"/>
          <w:caps w:val="false"/>
          <w:smallCaps w:val="false"/>
          <w:sz w:val="20"/>
        </w:rPr>
        <w:t>” means the Initial Conversion Price.</w:t>
      </w:r>
    </w:p>
    <w:p>
      <w:pPr>
        <w:pStyle w:val="TextBody"/>
        <w:bidi w:val="0"/>
        <w:spacing w:before="0" w:after="0"/>
        <w:ind w:left="189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i w:val="false"/>
          <w:caps w:val="false"/>
          <w:smallCaps w:val="false"/>
          <w:sz w:val="20"/>
        </w:rPr>
        <w:t>First Tranche Conversion Rate</w:t>
      </w:r>
      <w:r>
        <w:rPr>
          <w:rFonts w:ascii="Times New Roman;Times;Serif" w:hAnsi="Times New Roman;Times;Serif"/>
          <w:b w:val="false"/>
          <w:i w:val="false"/>
          <w:caps w:val="false"/>
          <w:smallCaps w:val="false"/>
          <w:sz w:val="20"/>
        </w:rPr>
        <w:t>” means a number of shares of Class A Common Stock determined by dividing (x) the Stated Value of such First Tranche Convertible Share by (y) the First Tranche Conversion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i w:val="false"/>
          <w:caps w:val="false"/>
          <w:smallCaps w:val="false"/>
          <w:sz w:val="20"/>
        </w:rPr>
        <w:t>First Tranche Convertible Shares</w:t>
      </w:r>
      <w:r>
        <w:rPr>
          <w:rFonts w:ascii="Times New Roman;Times;Serif" w:hAnsi="Times New Roman;Times;Serif"/>
          <w:b w:val="false"/>
          <w:i w:val="false"/>
          <w:caps w:val="false"/>
          <w:smallCaps w:val="false"/>
          <w:sz w:val="20"/>
        </w:rPr>
        <w:t>” means, with respect to any holder of Preferred Shares, a number of Preferred Shares equal to thirty-three and one-third percent (33.3%) of the total Preferred Shares held by the original holder of such Preferred Shares as of the Issuance Date (rounded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i w:val="false"/>
          <w:caps w:val="false"/>
          <w:smallCaps w:val="false"/>
          <w:sz w:val="20"/>
        </w:rPr>
        <w:t>Initial Conversion Price</w:t>
      </w:r>
      <w:r>
        <w:rPr>
          <w:rFonts w:ascii="Times New Roman;Times;Serif" w:hAnsi="Times New Roman;Times;Serif"/>
          <w:b w:val="false"/>
          <w:i w:val="false"/>
          <w:caps w:val="false"/>
          <w:smallCaps w:val="false"/>
          <w:sz w:val="20"/>
        </w:rPr>
        <w:t>” means, on a per share basis, as of any Conversion Date (as defined below) or other date of determination, an amount equal to $2.50, subject to adjustment as provided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means, with respect to each Preferred Share, the date of issuance of such Preferred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i w:val="false"/>
          <w:caps w:val="false"/>
          <w:smallCaps w:val="false"/>
          <w:sz w:val="20"/>
        </w:rPr>
        <w:t>Liquidation Preference</w:t>
      </w:r>
      <w:r>
        <w:rPr>
          <w:rFonts w:ascii="Times New Roman;Times;Serif" w:hAnsi="Times New Roman;Times;Serif"/>
          <w:b w:val="false"/>
          <w:i w:val="false"/>
          <w:caps w:val="false"/>
          <w:smallCaps w:val="false"/>
          <w:sz w:val="20"/>
        </w:rPr>
        <w:t xml:space="preserve">” means, with respect to each outstanding Preferred Share, the sum of: (i) the amount of all accrued but unpaid dividends on such Preferred Share;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Stated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Class A Common Stock or Convertible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i w:val="false"/>
          <w:caps w:val="false"/>
          <w:smallCaps w:val="false"/>
          <w:sz w:val="20"/>
        </w:rPr>
        <w:t>Pari Passu Shares</w:t>
      </w:r>
      <w:r>
        <w:rPr>
          <w:rFonts w:ascii="Times New Roman;Times;Serif" w:hAnsi="Times New Roman;Times;Serif"/>
          <w:b w:val="false"/>
          <w:i w:val="false"/>
          <w:caps w:val="false"/>
          <w:smallCaps w:val="false"/>
          <w:sz w:val="20"/>
        </w:rPr>
        <w:t>” means the shares of other classes or series of preferred stock of the Company, if any, that are of equal rank with the Preferred Shares as to payments of funds in the event of a liquidation of the Company.</w:t>
      </w:r>
    </w:p>
    <w:p>
      <w:pPr>
        <w:pStyle w:val="TextBody"/>
        <w:bidi w:val="0"/>
        <w:spacing w:before="0" w:after="0"/>
        <w:ind w:left="0" w:right="0" w:firstLine="189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or a government or any department or agency thereof or any other legal entity.</w:t>
      </w:r>
    </w:p>
    <w:p>
      <w:pPr>
        <w:pStyle w:val="TextBody"/>
        <w:bidi w:val="0"/>
        <w:spacing w:before="0" w:after="0"/>
        <w:ind w:left="189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means shares of Series AAA Convertible Preferred Stock, par value $0.001 per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as of any time of determination, the principal trading market, if any, in which the shares of Class A Common Stock then trade.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i w:val="false"/>
          <w:caps w:val="false"/>
          <w:smallCaps w:val="false"/>
          <w:sz w:val="20"/>
        </w:rPr>
        <w:t>Second Tranche Conversion Price</w:t>
      </w:r>
      <w:r>
        <w:rPr>
          <w:rFonts w:ascii="Times New Roman;Times;Serif" w:hAnsi="Times New Roman;Times;Serif"/>
          <w:b w:val="false"/>
          <w:i w:val="false"/>
          <w:caps w:val="false"/>
          <w:smallCaps w:val="false"/>
          <w:sz w:val="20"/>
        </w:rPr>
        <w:t xml:space="preserve">” means the product of the Initial Conversion Price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1.4.</w:t>
      </w:r>
    </w:p>
    <w:p>
      <w:pPr>
        <w:pStyle w:val="TextBody"/>
        <w:bidi w:val="0"/>
        <w:spacing w:before="0" w:after="0"/>
        <w:ind w:left="189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i w:val="false"/>
          <w:caps w:val="false"/>
          <w:smallCaps w:val="false"/>
          <w:sz w:val="20"/>
        </w:rPr>
        <w:t>Second Tranche Conversion Rate</w:t>
      </w:r>
      <w:r>
        <w:rPr>
          <w:rFonts w:ascii="Times New Roman;Times;Serif" w:hAnsi="Times New Roman;Times;Serif"/>
          <w:b w:val="false"/>
          <w:i w:val="false"/>
          <w:caps w:val="false"/>
          <w:smallCaps w:val="false"/>
          <w:sz w:val="20"/>
        </w:rPr>
        <w:t>” means a number of shares of Class A Common Stock determined by dividing (x) the Stated Value of such Second Tranche Convertible Share by (y) the Second Tranche Conversion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i w:val="false"/>
          <w:caps w:val="false"/>
          <w:smallCaps w:val="false"/>
          <w:sz w:val="20"/>
        </w:rPr>
        <w:t>Second Tranche Convertible Shares</w:t>
      </w:r>
      <w:r>
        <w:rPr>
          <w:rFonts w:ascii="Times New Roman;Times;Serif" w:hAnsi="Times New Roman;Times;Serif"/>
          <w:b w:val="false"/>
          <w:i w:val="false"/>
          <w:caps w:val="false"/>
          <w:smallCaps w:val="false"/>
          <w:sz w:val="20"/>
        </w:rPr>
        <w:t>” means, with respect to any holder of Preferred Shares, a number of Preferred Shares equal to thirty-three and one-third percent (33.3%) of the total Preferred Shares as of the Issuance Date (rounded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i w:val="false"/>
          <w:caps w:val="false"/>
          <w:smallCaps w:val="false"/>
          <w:sz w:val="20"/>
        </w:rPr>
        <w:t>Stated Value</w:t>
      </w:r>
      <w:r>
        <w:rPr>
          <w:rFonts w:ascii="Times New Roman;Times;Serif" w:hAnsi="Times New Roman;Times;Serif"/>
          <w:b w:val="false"/>
          <w:i w:val="false"/>
          <w:caps w:val="false"/>
          <w:smallCaps w:val="false"/>
          <w:sz w:val="20"/>
        </w:rPr>
        <w:t>” means One Thousand Dollars ($1,000) per share, subject to adjustment for stock splits, stock dividends, recapitalizations, reorganizations, reclassifications, combinations, subdivisions or other similar events occurring after the initial Issuance Date with respect to the Preferred Shares.</w:t>
      </w:r>
    </w:p>
    <w:p>
      <w:pPr>
        <w:pStyle w:val="TextBody"/>
        <w:bidi w:val="0"/>
        <w:spacing w:before="0" w:after="0"/>
        <w:ind w:left="0" w:right="0" w:firstLine="189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means that certain Subscription Agreement between the Company and the purchasers of Preferred Shares, as the same may be amended, restated, modified or supplemented and in effect from time to time.</w:t>
      </w:r>
    </w:p>
    <w:p>
      <w:pPr>
        <w:pStyle w:val="TextBody"/>
        <w:bidi w:val="0"/>
        <w:spacing w:before="0" w:after="0"/>
        <w:ind w:left="189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i w:val="false"/>
          <w:caps w:val="false"/>
          <w:smallCaps w:val="false"/>
          <w:sz w:val="20"/>
        </w:rPr>
        <w:t>Third Tranche Conversion Price</w:t>
      </w:r>
      <w:r>
        <w:rPr>
          <w:rFonts w:ascii="Times New Roman;Times;Serif" w:hAnsi="Times New Roman;Times;Serif"/>
          <w:b w:val="false"/>
          <w:i w:val="false"/>
          <w:caps w:val="false"/>
          <w:smallCaps w:val="false"/>
          <w:sz w:val="20"/>
        </w:rPr>
        <w:t xml:space="preserve">” means the product of the Initial Conversion Price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1.8.</w:t>
      </w:r>
    </w:p>
    <w:p>
      <w:pPr>
        <w:pStyle w:val="TextBody"/>
        <w:bidi w:val="0"/>
        <w:spacing w:before="0" w:after="0"/>
        <w:ind w:left="189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189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w:t>
      </w:r>
      <w:r>
        <w:rPr>
          <w:rFonts w:ascii="Times New Roman;Times;Serif" w:hAnsi="Times New Roman;Times;Serif"/>
          <w:b/>
          <w:i w:val="false"/>
          <w:caps w:val="false"/>
          <w:smallCaps w:val="false"/>
          <w:sz w:val="20"/>
        </w:rPr>
        <w:t>Third Tranche Conversion Rate</w:t>
      </w:r>
      <w:r>
        <w:rPr>
          <w:rFonts w:ascii="Times New Roman;Times;Serif" w:hAnsi="Times New Roman;Times;Serif"/>
          <w:b w:val="false"/>
          <w:i w:val="false"/>
          <w:caps w:val="false"/>
          <w:smallCaps w:val="false"/>
          <w:sz w:val="20"/>
        </w:rPr>
        <w:t>” means a number of shares of Class A Common Stock determined by dividing (x) the Stated Value of such Third Tranche Convertible Share by (y) the Third Tranche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i w:val="false"/>
          <w:caps w:val="false"/>
          <w:smallCaps w:val="false"/>
          <w:sz w:val="20"/>
        </w:rPr>
        <w:t>Third Tranche Convertible Shares</w:t>
      </w:r>
      <w:r>
        <w:rPr>
          <w:rFonts w:ascii="Times New Roman;Times;Serif" w:hAnsi="Times New Roman;Times;Serif"/>
          <w:b w:val="false"/>
          <w:i w:val="false"/>
          <w:caps w:val="false"/>
          <w:smallCaps w:val="false"/>
          <w:sz w:val="20"/>
        </w:rPr>
        <w:t>” means, with respect to any holder of Preferred Shares, a number of Preferred Shares equal to thirty-three and one-third percent (33.3%) of the total Preferred Shares held by the original holder of such Preferred Shares as of the Issuance Date (rounded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Principal Market is open for trading.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holders of the Preferred Shares shall be entitled to receive a twelve percent (12%) annual, non-cumulative dividend payable quarterly, at the Company’s option, (i) in cash or (ii) in shares of the Class A Common Stock at a price per share of Class A Common Stock equal to the lower of (A) the average closing price of Class A Common Stock as quoted on the Principal Market for the five Trading Days immediately preceding the date of issuance, or (B) the closing price of the Class A Common Stock as quoted on the Principal Market on the Trading Day prior to the date of issuance, but in no event less than $1.00 per share. Each such dividend shall be payable to the holders of record of Preferred Shares as they appear in the register of members at the close of business on the applicable record date, which shall be at least one (1) day prior to the applicable Dividend Payment Date as long as all of the Preferred Shares are in book-entry form and, if all of the Preferred Shares are not in book-entry form, shall be at least ten (10) days prior to the applicable Dividend Payment Date.</w:t>
      </w:r>
    </w:p>
    <w:p>
      <w:pPr>
        <w:pStyle w:val="TextBody"/>
        <w:bidi w:val="0"/>
        <w:spacing w:before="0" w:after="0"/>
        <w:ind w:left="135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Conversion of Preferred Shares</w:t>
      </w:r>
      <w:r>
        <w:rPr>
          <w:rFonts w:ascii="Times New Roman;Times;Serif" w:hAnsi="Times New Roman;Times;Serif"/>
          <w:b w:val="false"/>
          <w:i w:val="false"/>
          <w:caps w:val="false"/>
          <w:smallCaps w:val="false"/>
          <w:sz w:val="20"/>
        </w:rPr>
        <w:t>. The Preferred Shares shall be subject to the conversion rights set forth in this Section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At any time and from time to time, any holder of Preferred Shares may, at its option, convert (i) all or any portion of the First Tranche Convertible Shares at the First Tranche Conversion Rate, (ii) all or any portion the Second Tranche Convertible Shares at the Second Tranche Conversion Rate and (iii) all or any portion the Third Tranche Convertible Shares at the Third Tranche Conversion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to the Initial, Second Tranche and Third Tranche Conversion Prices</w:t>
      </w:r>
      <w:r>
        <w:rPr>
          <w:rFonts w:ascii="Times New Roman;Times;Serif" w:hAnsi="Times New Roman;Times;Serif"/>
          <w:b w:val="false"/>
          <w:i w:val="false"/>
          <w:caps w:val="false"/>
          <w:smallCaps w:val="false"/>
          <w:sz w:val="20"/>
        </w:rPr>
        <w:t xml:space="preserve">. In order to prevent dilution of the rights granted under this Certificate of Designations, the Initial, Second Tranche and Third Tranche Conversion Prices will be subject to adjustment from time to time as provided in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xml:space="preserve">. If the Company, at any time after the Issuance Date: (i) pays a stock dividend or otherwise makes a distribution or distributions on shares of its Class A Common Stock or any other equity or equity equivalent securities payable in shares of Class A Common Stock (which, for avoidance of doubt, shall not include any Conversion Shares issued by the Company upon conversion of Preferred Shares), (ii) subdivides outstanding shares of Class A Common Stock into a larger number of shares, (iii) combines (including by way of reverse stock split) outstanding shares of Class A Common Stock into a smaller number of shares, or (iv) issues by reclassification of shares of the Class A Common Stock any shares of capital stock of the Company, then in each case the Initial Conversion Price shall be multiplied by a fraction of which the numerator shall be the number of shares of Class A Common Stock (excluding treasury shares, if any) outstanding immediately before such event and of which the denominator shall be the number of shares of Class A Common Stock outstanding immediately after such event, and the number of shares issuable upon the conversion of the Preferred Shares shall be proportionately adjusted such that the aggregate Initial Conversion Price of the Preferred Shares shall remain unchanged. Any adjustment made pursuant to this </w:t>
      </w:r>
      <w:r>
        <w:rPr>
          <w:rFonts w:ascii="Times New Roman;Times;Serif" w:hAnsi="Times New Roman;Times;Serif"/>
          <w:b w:val="false"/>
          <w:i w:val="false"/>
          <w:caps w:val="false"/>
          <w:smallCaps w:val="false"/>
          <w:sz w:val="20"/>
          <w:u w:val="single"/>
        </w:rPr>
        <w:t>Section (3)(c)(i)</w:t>
      </w:r>
      <w:r>
        <w:rPr>
          <w:rFonts w:ascii="Times New Roman;Times;Serif" w:hAnsi="Times New Roman;Times;Serif"/>
          <w:b w:val="false"/>
          <w:i w:val="false"/>
          <w:caps w:val="false"/>
          <w:smallCaps w:val="false"/>
          <w:sz w:val="20"/>
        </w:rPr>
        <w:t xml:space="preserve"> shall become effective immediately after the record date for the determination of stockholders entitled to receive such dividend or distribution and shall become effective immediately after the effective date of the applicable event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xml:space="preserve">. In addition to any adjustments pursuant to </w:t>
      </w:r>
      <w:r>
        <w:rPr>
          <w:rFonts w:ascii="Times New Roman;Times;Serif" w:hAnsi="Times New Roman;Times;Serif"/>
          <w:b w:val="false"/>
          <w:i w:val="false"/>
          <w:caps w:val="false"/>
          <w:smallCaps w:val="false"/>
          <w:sz w:val="20"/>
          <w:u w:val="single"/>
        </w:rPr>
        <w:t>Section (3)(c)(i)</w:t>
      </w:r>
      <w:r>
        <w:rPr>
          <w:rFonts w:ascii="Times New Roman;Times;Serif" w:hAnsi="Times New Roman;Times;Serif"/>
          <w:b w:val="false"/>
          <w:i w:val="false"/>
          <w:caps w:val="false"/>
          <w:smallCaps w:val="false"/>
          <w:sz w:val="20"/>
        </w:rPr>
        <w:t xml:space="preserve"> above, if at any time the Company grants, issues or sells any Options, Convertible Securities or rights to purchase stock, warrants, securities or other property pro rata to the record holders of any class of Class A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holders of Preferred Shares will be entitled to acquire, upon the terms applicable to such Purchase Rights, the aggregate Purchase Rights which each such holder could have acquired if such holder had held the number of shares of Class A Common Stock acquirable upon complete conversion of such holder’s Preferred Shares (without regard to any limitations on exercise thereof) immediately before the date on which a record is taken for the grant, issuance or sale of such Purchase Rights, or, if no such record is taken, the date as of which the record holders of shares of Class A Common Stock are to be determined for the grant, issue or sale of such Purchase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Notices.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Whenever the Initial Conversion Price is adjusted pursuant to any provision of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the Company shall promptly deliver to each holder of Preferred Stock by email a notice setting forth the Initial Conversion Price after such adjustment and setting forth a brief statement of the facts requiring such adjustment.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the Company shall declare a dividend (or any other distribution in whatever form) on the Class A Common Stock, (B) the Company shall declare a special nonrecurring cash dividend on or a redemption of the Class A Common Stock, (C) the Company shall authorize the granting to all holders of the Class A Common Stock of rights or warrants to subscribe for or purchase any shares of capital stock of any class or of any rights, (D) the approval of any stockholders of the Company shall be required in connection with any reclassification of the Class A Common Stock, any consolidation or merger to which the Company is a party, any sale or transfer of all or substantially all of the assets of the Company, or any compulsory share exchange whereby the Class A Common Stock is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the Preferred Shares, and shall cause to be delivered by email to each Holder at its last email address as it shall appear upon the stock books of the Company, at least ten (10) Trading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Class A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Class A Common Stock of record shall be entitled to exchange their shares of the Class A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convert the Conversion Amount of the Preferred Shares (or any part hereof) during the 10-Trading Day period commencing on the date of such notice through the effective date of the event triggering such notice except as may otherwise be expressly set forth herein.</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Conversion Shares Upon Conversion</w:t>
      </w:r>
      <w:r>
        <w:rPr>
          <w:rFonts w:ascii="Times New Roman;Times;Serif" w:hAnsi="Times New Roman;Times;Serif"/>
          <w:b w:val="false"/>
          <w:i w:val="false"/>
          <w:caps w:val="false"/>
          <w:smallCaps w:val="false"/>
          <w:sz w:val="20"/>
        </w:rPr>
        <w:t>. The date on which a conversion shall be deemed effective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shall be the Trading Day that the Conversion Notice, completed and executed, is sent via email to, and received during regular business hours prior to 5:00 pm Eastern Time by, the Company, provided, that the original certificate(s) (if any) representing the Preferred Shares being converted, duly endorsed, and the accompanying Notice of Conversion, are received by the Company by the Share Delivery Date (as defined below). Not later than two (2) Trading Days after each Conversion Date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the Company shall deliver, or cause to be delivered, to the converting holder (A) the number of Conversion Shares being acquired upon the conversion of the Preferred Shares, and (B) a bank check in the amount of declared and unpaid dividends, if any. The Company shall deliver the Conversion Shares electronically through The Depository Trust Company through its Deposit or Withdrawal at Custodian system (“</w:t>
      </w:r>
      <w:r>
        <w:rPr>
          <w:rFonts w:ascii="Times New Roman;Times;Serif" w:hAnsi="Times New Roman;Times;Serif"/>
          <w:b/>
          <w:i w:val="false"/>
          <w:caps w:val="false"/>
          <w:smallCaps w:val="false"/>
          <w:sz w:val="20"/>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Conversion Shares to or resale of the Conversion Shares by the Holder or (B) the Conversion Shares are eligible for resale by the holder without volume or manner-of-sale limitations pursuant to Rule 144, and otherwise by either delivery of a book-entry statement or physical delivery of a certificate, registered in the Company’s share register in the name of the holder or its designee.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Obligation Absolute</w:t>
      </w:r>
      <w:r>
        <w:rPr>
          <w:rFonts w:ascii="Times New Roman;Times;Serif" w:hAnsi="Times New Roman;Times;Serif"/>
          <w:b w:val="false"/>
          <w:i w:val="false"/>
          <w:caps w:val="false"/>
          <w:smallCaps w:val="false"/>
          <w:sz w:val="20"/>
        </w:rPr>
        <w:t xml:space="preserve">. The Company’s obligation to issue and deliver the Conversion Shares upon conversion of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delivery shall not operate as a waiver by the Company of any such action that the Company may have against such holder.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Reservation of Shares Issuable Upon Conversion</w:t>
      </w:r>
      <w:r>
        <w:rPr>
          <w:rFonts w:ascii="Times New Roman;Times;Serif" w:hAnsi="Times New Roman;Times;Serif"/>
          <w:b w:val="false"/>
          <w:i w:val="false"/>
          <w:caps w:val="false"/>
          <w:smallCaps w:val="false"/>
          <w:sz w:val="20"/>
        </w:rPr>
        <w:t>. The Company covenants that it will at all times reserve and keep available out of its authorized and unissued shares of Common Stock for the sole purpose of issuance upon conversion of the Preferred Shares as herein provided, not less than such aggregate number of shares of the Common Stock as shall (subject to the terms and conditions set forth in the Subscription Agreement) be issuable (taking into account the adjustments and restrictions as provided for herein) upon the conversion of the then outstanding Preferred Shares. The Company covenants that all shares of Common Stock that shall be so issuable shall, upon issue, be duly authorized, validly issued, fully paid and nonassessable.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or scrip representing fractional shares shall be issued upon the conversion of the Preferred Shares. As to any fraction of a share which the Holder would otherwise be entitled to purchase upon such conversion, the Company shall at its election, either pay a cash adjustment in respect of such final fraction in an amount equal to such fraction multiplied by the Initial Conversion Price or round up to the next whole share.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Transfer Taxes and Expenses</w:t>
      </w:r>
      <w:r>
        <w:rPr>
          <w:rFonts w:ascii="Times New Roman;Times;Serif" w:hAnsi="Times New Roman;Times;Serif"/>
          <w:b w:val="false"/>
          <w:i w:val="false"/>
          <w:caps w:val="false"/>
          <w:smallCaps w:val="false"/>
          <w:sz w:val="20"/>
        </w:rPr>
        <w:t>. The issuance of Conversion Shares on conversion of the Preferred Shares shall be made without charge to any holder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holders of such Preferred Shares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same-day processing of any Conversion Notice and all fees to the Depository Trust Company (or another established clearing corporation performing similar functions) required for same-day electronic delivery of the Conversion Shares.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 on Beneficial Ownership</w:t>
      </w:r>
      <w:r>
        <w:rPr>
          <w:rFonts w:ascii="Times New Roman;Times;Serif" w:hAnsi="Times New Roman;Times;Serif"/>
          <w:b w:val="false"/>
          <w:i w:val="false"/>
          <w:caps w:val="false"/>
          <w:smallCaps w:val="false"/>
          <w:sz w:val="20"/>
        </w:rPr>
        <w:t>. The Company shall not effect the conversion of any of the Preferred Shares held by a Holder, and such Holder shall not have the right to convert any of the Preferred Shares held by such Holder pursuant to the terms and conditions of this Certificate of Designations and any such conversion shall be null and void and treated as if never made, to the extent that after giving effect to such conversion, such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shares of Common Stock outstanding immediately after giving effect to such conversion. For purposes of the foregoing sentence, the aggregate number of shares of Common Stock beneficially owned by such Holder and the other Attribution Parties shall include the number of shares of Common Stock held by such Holder and all other Attribution Parties plus the number of shares of Common Stock issuable upon conversion of the Preferred Shares with respect to which the determination of such sentence is being made, but shall exclude shares of Common Stock which would be issuable upon (A) conversion of the remaining, nonconverted Preferred Shares beneficially owned by such Holder or any of the other Attribution Parties and (B) exercise or conversion of the unexercised or nonconverted portion of any other securities of the Company (including, without limitation, any convertible notes, convertible preferred stock or warrants, including the Preferred Shares and the Warrants) beneficially owned by such Holder or any other Attribution Party subject to a limitation on conversion or exercise analogous to the limitation contained in this Section 3(e). For purposes of this Section 3(e), beneficial ownership shall be calculated in accordance with Section 13(d) of the 1934 Act. For purposes of determining the number of outstanding shares of Common Stock a Holder may acquire upon the conversion of such Preferred Shares without exceeding the Maximum Percentage, such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a Holder at a time when the actual number of outstanding shares of Common Stock is less than the Reported Outstanding Share Number, the Company shall notify such Holder in writing of the number of shares of Common Stock then outstanding and, to the extent that such Conversion Notice would otherwise cause such Holder’s beneficial ownership, as determined pursuant to this Section 3(e), to exceed the Maximum Percentage, such Holder must notify the Company of a reduced number of shares of Common Stock to be purchased pursuant to such Conversion Notice. For any reason at any time, upon the written or oral request of any Holder, the Company shall within one (1) Business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Company, including such Preferred Shares, by such Holder and any other Attribution Party since the date as of which the Reported Outstanding Share Number was reported. In the event that the issuance of shares of Common Stock to a Holder upon conversion of such Preferred Shares results in such Holder and the other Attribution Parties being deemed to beneficially own, in the aggregate, more than the Maximum Percentage of the number of outstanding shares of Common Stock (as determined under Section 13(d) of the 1934 Act), the number of shares so issued by which such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such Holder shall not have the power to vote or to transfer the Excess Shares. Upon delivery of a written notice to the Company, any Holder may from time to time increase (with such increase not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delivery of such notice) or decrease the Maximum Percentage of such Holder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such Holder and the other Attribution Parties and not to any other Holder that is not an Attribution Party of such Holder. For purposes of clarity, the shares of Common Stock issuable to a Holder pursuant to the terms of this Certificate of Designations in excess of the Maximum Percentage shall not be deemed to be beneficially owned by such Holder for any purpose including for purposes of Section 13(d) or Rule 16a-1(a)(1) of the 1934 Act. No prior inability to convert such Preferred Shares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3(e) to the extent necessary to correct this paragraph (or any portion of this paragraph) which may be defective or inconsistent with the intended beneficial ownership limitation contained in this Section 3(e) or to make changes or supplements necessary or desirable to properly give effect to such limitation. The limitation contained in this paragraph may not be waived and shall apply to a successor holder of such Preferred Shares.</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holders of Preferred Shares shall be entitled to notice of all stockholder meetings at which holders of Class A Common Stock shall be entitled to vote. Except as otherwise provided herein or as otherwise required by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the holders of Preferred Shares shall have no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 Redemption by Company</w:t>
      </w:r>
      <w:r>
        <w:rPr>
          <w:rFonts w:ascii="Times New Roman;Times;Serif" w:hAnsi="Times New Roman;Times;Serif"/>
          <w:b w:val="false"/>
          <w:i w:val="false"/>
          <w:caps w:val="false"/>
          <w:smallCaps w:val="false"/>
          <w:sz w:val="20"/>
        </w:rPr>
        <w:t>. At any time and from time to time, upon written notice to the holders of Preferred Shares, the Company shall be entitled to redeem all or a portion of the outstanding Preferred Shares the applicable Liquidation Preference. Following such written notice, the holders of Preferred Shares shall be granted thirty (30) calendar days to exercise their conversion rights set forth in Section 3(a) prior to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Redemption Payments</w:t>
      </w:r>
      <w:r>
        <w:rPr>
          <w:rFonts w:ascii="Times New Roman;Times;Serif" w:hAnsi="Times New Roman;Times;Serif"/>
          <w:b w:val="false"/>
          <w:i w:val="false"/>
          <w:caps w:val="false"/>
          <w:smallCaps w:val="false"/>
          <w:sz w:val="20"/>
        </w:rPr>
        <w:t>. Any redemption of Preferred Shares pursuant to the terms of this Certificate of Designations (any such redemption, shall be payable out of any cash legally available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Liquidation, Dissolution, Winding-Up</w:t>
      </w:r>
      <w:r>
        <w:rPr>
          <w:rFonts w:ascii="Times New Roman;Times;Serif" w:hAnsi="Times New Roman;Times;Serif"/>
          <w:b w:val="false"/>
          <w:i w:val="false"/>
          <w:caps w:val="false"/>
          <w:smallCaps w:val="false"/>
          <w:sz w:val="20"/>
        </w:rPr>
        <w:t>. In the event of any voluntary or involuntary liquidation, dissolution or winding up of the Company, the holders of the Preferred Shares shall be entitled to receive in cash out of the assets of the Company, whether from capital or from earnings available for distribution to its stockholders, before any amount shall be paid to the holders of any of the capital stock of the Company of any class junior in rank to the Preferred Shares in respect of the preferences as to the distributions and payments on the liquidation, dissolution and winding up of the Company, an amount per Preferred Share equal to the Liquidation Preference (the “</w:t>
      </w:r>
      <w:r>
        <w:rPr>
          <w:rFonts w:ascii="Times New Roman;Times;Serif" w:hAnsi="Times New Roman;Times;Serif"/>
          <w:b/>
          <w:i w:val="false"/>
          <w:caps w:val="false"/>
          <w:smallCaps w:val="false"/>
          <w:sz w:val="20"/>
        </w:rPr>
        <w:t>Preferred Funds</w:t>
      </w:r>
      <w:r>
        <w:rPr>
          <w:rFonts w:ascii="Times New Roman;Times;Serif" w:hAnsi="Times New Roman;Times;Serif"/>
          <w:b w:val="false"/>
          <w:i w:val="false"/>
          <w:caps w:val="false"/>
          <w:smallCaps w:val="false"/>
          <w:sz w:val="20"/>
        </w:rPr>
        <w:t>”). The balance of all proceeds after the Preferred Funds are paid shall be distributed pro rata to holders of Class A Common Stock and Class B Common Stock. However, if the Preferred Funds are insufficient to pay the full amount due to the holders of Preferred Shares and holders of any Pari Passu Shares, then each holder of Preferred Shares and Pari Passu Shares shall receive a percentage of the Preferred Funds equal to the full amount of Preferred Funds payable to such holder as a liquidation preference, in accordance with their respective Certificate of Designations, Preferences and Rights, as a percentage of the full amount of Preferred Funds payable to all holders of Preferred Shares and Pari Passu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Preferred Rank; Participation</w:t>
      </w:r>
      <w:r>
        <w:rPr>
          <w:rFonts w:ascii="Times New Roman;Times;Serif" w:hAnsi="Times New Roman;Times;Serif"/>
          <w:b w:val="false"/>
          <w:i w:val="false"/>
          <w:caps w:val="false"/>
          <w:smallCaps w:val="false"/>
          <w:sz w:val="20"/>
        </w:rPr>
        <w:t>. All Preferred Shares rank senior to the Series B Convertible Preferred Stock and the Common Stock in respect to the preferences provided for herein as to distributions and payments upon the liquidation, dissolution and winding up of the Company. The rights of the shares of the Series B Convertible Preferred Stock and the Common Stock shall be subject to the preferences and relative rights of the Preferred Shares as provided for herein. So long as any of the Preferred Shares remain outstanding, without the prior consent of the holders of a majority of the Preferred Shares, except for the Series A Convertible Preferred Stock and Series AA Cumulative Redeemable Preferred Stock of the Company, which shall rank pari passu with the Preferred Shares, the Company shall not authorize or issue additional or other capital stock that is of rank senior to or pari passu with the Preferred Shares in respect of the preferences as to dividends or distributions or payments upon the liquidation, dissolution or winding up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Vote to Change the Terms of or Issue Preferred Shares; Amendment</w:t>
      </w:r>
      <w:r>
        <w:rPr>
          <w:rFonts w:ascii="Times New Roman;Times;Serif" w:hAnsi="Times New Roman;Times;Serif"/>
          <w:b w:val="false"/>
          <w:i w:val="false"/>
          <w:caps w:val="false"/>
          <w:smallCaps w:val="false"/>
          <w:sz w:val="20"/>
        </w:rPr>
        <w:t>. In addition to any other rights provided by law, except where the vote or written consent of the holders of a greater number of shares is required by law or by another provision of the Third Amended and Restated Certificate of Incorporation, without first obtaining the affirmative vote at a meeting duly called for such purpose or the written consent without a meeting of the holders of a majority of the outstanding Preferred Shares, the Company shall not effect any change to this Certificate of Designations or the Company’s Third Amended and Restated Certificate of Incorporation that would amend, alter, change, repeal or otherwise affect any of the powers, designations, preferences and rights of the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Lost or Stolen Certificates</w:t>
      </w:r>
      <w:r>
        <w:rPr>
          <w:rFonts w:ascii="Times New Roman;Times;Serif" w:hAnsi="Times New Roman;Times;Serif"/>
          <w:b w:val="false"/>
          <w:i w:val="false"/>
          <w:caps w:val="false"/>
          <w:smallCaps w:val="false"/>
          <w:sz w:val="20"/>
        </w:rPr>
        <w:t>. The Preferred Shares shall be uncertificated. If the Preferred Shares are or become certificated, upon receipt by the Company of evidence satisfactory to the Company of the loss, theft, destruction or mutilation of any Preferred Stock Certificates representing the Preferred Shares, and, in the case of loss, theft or destruction, of an indemnification undertaking by the holder to the Company and, in the case of mutilation, upon surrender and cancellation of the Preferred Stock Certificate(s), the Company shall execute and deliver new preferred stock certificate(s) of like tenor and date; provided, however, the Company shall not be obligated to re-issue preferred stock certificates if the holder contemporaneously requests the Company to convert the Preferred Shares represented thereby into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Remedies; Other Obligations</w:t>
      </w:r>
      <w:r>
        <w:rPr>
          <w:rFonts w:ascii="Times New Roman;Times;Serif" w:hAnsi="Times New Roman;Times;Serif"/>
          <w:b w:val="false"/>
          <w:i w:val="false"/>
          <w:caps w:val="false"/>
          <w:smallCaps w:val="false"/>
          <w:sz w:val="20"/>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and nothing herein shall limit a holder’s right to pursue actual damages for any failure by the Company to comply with the terms of this Certificate of Designations. Amounts set forth or provided for herein with respect to payments, conversion and the like (and the computation thereof) shall be the amounts to be received by the holder thereof and shall not, except as expressly provided herein, be subject to any other obligation of the Company (or the performance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the holders of Preferred Shares hereunder or such holders enforce or exercise their rights 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by a trustee, receiver or any other Person under any law (including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Third Amended and Restated Certificate of Incorporation, Amended and Restated Bylaws or through any reorganization, transfer of assets, consolidation, merger, scheme of arrangement, dissolution, issue or sale of securities, or any other voluntary action, avoid or seek to avoid the observance or performance of any of the terms of this Certificate of Designations, and will at all times in good faith carry out all the provisions of this Certificate of Designations and take all action as may be required to protect the rights of the holders of Preferred Shares hereunder. Without limiting the generality of the foregoing or any other provision of this Certificate of Designations or the other Transaction Documents, the Company (a) shall not increase the par value of any shares of Class A Common Stock receivable upon the conversion of any Preferred Shares above the Initial Conversion Price then in effect, (b) shall take all such actions as may be necessary or appropriate in order that the Company may validly and legally issue fully paid and non-assessable shares of Class A Common Stock upon the conversion of Preferred Shares and (c) shall, so long as any Preferred Shares are outstanding, take all action necessary to reserve and keep available out of its authorized and unissued shares of Class A Common Stock, solely for the purpose of effecting the conversion of the Preferred Shares, the maximum number of shares of Class A Common Stock as shall from time to time be necessary to effect the conversion of the Preferred Shares then outstanding (without regard to any limitations on conversion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Specific Shall Not Limit General; Construction</w:t>
      </w:r>
      <w:r>
        <w:rPr>
          <w:rFonts w:ascii="Times New Roman;Times;Serif" w:hAnsi="Times New Roman;Times;Serif"/>
          <w:b w:val="false"/>
          <w:i w:val="false"/>
          <w:caps w:val="false"/>
          <w:smallCaps w:val="false"/>
          <w:sz w:val="20"/>
        </w:rPr>
        <w:t>. No specific provision contained in this Certificate of Designations shall limit or modify any more general provision contained herein. This Certificate of Designations shall be deemed to be jointly drafted by the Company and all holders of Preferred Shares and shall not be construed against any person as the drafter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Status of Converted or Redeemed Series AAA Preferred Stock</w:t>
      </w:r>
      <w:r>
        <w:rPr>
          <w:rFonts w:ascii="Times New Roman;Times;Serif" w:hAnsi="Times New Roman;Times;Serif"/>
          <w:b w:val="false"/>
          <w:i w:val="false"/>
          <w:caps w:val="false"/>
          <w:smallCaps w:val="false"/>
          <w:sz w:val="20"/>
        </w:rPr>
        <w:t>. Preferred Shares may only be issued pursuant to the Subscription Agreement. If any Preferred Shares shall be converted, redeemed or reacquired by the Company, such shares shall resume the status of authorized but unissued shares of Preferred Stock and shall no longer be designated as Series AAA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 Amendment</w:t>
      </w:r>
      <w:r>
        <w:rPr>
          <w:rFonts w:ascii="Times New Roman;Times;Serif" w:hAnsi="Times New Roman;Times;Serif"/>
          <w:b w:val="false"/>
          <w:i w:val="false"/>
          <w:caps w:val="false"/>
          <w:smallCaps w:val="false"/>
          <w:sz w:val="20"/>
        </w:rPr>
        <w:t>. This Certificate of Designations or any provision hereof may be amended by obtaining the affirmative vote at a meeting duly called for such purpose, or written consent without a meeting in accordance with the DGCL, of a majority of the outstanding shares of Preferred Shares, voting separate as a single class, and with such other stockholder approval, if any, as may then be required pursuant to the DGCL and the Third Amended and Restated Certificate of Incorporation. Such amendment shall apply to all holders of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Jurisdiction; Governing Law</w:t>
      </w:r>
      <w:r>
        <w:rPr>
          <w:rFonts w:ascii="Times New Roman;Times;Serif" w:hAnsi="Times New Roman;Times;Serif"/>
          <w:b w:val="false"/>
          <w:i w:val="false"/>
          <w:caps w:val="false"/>
          <w:smallCaps w:val="false"/>
          <w:sz w:val="20"/>
        </w:rPr>
        <w:t>. All questions concerning the construction, validity, enforcement and interpretation of this Certificate of Designations shall be governed by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Each party hereby irrevocably submits to the exclusive jurisdiction of the Chancery Court of the State of Delaware and any state appellate court therefrom sitting in the State of Delaware (or, if the Chancery Court of the State of Delaware declines to accept jurisdiction over a particular matter, any state or federal court within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in the Subscription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AND AGREES NOT TO REQUEST, A JURY TRIAL FOR THE ADJUDICATION OF ANY DISPUTE HEREUNDER OR IN CONNECTION HEREWITH OR ARISING OUT OF THIS CERTIFICATE OF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Any and all notices or other communications or deliveries to be provided to the Company hereunder, including, without limitation, any Conversion Notice, shall be in writing and delivered personally, via email or sent by a nationally recognized overnight courier service, addressed to CaliberCos, Inc., at 8901 E. Mountain View Rd. Ste 150, Scottsdale, Arizona 85258, Attention: Jade Leung, email: Jade.Leung@caliberco.com, or such other email address or mailing address as the Company may specify for such purposes by notice to the holders. Any and all notices or other communications or deliveries to be provided to a holder hereunder shall be in writing and delivered personally, by email at the email address of such holder appearing on the books of the Company, or if no such email address appears on the books of the Company, sent by a nationally recognized overnight courier service addressed to such holder, at the principal place of business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Certificate of Designations of Series AAA Convertible Preferred Stock of CALIBERCOS INC. to be signed by its Chief Executive Officer on this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2026.</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sz w:val="4"/>
                <w:szCs w:val="4"/>
              </w:rPr>
            </w:pPr>
            <w:r>
              <w:rPr>
                <w:sz w:val="4"/>
                <w:szCs w:val="4"/>
              </w:rPr>
            </w:r>
          </w:p>
        </w:tc>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CALIBERCOS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C. Loeffler, II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C. Loeffler, II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CALIBERCOS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Certificate of Designations, Preferences and Rights of the Series AAA Convertible Preferred Stock of CALIBERCOS INC. (the “</w:t>
      </w:r>
      <w:r>
        <w:rPr>
          <w:rFonts w:ascii="Times New Roman;Times;Serif" w:hAnsi="Times New Roman;Times;Serif"/>
          <w:b/>
          <w:i w:val="false"/>
          <w:caps w:val="false"/>
          <w:smallCaps w:val="false"/>
          <w:sz w:val="20"/>
        </w:rPr>
        <w:t>Certificate of Designations</w:t>
      </w:r>
      <w:r>
        <w:rPr>
          <w:rFonts w:ascii="Times New Roman;Times;Serif" w:hAnsi="Times New Roman;Times;Serif"/>
          <w:b w:val="false"/>
          <w:i w:val="false"/>
          <w:caps w:val="false"/>
          <w:smallCaps w:val="false"/>
          <w:sz w:val="20"/>
        </w:rPr>
        <w:t>”). In accordance with and pursuant to the Certificate of Designations, the undersigned hereby elects to convert the number of shares of Series AAA Convertible Preferred Stock, with a stated value of $1,000 per share (the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of CALIBERCOS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indicated below into shares of Class A common stock, $0.001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as of the date specified below.</w:t>
      </w:r>
    </w:p>
    <w:p>
      <w:pPr>
        <w:pStyle w:val="TextBody"/>
        <w:bidi w:val="0"/>
        <w:spacing w:before="0" w:after="0"/>
        <w:ind w:left="0" w:right="0" w:hanging="0"/>
        <w:jc w:val="left"/>
        <w:rPr>
          <w:caps w:val="false"/>
          <w:smallCaps w:val="false"/>
        </w:rPr>
      </w:pPr>
      <w:r>
        <w:rPr>
          <w:caps w:val="false"/>
          <w:smallCaps w:val="false"/>
        </w:rPr>
        <w:t> </w:t>
      </w:r>
    </w:p>
    <w:tbl>
      <w:tblPr>
        <w:tblW w:w="8960" w:type="dxa"/>
        <w:jc w:val="left"/>
        <w:tblInd w:w="0" w:type="dxa"/>
        <w:tblLayout w:type="fixed"/>
        <w:tblCellMar>
          <w:top w:w="0" w:type="dxa"/>
          <w:left w:w="0" w:type="dxa"/>
          <w:bottom w:w="0" w:type="dxa"/>
          <w:right w:w="0" w:type="dxa"/>
        </w:tblCellMar>
      </w:tblPr>
      <w:tblGrid>
        <w:gridCol w:w="75"/>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Conversion:__________________________________________________________________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Aggregate number of </w:t>
              <w:br/>
              <w:t>Preferred Shares to be converted ________________________________________________________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Stated Value of such</w:t>
              <w:br/>
              <w:t>Preferred Shares to be converted: ________________________________________________________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CONVERSION</w:t>
              <w:br/>
              <w:t>AMOUNT TO BE CONVERTED: _______________________________________________________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confirm the following information: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Conversion Price: ________________________________________________________________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 issued: ____________________________________________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            </w:t>
      </w:r>
      <w:r>
        <w:rPr>
          <w:rFonts w:ascii="Times New Roman;Times;Serif" w:hAnsi="Times New Roman;Times;Serif"/>
          <w:b w:val="false"/>
          <w:i w:val="false"/>
          <w:caps w:val="false"/>
          <w:smallCaps w:val="false"/>
          <w:sz w:val="20"/>
        </w:rPr>
        <w:t>If this Conversion Notice is being delivered with respect to an Triggering Event Conversion, check here if Holder is electing to use the following Alternate Conversion Price: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applicable Preferred Shares are being converted to Holder, or for its benefit, as follows:</w:t>
      </w:r>
    </w:p>
    <w:p>
      <w:pPr>
        <w:pStyle w:val="TextBody"/>
        <w:bidi w:val="0"/>
        <w:spacing w:before="0" w:after="0"/>
        <w:ind w:left="0" w:right="0" w:hanging="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23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as a certificate to the following name and to the following address:</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75"/>
        <w:gridCol w:w="65"/>
        <w:gridCol w:w="6635"/>
      </w:tblGrid>
      <w:tr>
        <w:trPr/>
        <w:tc>
          <w:tcPr>
            <w:tcW w:w="7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to: _______________________________________________________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63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________________________________________________________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63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________________________________________________________</w:t>
            </w:r>
          </w:p>
        </w:tc>
      </w:tr>
    </w:tbl>
    <w:p>
      <w:pPr>
        <w:pStyle w:val="TextBody"/>
        <w:pBdr/>
        <w:bidi w:val="0"/>
        <w:spacing w:before="0" w:after="0"/>
        <w:ind w:left="720" w:right="0" w:firstLine="72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23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by Deposit/Withdrawal at Custodian as follows:</w:t>
            </w:r>
          </w:p>
        </w:tc>
      </w:tr>
    </w:tbl>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1475"/>
        <w:gridCol w:w="185"/>
      </w:tblGrid>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1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1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1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720" w:right="0" w:firstLine="72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p>
      <w:pPr>
        <w:pStyle w:val="TextBody"/>
        <w:pBdr/>
        <w:bidi w:val="0"/>
        <w:spacing w:before="0" w:after="0"/>
        <w:ind w:left="720" w:right="0" w:firstLine="720"/>
        <w:jc w:val="left"/>
        <w:rPr>
          <w:caps w:val="false"/>
          <w:smallCaps w:val="false"/>
        </w:rPr>
      </w:pPr>
      <w:r>
        <w:rPr>
          <w:caps w:val="false"/>
          <w:smallCaps w:val="false"/>
        </w:rPr>
        <w:t> </w:t>
      </w:r>
    </w:p>
    <w:tbl>
      <w:tblPr>
        <w:tblW w:w="2305" w:type="dxa"/>
        <w:jc w:val="left"/>
        <w:tblInd w:w="0" w:type="dxa"/>
        <w:tblLayout w:type="fixed"/>
        <w:tblCellMar>
          <w:top w:w="0" w:type="dxa"/>
          <w:left w:w="0" w:type="dxa"/>
          <w:bottom w:w="28" w:type="dxa"/>
          <w:right w:w="0" w:type="dxa"/>
        </w:tblCellMar>
      </w:tblPr>
      <w:tblGrid>
        <w:gridCol w:w="2225"/>
        <w:gridCol w:w="80"/>
      </w:tblGrid>
      <w:tr>
        <w:trPr/>
        <w:tc>
          <w:tcPr>
            <w:tcW w:w="2225" w:type="dxa"/>
            <w:tcBorders>
              <w:bottom w:val="single" w:sz="12"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720" w:right="0" w:firstLine="720"/>
        <w:jc w:val="left"/>
        <w:rPr>
          <w:caps w:val="false"/>
          <w:smallCaps w:val="false"/>
        </w:rPr>
      </w:pPr>
      <w:r>
        <w:rPr>
          <w:caps w:val="false"/>
          <w:smallCaps w:val="false"/>
        </w:rPr>
        <w:t> </w:t>
      </w:r>
    </w:p>
    <w:tbl>
      <w:tblPr>
        <w:tblW w:w="1025" w:type="dxa"/>
        <w:jc w:val="left"/>
        <w:tblInd w:w="0" w:type="dxa"/>
        <w:tblLayout w:type="fixed"/>
        <w:tblCellMar>
          <w:top w:w="0" w:type="dxa"/>
          <w:left w:w="0" w:type="dxa"/>
          <w:bottom w:w="0" w:type="dxa"/>
          <w:right w:w="0" w:type="dxa"/>
        </w:tblCellMar>
      </w:tblPr>
      <w:tblGrid>
        <w:gridCol w:w="335"/>
        <w:gridCol w:w="545"/>
        <w:gridCol w:w="65"/>
        <w:gridCol w:w="8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10"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720" w:right="0" w:firstLine="720"/>
        <w:jc w:val="left"/>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4280"/>
      </w:tblGrid>
      <w:tr>
        <w:trPr/>
        <w:tc>
          <w:tcPr>
            <w:tcW w:w="4280" w:type="dxa"/>
            <w:tcBorders/>
            <w:vAlign w:val="center"/>
          </w:tcPr>
          <w:p>
            <w:pPr>
              <w:pStyle w:val="TableContents"/>
              <w:bidi w:val="0"/>
              <w:spacing w:before="0" w:after="283"/>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ID:_______________________________</w:t>
            </w:r>
          </w:p>
        </w:tc>
      </w:tr>
      <w:tr>
        <w:trPr/>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r>
    </w:tbl>
    <w:p>
      <w:pPr>
        <w:pStyle w:val="TextBody"/>
        <w:pBdr/>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(a) acknowledges this Conversion Notice, (b) certifies that the above indicated number of shares of Common Stock [are][are not] eligible to be resold by the applicable Holder either (i) pursuant to Rule 144 (subject to such Holder’s execution and delivery to the Company of a customary 144 representation letter) or (ii) an effective and available registration statement and (c) hereby directs ______________________ to issue the above indicated number of shares of Common Stock in accordance with the Transfer Agent Instructions dated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20</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from the Company and acknowledged and agreed to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80"/>
        <w:gridCol w:w="320"/>
        <w:gridCol w:w="545"/>
        <w:gridCol w:w="1635"/>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CALIBERCOS INC.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3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28624201ex10-1.htm"/>
      <w:bookmarkStart w:id="29" w:name="ksea028624201ex101"/>
      <w:bookmarkEnd w:id="28"/>
      <w:bookmarkEnd w:id="29"/>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made as of this day of______, 2026, by and between CaliberCos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and__________________ having an address at __________________ (the “</w:t>
      </w:r>
      <w:r>
        <w:rPr>
          <w:rFonts w:ascii="Times New Roman;Times;Serif" w:hAnsi="Times New Roman;Times;Serif"/>
          <w:b w:val="false"/>
          <w:i w:val="false"/>
          <w:caps w:val="false"/>
          <w:smallCaps w:val="false"/>
          <w:sz w:val="20"/>
          <w:u w:val="single"/>
        </w:rPr>
        <w:t>Subscriber</w:t>
      </w:r>
      <w:r>
        <w:rPr>
          <w:rFonts w:ascii="Times New Roman;Times;Serif" w:hAnsi="Times New Roman;Times;Serif"/>
          <w:b w:val="false"/>
          <w:i w:val="false"/>
          <w:caps w:val="false"/>
          <w:smallCaps w:val="false"/>
          <w:sz w:val="20"/>
        </w:rPr>
        <w:t>”). Company and Subscriber may be collectively referred to for purposes of this Subscription Agreement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intends to offer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for sale up to $20 million of the Company’s Class A common stock, par value $0.001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in reliance upon the exemption from registration provided for under Section 4(a)(2)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Rule 506(b) of Regulation D promulgated thereunder (“</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Offering is being made to holders of Unsecured Subordinated Promissory Notes due twelve months from the date of issuance (the “</w:t>
      </w:r>
      <w:r>
        <w:rPr>
          <w:rFonts w:ascii="Times New Roman;Times;Serif" w:hAnsi="Times New Roman;Times;Serif"/>
          <w:b w:val="false"/>
          <w:i w:val="false"/>
          <w:caps w:val="false"/>
          <w:smallCaps w:val="false"/>
          <w:sz w:val="20"/>
          <w:u w:val="single"/>
        </w:rPr>
        <w:t>Existing Notes</w:t>
      </w:r>
      <w:r>
        <w:rPr>
          <w:rFonts w:ascii="Times New Roman;Times;Serif" w:hAnsi="Times New Roman;Times;Serif"/>
          <w:b w:val="false"/>
          <w:i w:val="false"/>
          <w:caps w:val="false"/>
          <w:smallCaps w:val="false"/>
          <w:sz w:val="20"/>
        </w:rPr>
        <w:t>”) pursuant to which the Subscriber will pay the purchase price for the Common Stock through the cancellation and exchange of all or a portion of the Subscriber’s Existing Notes as indicated on the signature page hereto, all pursuant to the terms and conditions hereinafter set forth;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Subscriber desires to acquire the Common Stock in the amounts as set forth on the Subscriber’s signature page to this Subscription Agreement (such securities,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promises and the mutual covenants hereinafter set forth, the parties hereto do hereby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15"/>
        <w:gridCol w:w="2450"/>
      </w:tblGrid>
      <w:tr>
        <w:trPr/>
        <w:tc>
          <w:tcPr>
            <w:tcW w:w="215" w:type="dxa"/>
            <w:tcBorders/>
            <w:vAlign w:val="center"/>
          </w:tcPr>
          <w:p>
            <w:pPr>
              <w:pStyle w:val="TableContents"/>
              <w:bidi w:val="0"/>
              <w:spacing w:before="0" w:after="283"/>
              <w:jc w:val="left"/>
              <w:rPr>
                <w:b/>
              </w:rPr>
            </w:pPr>
            <w:r>
              <w:rPr>
                <w:b/>
              </w:rPr>
              <w:t>1.</w:t>
            </w:r>
          </w:p>
        </w:tc>
        <w:tc>
          <w:tcPr>
            <w:tcW w:w="2450" w:type="dxa"/>
            <w:tcBorders/>
            <w:vAlign w:val="center"/>
          </w:tcPr>
          <w:p>
            <w:pPr>
              <w:pStyle w:val="TableContents"/>
              <w:bidi w:val="0"/>
              <w:spacing w:before="0" w:after="283"/>
              <w:jc w:val="left"/>
              <w:rPr>
                <w:b/>
                <w:u w:val="single"/>
              </w:rPr>
            </w:pPr>
            <w:r>
              <w:rPr>
                <w:b/>
                <w:u w:val="single"/>
              </w:rPr>
              <w:t>Subscription Procedure</w:t>
            </w:r>
          </w:p>
        </w:tc>
      </w:tr>
    </w:tbl>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Subscription for Securities</w:t>
      </w:r>
      <w:r>
        <w:rPr>
          <w:rFonts w:ascii="Times New Roman;Times;Serif" w:hAnsi="Times New Roman;Times;Serif"/>
          <w:b w:val="false"/>
          <w:i w:val="false"/>
          <w:caps w:val="false"/>
          <w:smallCaps w:val="false"/>
          <w:sz w:val="20"/>
        </w:rPr>
        <w:t>. Subject to the terms and conditions hereinafter set forth, the Subscriber hereby subscribes for, and agrees to purchase from the Company, the Securities in such denominations as set forth upon the signature page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Offering will be conducted in two separate closings (each, a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the date of each closing,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initial closing date shall be March 31, 2026 (the “</w:t>
      </w:r>
      <w:r>
        <w:rPr>
          <w:rFonts w:ascii="Times New Roman;Times;Serif" w:hAnsi="Times New Roman;Times;Serif"/>
          <w:b w:val="false"/>
          <w:i w:val="false"/>
          <w:caps w:val="false"/>
          <w:smallCaps w:val="false"/>
          <w:sz w:val="20"/>
          <w:u w:val="single"/>
        </w:rPr>
        <w:t>Initial Closing Date</w:t>
      </w:r>
      <w:r>
        <w:rPr>
          <w:rFonts w:ascii="Times New Roman;Times;Serif" w:hAnsi="Times New Roman;Times;Serif"/>
          <w:b w:val="false"/>
          <w:i w:val="false"/>
          <w:caps w:val="false"/>
          <w:smallCaps w:val="false"/>
          <w:sz w:val="20"/>
        </w:rPr>
        <w:t>”), and the final closing date shall be June 30, 2026 (the “</w:t>
      </w:r>
      <w:r>
        <w:rPr>
          <w:rFonts w:ascii="Times New Roman;Times;Serif" w:hAnsi="Times New Roman;Times;Serif"/>
          <w:b w:val="false"/>
          <w:i w:val="false"/>
          <w:caps w:val="false"/>
          <w:smallCaps w:val="false"/>
          <w:sz w:val="20"/>
          <w:u w:val="single"/>
        </w:rPr>
        <w:t>Final Closing Date</w:t>
      </w:r>
      <w:r>
        <w:rPr>
          <w:rFonts w:ascii="Times New Roman;Times;Serif" w:hAnsi="Times New Roman;Times;Serif"/>
          <w:b w:val="false"/>
          <w:i w:val="false"/>
          <w:caps w:val="false"/>
          <w:smallCaps w:val="false"/>
          <w:sz w:val="20"/>
        </w:rPr>
        <w:t>”). Subscribers that execute a Subscription Agreement on or before the Initial Closing Date shall pay a per share price equal to the lower of: (i) the average closing price of the shares of the Common Stock as reported on Nasdaq for the five trading days immediately preceding the Initial Closing Date, or (ii) the closing bid price of the trading day immediately preceding the Initial Closing Date. Subscribers that execute a Subscription Agreement after the Initial Closing Date but on or before the Final Closing Date shall pay a per share price equal to the lower of: (i) the average closing price of the shares of the Common Stock as reported on Nasdaq for the five trading days immediately preceding the Final Closing Date, or (ii) the closing bid price of the trading day immediately preceding the Final Closing Date. There is no minimum offering amount required in order to consummate any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xml:space="preserve">. The Subscriber and the Company shall enter into a Registration Rights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RRA</w:t>
      </w:r>
      <w:r>
        <w:rPr>
          <w:rFonts w:ascii="Times New Roman;Times;Serif" w:hAnsi="Times New Roman;Times;Serif"/>
          <w:b w:val="false"/>
          <w:i w:val="false"/>
          <w:caps w:val="false"/>
          <w:smallCaps w:val="false"/>
          <w:sz w:val="20"/>
        </w:rPr>
        <w:t>”), pursuant to which the Company will agree to use commercially reasonable efforts to register the Securities as described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Rejection of Orders</w:t>
      </w:r>
      <w:r>
        <w:rPr>
          <w:rFonts w:ascii="Times New Roman;Times;Serif" w:hAnsi="Times New Roman;Times;Serif"/>
          <w:b w:val="false"/>
          <w:i w:val="false"/>
          <w:caps w:val="false"/>
          <w:smallCaps w:val="false"/>
          <w:sz w:val="20"/>
        </w:rPr>
        <w:t>. The Subscriber understands and agrees that the Company reserves the right to reject any subscription, in whole or in part. The Company may, in its sole discretion, terminate or withdraw the Offering in its entirety at any time prior to a Closing in relation thereto. If this subscription is rejected in whole or the Offering is terminated, this Subscription Agreement shall thereafter be of no further force or effect. If this subscription is rejected in part, this Subscription Agreement will continue in full force and effect to the extent this subscription was accepted.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15"/>
        <w:gridCol w:w="4745"/>
      </w:tblGrid>
      <w:tr>
        <w:trPr/>
        <w:tc>
          <w:tcPr>
            <w:tcW w:w="215" w:type="dxa"/>
            <w:tcBorders/>
            <w:vAlign w:val="center"/>
          </w:tcPr>
          <w:p>
            <w:pPr>
              <w:pStyle w:val="TableContents"/>
              <w:bidi w:val="0"/>
              <w:spacing w:before="0" w:after="283"/>
              <w:jc w:val="left"/>
              <w:rPr>
                <w:b/>
              </w:rPr>
            </w:pPr>
            <w:r>
              <w:rPr>
                <w:b/>
              </w:rPr>
              <w:t>2.</w:t>
            </w:r>
          </w:p>
        </w:tc>
        <w:tc>
          <w:tcPr>
            <w:tcW w:w="4745" w:type="dxa"/>
            <w:tcBorders/>
            <w:vAlign w:val="center"/>
          </w:tcPr>
          <w:p>
            <w:pPr>
              <w:pStyle w:val="TableContents"/>
              <w:bidi w:val="0"/>
              <w:spacing w:before="0" w:after="283"/>
              <w:jc w:val="left"/>
              <w:rPr>
                <w:b/>
              </w:rPr>
            </w:pPr>
            <w:r>
              <w:rPr>
                <w:b/>
                <w:u w:val="single"/>
              </w:rPr>
              <w:t>Representations and Covenants of Subscriber</w:t>
            </w:r>
            <w:r>
              <w:rPr>
                <w:b/>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represents and warrants to the Company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Subscriber has good and valid title to its Existing Note(s), free and clear of all restrictions, liens, charges or encumbrances (collectively the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and is converting the Existing Note(s) free and clear of any and all such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Subscriber recognizes that the purchase of the Securities involves a high degree of risk in that (i) the Company may need additional capital to operate its business but has no assurance of additional necessary capital; (ii) an investment in the Company is highly speculative and only investors who can afford the loss of their entire investment should consider investing in the Securities; (iii) an investor may not be able to liquidate his, her or its investment in the Securities; (iv) transferability of the Securities is extremely limited; (v) an investor could sustain the loss of his, her or its entire investment; and (vi) the Company is and will be subject to numerous other risks and uncertainties, including without limitation, significant and material risks relating to the Company’s business and operations, and the industries, markets and geographic regions in which the Company competes, all as more fully set forth in the Company’s SEC Reports, as that term is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The Subscriber represents that he, she or it is an “accredited investor” as such term is defined in Rule 501 of Regulation D promulgated under the Securities Act, as indicated by his, her or its Investor Questionnaire, and that he, she or it is able to bear the economic risk of an investment in the Securities. The Subscriber has adequate means of providing for such Subscriber’s current financial needs and foreseeable contingencies and has no need for liquidity of his, her, or its investment in the Securities for an indefinite period of time. The Subscriber must complete the applicable Investor Questionnaire, a form of which is attached hereto as </w:t>
      </w:r>
      <w:r>
        <w:rPr>
          <w:rFonts w:ascii="Times New Roman;Times;Serif" w:hAnsi="Times New Roman;Times;Serif"/>
          <w:b w:val="false"/>
          <w:i w:val="false"/>
          <w:caps w:val="false"/>
          <w:smallCaps w:val="false"/>
          <w:sz w:val="20"/>
          <w:u w:val="single"/>
        </w:rPr>
        <w:t>Appendix I</w:t>
      </w:r>
      <w:r>
        <w:rPr>
          <w:rFonts w:ascii="Times New Roman;Times;Serif" w:hAnsi="Times New Roman;Times;Serif"/>
          <w:b w:val="false"/>
          <w:i w:val="false"/>
          <w:caps w:val="false"/>
          <w:smallCaps w:val="false"/>
          <w:sz w:val="20"/>
        </w:rPr>
        <w:t>, to enable the Company to assess the Subscriber’s eligibility for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The Subscriber represents that all information which the Subscriber has provided to the Company concerning the Subscriber or the Subscriber’s investor status, financial position, knowledge and experience in financial and business matters, or, in the case of a corporation, trust, partnership, limited liability company, or other entity, the knowledge and experience in financial and business matters of the person making the investment decision on behalf of such entity, including all information contained herein, is correct and complete as of the date of this Agreement, and if there should be any adverse change in such information prior to this subscription being accepted, the Subscriber will immediately provide the Company with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The Subscriber acknowledges that he, she or it has such knowledge and prior investment experience, including without limitation, investment in private, non-listed and non-registered securities and development-stage companies with limited operating histories, or he, she or it has employed the services of an investment advisor, attorney or accountant to read all of the documents furnished or made available by the Company both to him, her or it and to all other prospective investors in the Offering and to evaluate the merits and risks of such an investment on his, her or its behalf, and that he, she or it recognizes the highly speculative nature of this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The Subscriber acknowledges receipt and careful review of this Agreement, the RRA and the Offering Memorandum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Offering Documents</w:t>
      </w:r>
      <w:r>
        <w:rPr>
          <w:rFonts w:ascii="Times New Roman;Times;Serif" w:hAnsi="Times New Roman;Times;Serif"/>
          <w:b w:val="false"/>
          <w:i w:val="false"/>
          <w:caps w:val="false"/>
          <w:smallCaps w:val="false"/>
          <w:sz w:val="20"/>
        </w:rPr>
        <w:t>”) and hereby represents that he, she or it has been furnished or given access by the Company during the course of the Offering with or to all information regarding the Company and its financial conditions and results of operations which he, she or it had requested or desired to know; that all documents which could be reasonably provided have been made available for his, her or its inspection and review; that he, she or it has been afforded the opportunity to ask questions of and receive answers from duly authorized representatives of the Company concerning the terms and conditions of the Offering, and any additional information which he, she or it had requested. The Subscriber further represents and acknowledges that the Subscriber has not seen or received any advertisement or general solicitation with respect to the sale of any of the securities of the Company, including, without limitation,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The Subscriber acknowledges that the Offering of the Securities may involve tax consequences, and that the contents of the Offering Documents do not contain tax advice or information. The Subscriber acknowledges that he, she or it must retain his, her or its own professional advisors to evaluate the tax and other consequences of an investment in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The Subscriber acknowledges that the Offering of the Securities has not been reviewed or approved by the SEC because the Offering is intended to be a nonpublic offering pursuant to Section 4(a)(2) of the Securities Act and/or Rule 506(b) of Regulation D promulgated thereunder. The Subscriber represents that the Securities are being purchased for his, her or its own account, for investment and not for distribution or resale to others. The Subscriber agrees that he, she or it will not sell or otherwise transfer any of the Securities unless they are registered under the Securities Act or unless an exemption from such registration is available and, upon the Company’s request, the Company receives an opinion of counsel reasonably satisfactory to the Company confirming that an exemption from such registration is available for such sale 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The Subscriber understands that the Securities have not been registered under the Securities Act by reason of a claimed exemption under the provisions of the Securities Act which depends, in part, upon his, her or its investment intention. The Subscriber realizes that, in the view of the SEC, a purchase now with the intention to distribute would represent a purchase with an intention inconsistent with his, her or its representation to the Company, and the SEC might regard such a distribution as a deferred sale to which such exemption is not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Subscriber understands the Securities are being offered in a transaction not involving a public offering within the meaning of the Securities Act. Subscriber understands the Securities will be “restricted securities” within the meaning of Rule 144(a)(3) under the Securities Act and Subscriber understands that the certificates or book-entries representing the Securities will contain a legend in respect of such restrictions. If in the future the Subscriber decides to offer, resell, pledge or otherwise transfer the Securities, such Securities may be offered, resold, pledged or otherwise transferred only pursuant to: (i) registration under the Securities Act, or (ii) an available exemption from registration. Subscriber agrees that if any transfer of its Securities or any interest therein is proposed to be made, as a condition precedent to any such transfer, Subscriber may be required to deliver to the Company an opinion of counsel satisfactory to the Company. Absent registration or an exemption, the Subscriber agrees not to resell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The Subscriber acknowledges and consents to the placement of one or more legends on any certificate or other document evidencing his, her or Securities, stating that they have not been registered under the Securities Act, substantially in the form as set forth below and setting forth or referring to the restrictions on the transferability and sale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REPRESENTED HEREBY HAVE NOT BEEN REGISTERED WITH THE SECURITIES AND EXCHANGE COMMISSION OR THE SECURITIES COMMISSION OF ANY STATE IN RELIANCE UPON AN EXEMPTION FROM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The Subscriber understands that the Company will review this Subscription Agreement and the Investor Questionnaire and agrees that the Company reserves the unrestricted right to reject or limit any subscription and to close the Offering pursuant to the terms of the Offering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The Subscriber hereby represents that the address of the Subscriber furnished by him, her or it at the signature page of this Subscription Agreement and in the Investor Questionnaire is the Subscriber’s principal residence if the Subscriber is an individual or its principal business address if the Subscriber is a corporation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The Subscriber acknowledges that if the Subscriber is a Registered Representative of a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member firm, the Subscriber must give such firm the notice required by the FINRA Conduct Rules, or any applicable successor rules of the FINRA, receipt of which must be acknowledged by such firm on the signature page hereof. The Subscriber shall also notify the Company if the Subscriber or any affiliate of Subscriber is a registered broker-dealer with the SEC, in which case the Subscriber represents that the Subscriber is purchasing the Securities in the ordinary course of business and, at the time of purchase of the Securities, has no agreements or understandings, directly or indirectly, with any person to distribute the Securities or any portion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The Subscriber hereby represents that, except as set forth in the Offering Documents, no representations or warranties have been made to the Subscriber by either the Company or its agents, employees or affiliates and in entering into this transaction, the Subscriber is not relying on any information, other than that contained in the Offering Documents and the results of independent investigation by the Subscriber.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The Subscriber agrees that he, she or it will purchase the Securities in the Offering only if his, her or its intent at such time is to make such purchase for investment purposes and not with a view toward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If the Subscriber is a partnership, corporation, trust or other entity, such partnership, corporation, trust or other entity further represents and warrants that: (i) it was not formed for the purpose of investing in the Company; (ii) it is authorized and otherwise duly qualified to purchase and hold the Securities; and (iii) that this Subscription Agreement has been duly and validly authorized, executed and delivered and constitutes the legal, binding and enforceable obligation of the Subscriber.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If the Subscriber is not a United States person, such Subscriber hereby represents that he, she or it has satisfied himself/herself/itself as to the full observance of the laws of its jurisdiction in connection with any invitation to subscribe for the Securities or any use of this Subscription Agreement, including (i) the legal requirements within his/her/its jurisdiction for the purchase of the Securities, (ii) any foreign exchange restrictions applicable to such purchase, (iii) any governmental or other consents that may need to be obtained, and (iv) the income tax and other tax consequences, if any, that may be relevant to the purchase, holding, redemption, sale or transfer of the Securities. Such Subscriber’s subscription and payment for, and his, her or its continued beneficial ownership of the Securities, will not violate any applicable securities or other laws of the Subscriber’s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The Subscriber acknowledges that (i) the Offering Documents contain material, non-public information concerning the Company, and (ii) the Subscriber is obtaining such material, non-public information solely for the purpose of considering whether to purchase the Securities pursuant to a private placement that is exempt from registration under the Act. The Subscriber agrees to keep such information confidential and not to disclose it to any other person or entity except the Subscriber’s legal counsel, advisors and other representatives who have agreed (i) to keep such information confidential, (ii) to use such information only for the purpose set forth above, and (iii) to comply with applicable securities laws with respect to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The Subscriber agrees to indemnify and hold harmless the Company and its officers, directors, employees and affiliates and each other person, if any, who controls any of the foregoing, against any loss, liability, claim, damage and expense whatsoever (including, but not limited to, any and all expenses whatsoever reasonably incurred in investigating, preparing or defending against any litigation commenced or threatened or any claim whatsoever) arising out of or based upon any false representation or warranty by the Subscriber, or the Subscriber’s breach of, or failure to comply with, any covenant or agreement made by the Subscriber herein or in any other document furnished by the Subscriber to the Company or its respective officers, directors, employees or affiliates or each other person, if any, who controls any of the foregoing in connection with this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The Subscriber understands and acknowledges that (i) the Securities are being offered and sold to the Subscriber without registration under the Securities Act in a private placement that is exempt pursuant to Section 4(a)(2) of the Securities Act and/or Rule 506(b) of Regulation D promulgated thereunder; and (ii) the availability of such exemption depends in part on, and that the Company will rely upon the accuracy and truthfulness of, the foregoing representations made by the Subscriber, and such Subscriber hereby consents to such reliance.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The Subscriber understands and acknowledges that he, she or it will at all times be in compliance with any and all state and federal securities and other laws, statutes and regulations regarding his, her or its ownership and/or any sale, transfer or hypothecation of the Securities including but not limited to those rules and regulations promulgated by the SEC, FINRA and any exchange on which the Company’s securities are listed, if applicable, and those of federal and state governments and other agencies such as improper short selling of the Company’s securities and failure to properly file all documents required by the SEC or otherwise, to the extent such rules and regulations are applicable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The Subscriber understands and agrees that an investment in the Securities involves special risks, and the undersigned understands those risks (including without limitation the risks set forth in the Offering Documents), and the Subscriber is expressly assuming such risks. The Subscriber acknowledges and is aware that the Securities are speculative investments which involve a high degree of risk of loss by the Subscriber of his, her or its entire investment in the Company. The Subscriber agrees and acknowledges that it is the Subscriber’s sole responsibility to conduct a “due diligence” investigation of the Company and the financial prospects of the Company. The Subscriber has not relied on the Company for due diligence or suitability or investment recommendations.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i w:val="false"/>
          <w:caps w:val="false"/>
          <w:smallCaps w:val="false"/>
          <w:sz w:val="20"/>
        </w:rPr>
        <w:t>The Subscriber should check the Office of Foreign Assets Control (“</w:t>
      </w:r>
      <w:r>
        <w:rPr>
          <w:rFonts w:ascii="Times New Roman;Times;Serif" w:hAnsi="Times New Roman;Times;Serif"/>
          <w:b/>
          <w:i w:val="false"/>
          <w:caps w:val="false"/>
          <w:smallCaps w:val="false"/>
          <w:sz w:val="20"/>
          <w:u w:val="single"/>
        </w:rPr>
        <w:t>OFAC</w:t>
      </w:r>
      <w:r>
        <w:rPr>
          <w:rFonts w:ascii="Times New Roman;Times;Serif" w:hAnsi="Times New Roman;Times;Serif"/>
          <w:b/>
          <w:i w:val="false"/>
          <w:caps w:val="false"/>
          <w:smallCaps w:val="false"/>
          <w:sz w:val="20"/>
        </w:rPr>
        <w:t>”) website at http://www.treas.gov/ofac before making the following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Subscriber represents that the amounts invested by him, her or it in the Company in the Offering were not and are not directly or indirectly derived from activities that contravene federal, state or international laws and regulations, including anti-money laundering laws and regulations. Federal regulations and Executive Orders administered by OFAC prohibit, among other things, the engagement in transactions with, and the provision of services to, certain foreign countries, territories, entities and individuals. The lists of OFAC prohibited countries, territories, persons and entities can be found on the OFAC website at http://www.treas.gov/ofac. In addition, the programs administered by OFAC (the “</w:t>
      </w:r>
      <w:r>
        <w:rPr>
          <w:rFonts w:ascii="Times New Roman;Times;Serif" w:hAnsi="Times New Roman;Times;Serif"/>
          <w:b w:val="false"/>
          <w:i w:val="false"/>
          <w:caps w:val="false"/>
          <w:smallCaps w:val="false"/>
          <w:sz w:val="20"/>
          <w:u w:val="single"/>
        </w:rPr>
        <w:t>OFAC Programs</w:t>
      </w:r>
      <w:r>
        <w:rPr>
          <w:rFonts w:ascii="Times New Roman;Times;Serif" w:hAnsi="Times New Roman;Times;Serif"/>
          <w:b w:val="false"/>
          <w:i w:val="false"/>
          <w:caps w:val="false"/>
          <w:smallCaps w:val="false"/>
          <w:sz w:val="20"/>
        </w:rPr>
        <w:t>”) prohibit dealing with individuals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or entities in certain countries regardless of whether such individuals or entities appear on the OFAC 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best of the Subscriber’s knowledge, none of: (1) the Subscriber; (2) any person controlling or controlled by the Subscriber; (3) if the Subscriber is a privately-held entity, any person having a beneficial interest in the Subscriber; or (4) any person for whom the Subscriber is acting as agent or nominee in connection with this investment is a country, territory, individual or entity named on an OFAC list, or a person or entity prohibited under the OFAC Programs. The Subscriber understands that the Company may not accept any amounts from a prospective investor if such prospective investor cannot make the representation set forth in the preceding paragraph. The Subscriber agrees to promptly notify the Company should the Subscriber become aware of any change in the information set forth in these representations. The Subscriber understands and acknowledges that, by law, the Company may be obligated to “freeze the account” of the Subscriber, either by prohibiting additional subscriptions from the Subscriber, declining any redemption requests and/or segregating the assets in the account in compliance with governmental regulations, and may also be required to report such action and to disclose the Subscriber’s identity to OFAC. The Subscriber further acknowledges that the Company may, by written notice to the Subscriber, suspend the redemption rights, if any, of the Subscriber if the Company reasonably deems it necessary to do so to comply with anti-money laundering regulations applicable to the Company or any of the Company’s other service providers. These individuals include specially designated nationals, specially designated narcotics traffickers and other parties subject to OFAC sanctions and embargo programs.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best of the Subscriber’s knowledge, none of: (1) the Subscriber; (2) any person controlling or controlled by the Subscriber; (3) if the Subscriber is a privately-held entity, any person having a beneficial interest in the Subscriber; or (4) any person for whom the Subscriber is acting as agent or nominee in connection with this investment is a senior foreign political figure,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or any immediate family</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member or close associate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of a senior foreign political figure, as such terms are defined in the footnotes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sz w:val="20"/>
              </w:rPr>
            </w:pPr>
            <w:r>
              <w:rPr>
                <w:sz w:val="20"/>
              </w:rPr>
              <w:t>These individuals include specially designated nationals, specially designated narcotics traffickers and other parties subject to OFAC sanctions and embargo programs.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10042" w:type="dxa"/>
            <w:tcBorders/>
            <w:vAlign w:val="center"/>
          </w:tcPr>
          <w:p>
            <w:pPr>
              <w:pStyle w:val="TableContents"/>
              <w:bidi w:val="0"/>
              <w:spacing w:before="0" w:after="283"/>
              <w:jc w:val="both"/>
              <w:rPr>
                <w:sz w:val="20"/>
              </w:rPr>
            </w:pPr>
            <w:r>
              <w:rPr>
                <w:sz w:val="20"/>
              </w:rPr>
              <w:t>A “senior foreign political figure” is defined as a senior official in the executive, legislative, administrative, military or judicial branches of a foreign government (whether elected or not), a senior official of a major foreign political party, or a senior executive of a foreign government-owned corporation. In addition, a “senior foreign political figure” includes any corporation, business or other entity that has been formed by, or for the benefit of, a senior foreign political figure.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10042" w:type="dxa"/>
            <w:tcBorders/>
            <w:vAlign w:val="center"/>
          </w:tcPr>
          <w:p>
            <w:pPr>
              <w:pStyle w:val="TableContents"/>
              <w:bidi w:val="0"/>
              <w:spacing w:before="0" w:after="283"/>
              <w:jc w:val="both"/>
              <w:rPr/>
            </w:pPr>
            <w:r>
              <w:rPr/>
              <w:t>“</w:t>
            </w:r>
            <w:r>
              <w:rPr>
                <w:sz w:val="20"/>
              </w:rPr>
              <w:t>Immediate family” of a senior foreign political figure typically includes the figure’s parents, siblings, spouse, children and in-laws.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10042" w:type="dxa"/>
            <w:tcBorders/>
            <w:vAlign w:val="center"/>
          </w:tcPr>
          <w:p>
            <w:pPr>
              <w:pStyle w:val="TableContents"/>
              <w:bidi w:val="0"/>
              <w:spacing w:before="0" w:after="283"/>
              <w:jc w:val="both"/>
              <w:rPr>
                <w:sz w:val="20"/>
              </w:rPr>
            </w:pPr>
            <w:r>
              <w:rPr>
                <w:sz w:val="20"/>
              </w:rPr>
              <w:t>A “close associate” of a senior foreign political figure is a person who is widely and publicly known to maintain an unusually close relationship with the senior foreign political figure and includes a person who is in a position to conduct substantial domestic and international financial transactions on behalf of the senior foreign political figure.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215"/>
        <w:gridCol w:w="5015"/>
      </w:tblGrid>
      <w:tr>
        <w:trPr/>
        <w:tc>
          <w:tcPr>
            <w:tcW w:w="215" w:type="dxa"/>
            <w:tcBorders/>
            <w:vAlign w:val="center"/>
          </w:tcPr>
          <w:p>
            <w:pPr>
              <w:pStyle w:val="TableContents"/>
              <w:bidi w:val="0"/>
              <w:spacing w:before="0" w:after="283"/>
              <w:jc w:val="left"/>
              <w:rPr>
                <w:b/>
              </w:rPr>
            </w:pPr>
            <w:r>
              <w:rPr>
                <w:b/>
              </w:rPr>
              <w:t>3.</w:t>
            </w:r>
          </w:p>
        </w:tc>
        <w:tc>
          <w:tcPr>
            <w:tcW w:w="5015" w:type="dxa"/>
            <w:tcBorders/>
            <w:vAlign w:val="center"/>
          </w:tcPr>
          <w:p>
            <w:pPr>
              <w:pStyle w:val="TableContents"/>
              <w:bidi w:val="0"/>
              <w:spacing w:before="0" w:after="283"/>
              <w:jc w:val="left"/>
              <w:rPr>
                <w:b/>
                <w:u w:val="single"/>
              </w:rPr>
            </w:pPr>
            <w:r>
              <w:rPr>
                <w:b/>
                <w:u w:val="single"/>
              </w:rPr>
              <w:t>Representations and Covenants by the Company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the Subscriber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and Authority</w:t>
      </w:r>
      <w:r>
        <w:rPr>
          <w:rFonts w:ascii="Times New Roman;Times;Serif" w:hAnsi="Times New Roman;Times;Serif"/>
          <w:b w:val="false"/>
          <w:i w:val="false"/>
          <w:caps w:val="false"/>
          <w:smallCaps w:val="false"/>
          <w:sz w:val="20"/>
        </w:rPr>
        <w:t>. The Company is a corporation duly formed, validly existing and in good standing under the laws of the State of Delaware. The Company has all requisite corporate power and authority to execute, deliver and perform its obligations under this Subscription Agreement and the Offering Documents being executed and delivered by it in connection herewith, and to consummate the transactions contemplated hereby and thereby. The Company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have a material adverse effect on the Company or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Offering Documents have been duly and validly authorized by the Company. This Subscription Agreement, assuming due execution and delivery by the Subscriber, when the Subscription Agreement is executed and delivered by the Company, will be, valid and binding obligations of the Company, enforceable in accordance with their respective terms, except as the enforceability hereof and thereof may be limited by bankruptcy, insolvency, reorganization, moratorium or other similar laws now or hereafter in effect relating to or affecting creditors’ rights generally and general principles of equity, regardless of whether enforcement is considered in a proceeding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Securities are duly authorized and, when issued and paid for in accordance with the applicable Offering Documents, will be duly and validly issued, fully paid and nonassessable, free and clear of all liens imposed by the Company. The Company shall reserve from its duly authorized capital stock the maximum aggregate number of shares of Common Stock then issued or potentially issuable in the future pursuant to the Offering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The execution and delivery of the Offering Documents by the Company and the issuance of the Securities as contemplated by the Offering Documents do not and will not, with or without the giving of notice or the lapse of time, or both, (i) result in any violation of any provision of the articles of incorporation or by-laws or similar instruments of the Company or its subsidiaries, (ii) violate or contravene any applicable law, rule or regulation or any applicable decree, judgment or order of any court, United States federal or state regulatory body, administrative agency or other governmental body having jurisdiction over the Company or any of its subsidiaries or any of its respective properties or assets that would have a material adverse effect on the business, properties, operations, condition (financial or other), results of operations or prospects of the Company and its subsidiaries, taken as a whole, or the validity or enforceability of, or the ability of the Company to perform its obligations under, the Offering Documents, or (iii) have any material adverse effect on any permit, certification, registration, approval, consent, license or franchise necessary for the Company or its subsidiaries to own or lease and operate any of its properties and to conduct any of its business or the ability of the Company or its subsidiaries to make use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Company is not required to obtain any consent from, authorization or order of, or make any filing or registration with, any Governmental Entity (as defined below) or any regulatory or self-regulatory agency or any other Person in order for it to execute, deliver or perform any of its respective obligations under or contemplated by the Offering Documents, in each case, in accordance with the terms hereof or thereof (other than (i) the filing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of (A) one or more registration statements in accordance with the requirements of the Registration Rights Agreement, and (B) a Form D and any applicable filings as may be required by any state securities agencies that may be made following the execution and delivery of the Offering Documents and the consummation of the transactions contemplated thereby). “Governmental Entity”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The Company has timely filed all SEC Reports (as defined below); reports filed in compliance with the time periods specified in Rule 12b-25 promulgated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be considered timely for this purpose. As of their respective dates, the SEC Reports complied in all material respects with the requirements of the Exchange Act and the rules and regulations of the SEC promulgated thereunder applicable to the SEC Reports, and none of the SEC Reports,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Reports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currently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The Company is not currently contemplating to amend or restate any of the financial statements (including, without limitation, any notes or any letter of the independent accountants of the Company with respect thereto) included in the SEC Reports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 “SEC Reports” means (a) the Company’s most recently filed Annual Report on Form 10-K and (b) all Quarterly Reports on Form 10-Q or Current Reports on Form 8-K filed or furnished (as applicable) by the Company following the end of the most recent fiscal year for which an Annual Report on Form 10-K has been filed and prior to the execution of this Subscription Agreement, together in each case with any documents incorporated by reference therein and exhibits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Registration of Securities</w:t>
      </w:r>
      <w:r>
        <w:rPr>
          <w:rFonts w:ascii="Times New Roman;Times;Serif" w:hAnsi="Times New Roman;Times;Serif"/>
          <w:b w:val="false"/>
          <w:i w:val="false"/>
          <w:caps w:val="false"/>
          <w:smallCaps w:val="false"/>
          <w:sz w:val="20"/>
        </w:rPr>
        <w:t>. The Company is eligible to register the Registrable Securities (defined in the RRA) for resale by the Subscribers using Form S-3 promulgated under the 1933 Act.</w:t>
      </w:r>
    </w:p>
    <w:p>
      <w:pPr>
        <w:pStyle w:val="TextBody"/>
        <w:bidi w:val="0"/>
        <w:spacing w:before="0" w:after="0"/>
        <w:ind w:left="0" w:right="0" w:hanging="0"/>
        <w:jc w:val="both"/>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15"/>
        <w:gridCol w:w="860"/>
      </w:tblGrid>
      <w:tr>
        <w:trPr/>
        <w:tc>
          <w:tcPr>
            <w:tcW w:w="215" w:type="dxa"/>
            <w:tcBorders/>
            <w:vAlign w:val="center"/>
          </w:tcPr>
          <w:p>
            <w:pPr>
              <w:pStyle w:val="TableContents"/>
              <w:bidi w:val="0"/>
              <w:spacing w:before="0" w:after="283"/>
              <w:jc w:val="left"/>
              <w:rPr>
                <w:b/>
              </w:rPr>
            </w:pPr>
            <w:r>
              <w:rPr>
                <w:b/>
              </w:rPr>
              <w:t>4.</w:t>
            </w:r>
          </w:p>
        </w:tc>
        <w:tc>
          <w:tcPr>
            <w:tcW w:w="860" w:type="dxa"/>
            <w:tcBorders/>
            <w:vAlign w:val="center"/>
          </w:tcPr>
          <w:p>
            <w:pPr>
              <w:pStyle w:val="TableContents"/>
              <w:bidi w:val="0"/>
              <w:spacing w:before="0" w:after="283"/>
              <w:jc w:val="both"/>
              <w:rPr>
                <w:b/>
                <w:u w:val="single"/>
              </w:rPr>
            </w:pPr>
            <w:r>
              <w:rPr>
                <w:b/>
                <w:u w:val="single"/>
              </w:rPr>
              <w:t xml:space="preserve">Closing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substantially concurrent with the execution and delivery of this Subscription Agreement by the parties hereto, the Company agrees to sell, and the Subscriber agrees to purchase the Securities. At the Closing, the Subscriber shall deliver the Existing Notes to the Company to be cancelled in exchange for the Securities, and the Company shall deliver to the Subscriber its Securities. Upon satisfaction of the conditions set forth in Section 4.2 and Section 4.3, the Closing shall occur at such location as the parties shall mutually agree or may be closed remotely by electronic delivery of documents. Effective as of the applicable Closing, the Subscriber agrees that (i) the portion of the Existing Note representing the aggregate purchase price of the Securities to the purchased hereunder shall be automatically converted into the Securities; and (ii) all rights, title and interest arising under said portion of the Existing Note shall be cancelled, released, extinguished and of no further force and effect. If only a portion of the Existing Note is to be cancelled for Securities, the Company shall promptly deliver a replacement Note representing the principal balance of what remains due and outstanding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w:t>
      </w:r>
    </w:p>
    <w:p>
      <w:pPr>
        <w:pStyle w:val="TextBody"/>
        <w:bidi w:val="0"/>
        <w:spacing w:before="0" w:after="0"/>
        <w:ind w:left="839"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each Closing Date, the Company shall deliver or cause to be delivered to the Subscriber the following:</w:t>
      </w:r>
    </w:p>
    <w:p>
      <w:pPr>
        <w:pStyle w:val="TextBody"/>
        <w:bidi w:val="0"/>
        <w:spacing w:before="0" w:after="0"/>
        <w:ind w:left="0" w:right="0" w:hanging="0"/>
        <w:jc w:val="both"/>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23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315" w:type="dxa"/>
            <w:tcBorders/>
            <w:vAlign w:val="center"/>
          </w:tcPr>
          <w:p>
            <w:pPr>
              <w:pStyle w:val="TableContents"/>
              <w:bidi w:val="0"/>
              <w:spacing w:before="0" w:after="283"/>
              <w:jc w:val="both"/>
              <w:rPr/>
            </w:pPr>
            <w:r>
              <w:rPr/>
              <w:t>this Subscription Agreement executed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(ii)</w:t>
            </w:r>
          </w:p>
        </w:tc>
        <w:tc>
          <w:tcPr>
            <w:tcW w:w="9881" w:type="dxa"/>
            <w:tcBorders/>
            <w:vAlign w:val="center"/>
          </w:tcPr>
          <w:p>
            <w:pPr>
              <w:pStyle w:val="TableContents"/>
              <w:bidi w:val="0"/>
              <w:spacing w:before="0" w:after="283"/>
              <w:jc w:val="both"/>
              <w:rPr/>
            </w:pPr>
            <w:r>
              <w:rPr/>
              <w:t>delivery of a statement evidencing book entry of the Securities registered in the name of such Subscriber;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35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900" w:type="dxa"/>
            <w:tcBorders/>
            <w:vAlign w:val="center"/>
          </w:tcPr>
          <w:p>
            <w:pPr>
              <w:pStyle w:val="TableContents"/>
              <w:bidi w:val="0"/>
              <w:spacing w:before="0" w:after="283"/>
              <w:jc w:val="both"/>
              <w:rPr/>
            </w:pPr>
            <w:r>
              <w:rPr/>
              <w:t>the Registration Rights Agreement executed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each Closing Date, the Subscriber shall deliver or cause to be delivered to the Company the following:</w:t>
      </w:r>
    </w:p>
    <w:p>
      <w:pPr>
        <w:pStyle w:val="TextBody"/>
        <w:bidi w:val="0"/>
        <w:spacing w:before="0" w:after="0"/>
        <w:ind w:left="0" w:right="0" w:hanging="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3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630" w:type="dxa"/>
            <w:tcBorders/>
            <w:vAlign w:val="center"/>
          </w:tcPr>
          <w:p>
            <w:pPr>
              <w:pStyle w:val="TableContents"/>
              <w:bidi w:val="0"/>
              <w:spacing w:before="0" w:after="283"/>
              <w:jc w:val="both"/>
              <w:rPr/>
            </w:pPr>
            <w:r>
              <w:rPr/>
              <w:t>This Subscription Agreement executed by such Subscriber;</w:t>
            </w:r>
          </w:p>
        </w:tc>
      </w:tr>
    </w:tbl>
    <w:p>
      <w:pPr>
        <w:pStyle w:val="TextBody"/>
        <w:bidi w:val="0"/>
        <w:spacing w:before="0" w:after="0"/>
        <w:ind w:left="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9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2915" w:type="dxa"/>
            <w:tcBorders/>
            <w:vAlign w:val="center"/>
          </w:tcPr>
          <w:p>
            <w:pPr>
              <w:pStyle w:val="TableContents"/>
              <w:bidi w:val="0"/>
              <w:spacing w:before="0" w:after="283"/>
              <w:jc w:val="both"/>
              <w:rPr/>
            </w:pPr>
            <w:r>
              <w:rPr/>
              <w:t>delivery of the Existing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7"/>
        <w:gridCol w:w="9850"/>
      </w:tblGrid>
      <w:tr>
        <w:trPr/>
        <w:tc>
          <w:tcPr>
            <w:tcW w:w="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283"/>
              <w:jc w:val="both"/>
              <w:rPr/>
            </w:pPr>
            <w:r>
              <w:rPr/>
              <w:t>a duly completed and signed Confidential Investor Questionnaire along with such other duly completed and signed questionnaires as may be requested by the Company; and</w:t>
            </w:r>
          </w:p>
        </w:tc>
      </w:tr>
    </w:tbl>
    <w:p>
      <w:pPr>
        <w:pStyle w:val="TextBody"/>
        <w:bidi w:val="0"/>
        <w:spacing w:before="0" w:after="0"/>
        <w:ind w:left="720" w:right="0" w:hanging="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35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6125" w:type="dxa"/>
            <w:tcBorders/>
            <w:vAlign w:val="center"/>
          </w:tcPr>
          <w:p>
            <w:pPr>
              <w:pStyle w:val="TableContents"/>
              <w:bidi w:val="0"/>
              <w:spacing w:before="0" w:after="283"/>
              <w:jc w:val="both"/>
              <w:rPr/>
            </w:pPr>
            <w:r>
              <w:rPr/>
              <w:t>the Registration Rights Agreement executed by such Subscriber.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each Closing are subject to the following conditions being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283"/>
              <w:jc w:val="both"/>
              <w:rPr/>
            </w:pPr>
            <w:r>
              <w:rPr/>
              <w:t>the accuracy in all material respects on the Closing Date of the representations and warranties of the Subscriber contained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283"/>
              <w:jc w:val="both"/>
              <w:rPr/>
            </w:pPr>
            <w:r>
              <w:rPr/>
              <w:t>all obligations, covenants and agreements of the Subscriber required to be performed at or prior to the Closing Date shall have been performed; and</w:t>
            </w:r>
          </w:p>
        </w:tc>
      </w:tr>
    </w:tbl>
    <w:p>
      <w:pPr>
        <w:pStyle w:val="TextBody"/>
        <w:bidi w:val="0"/>
        <w:spacing w:before="0" w:after="0"/>
        <w:ind w:left="0" w:right="0" w:hanging="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35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8285" w:type="dxa"/>
            <w:tcBorders/>
            <w:vAlign w:val="center"/>
          </w:tcPr>
          <w:p>
            <w:pPr>
              <w:pStyle w:val="TableContents"/>
              <w:bidi w:val="0"/>
              <w:spacing w:before="0" w:after="283"/>
              <w:jc w:val="both"/>
              <w:rPr/>
            </w:pPr>
            <w:r>
              <w:rPr/>
              <w:t>the delivery by the Subscriber of the items set forth in Section 4.2(b)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Subscriber hereunder in connection with each Closing are subject to the following conditions being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pPr>
            <w:r>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(ii)</w:t>
            </w:r>
          </w:p>
        </w:tc>
        <w:tc>
          <w:tcPr>
            <w:tcW w:w="9899" w:type="dxa"/>
            <w:tcBorders/>
            <w:vAlign w:val="center"/>
          </w:tcPr>
          <w:p>
            <w:pPr>
              <w:pStyle w:val="TableContents"/>
              <w:bidi w:val="0"/>
              <w:spacing w:before="0" w:after="283"/>
              <w:jc w:val="both"/>
              <w:rPr/>
            </w:pPr>
            <w:r>
              <w:rPr/>
              <w:t>all obligations, covenants and agreements of the Company required to be performed at or prior to the Closing Date shall have been performed;</w:t>
            </w:r>
          </w:p>
        </w:tc>
      </w:tr>
    </w:tbl>
    <w:p>
      <w:pPr>
        <w:pStyle w:val="TextBody"/>
        <w:bidi w:val="0"/>
        <w:spacing w:before="0" w:after="0"/>
        <w:ind w:left="0" w:right="0" w:hanging="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35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9800" w:type="dxa"/>
            <w:tcBorders/>
            <w:vAlign w:val="center"/>
          </w:tcPr>
          <w:p>
            <w:pPr>
              <w:pStyle w:val="TableContents"/>
              <w:bidi w:val="0"/>
              <w:spacing w:before="0" w:after="283"/>
              <w:jc w:val="both"/>
              <w:rPr/>
            </w:pPr>
            <w:r>
              <w:rPr/>
              <w:t>the delivery by the Company of the items set forth in section 4.2(a) of this Subscription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35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9320" w:type="dxa"/>
            <w:tcBorders/>
            <w:vAlign w:val="center"/>
          </w:tcPr>
          <w:p>
            <w:pPr>
              <w:pStyle w:val="TableContents"/>
              <w:bidi w:val="0"/>
              <w:spacing w:before="0" w:after="283"/>
              <w:jc w:val="both"/>
              <w:rPr/>
            </w:pPr>
            <w:r>
              <w:rPr/>
              <w:t>there shall have been no material adverse effect with respect to the Company since the date hereof.</w:t>
            </w:r>
          </w:p>
        </w:tc>
      </w:tr>
    </w:tbl>
    <w:p>
      <w:pPr>
        <w:pStyle w:val="TextBody"/>
        <w:bidi w:val="0"/>
        <w:spacing w:before="0" w:after="0"/>
        <w:ind w:left="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15"/>
        <w:gridCol w:w="1445"/>
      </w:tblGrid>
      <w:tr>
        <w:trPr/>
        <w:tc>
          <w:tcPr>
            <w:tcW w:w="215" w:type="dxa"/>
            <w:tcBorders/>
            <w:vAlign w:val="center"/>
          </w:tcPr>
          <w:p>
            <w:pPr>
              <w:pStyle w:val="TableContents"/>
              <w:bidi w:val="0"/>
              <w:spacing w:before="0" w:after="283"/>
              <w:jc w:val="left"/>
              <w:rPr>
                <w:b/>
              </w:rPr>
            </w:pPr>
            <w:r>
              <w:rPr>
                <w:b/>
              </w:rPr>
              <w:t>5.</w:t>
            </w:r>
          </w:p>
        </w:tc>
        <w:tc>
          <w:tcPr>
            <w:tcW w:w="1445" w:type="dxa"/>
            <w:tcBorders/>
            <w:vAlign w:val="center"/>
          </w:tcPr>
          <w:p>
            <w:pPr>
              <w:pStyle w:val="TableContents"/>
              <w:bidi w:val="0"/>
              <w:spacing w:before="0" w:after="283"/>
              <w:jc w:val="left"/>
              <w:rPr>
                <w:b/>
                <w:u w:val="single"/>
              </w:rPr>
            </w:pPr>
            <w:r>
              <w:rPr>
                <w:b/>
                <w:u w:val="single"/>
              </w:rPr>
              <w:t>Miscellaneous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Any notice or other communication given hereunder shall be deemed sufficient if in writing and sent by registered or certified mail, return receipt requested, addressed to the Company, at CaliberCos Inc., 8901 E. Mountain View Rd. Ste 150, Scottsdale, Arizona, Attention: Ilya Grozovsky, and to the Subscriber at his, her or its address indicated on the signature page of this Subscription Agreement. Notices shall be deemed to have been given three (3) business days after the date of mailing, except notices of change of address, which shall be deemed to have been given when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This Subscription Agreement may be amended through a written instrument signed by both the Subscriber and the Company; provided, however, that the terms of this Subscription Agreement may be amended without the consent or approval of the Subscriber so long as such amendment applies in the same fashion to the subscription agreements of all of the other subscribers for the Securities in the Offering and at least holders of a majority of the Securities sold in the Offering have given their approval of such amendment, which approval shall be binding on all holders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This Subscription Agreement shall be binding upon and inure to the benefit of the parties hereto and to their respective heirs, legal representatives, successors and assigns. This Subscription Agreement sets forth the entire agreement and understanding between the parties as to the subject matter hereof and merges and supersedes all prior discussions, agreements and understandings of any and every nature among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This Subscription Agreement shall be construed in accordance with the laws of the State of Delaware, without regard to principles of conflicts of law. The parties hereunder agree that any dispute arising out of or relating to an investment pursuant to this Subscription Agreement or concerning this Subscription Agreement, including but not limited to disputes as to arbitrability and all disputes with the Company, or any employee, agent, representative, officer, director or attorney of the Company, shall be resolved through final, binding, non-appealable arbitration, before a single, neutral arbitrator, at JAMS, in Scottsdale, Arizona in accordance with the rules and regulations of the American Arbitration Association. Venue of all arbitration shall be JAMS Dispute Resolution Center, Scottsdale, Arizona. The Parties agree that each side will pay fifty percent (50%) of the cost of any arbitration proceedings. Judgment on any arbitration award may be entered in any court having jurisdiction. Any arbitration award shall be in United States Dollars and may be enforced in any jurisdiction in which the party against whom enforcement is sought maintains assets. The Parties agree to limit their respective testimony at any arbitration hearing to three hours per side. SUBSCRIBER HEREBY WAIVES ANY RIGHT TO SEEK ANY TYPE OF DAMAGES OTHER THAN COMPENSATORY DAMAGES, INCLUDING BUT NOT LIMITED TO CONSEQUENTIAL DAMAGES AND PUNITIVE DAMAGES. SUBSCRIBER HEREBY FURTHER WAIVES THE RIGHT TO A TRIAL BY JURY, THE RIGHT TO BRING A CLASS ACTION SUIT, AND OTHER POTENTIAL REMEDIES THAT OTHERWISE MAY BE AFFORDED BY LAW. THIS IS A CLASS ACTION WAIVER THAT APPLIES TO ALL DISPUTES ARISING OUT OF THIS INVESTMENT, INCLUDING BUT NOT LIMITED TO ANY DISPUTES WITH THE COMPANY AND ALL OF ITS EMPLOYEES, AGENTS, REPRESENTATIVES, OFFICERS, DIRECTORS, OR ATTORNEYS.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This Subscription Agreement may be executed in counterparts. It shall not be binding upon the Company unless and until it is accepted by the Company. Upon the execution and delivery of this Subscription Agreement by the Subscriber, this Subscription Agreement shall become a binding obligation of the Subscriber with respect to the purchase of Securities as herein provided; subject, however, to the right hereby reserved to the Company to enter into the same agreements with other subscribers and to add and/or to delete other persons as subscribers. This Subscription Agreement may be executed and delivered by facsimile or by email with scanned copy.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The holding of any provision of this Subscription Agreement to be invalid or unenforceable by a court of competent jurisdiction shall not affect any other provision of this Subscription Agreement, which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It is agreed that a waiver by either party of a breach of any provision of this Subscription Agreement shall not operate, or be construed, as a waiver of any subsequent breach by that same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The parties agree to execute and deliver all such further documents, agreements and instruments and take such other and further action as may be necessary or appropriate to carry out the purposes and intent of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The Company agrees not to disclose the names, addresses or any other information about the Subscriber, except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The obligation of the Subscriber hereunder is several and not joint with the obligations of any other subscribers for the purchase of Securities in the Offering (the “</w:t>
      </w:r>
      <w:r>
        <w:rPr>
          <w:rFonts w:ascii="Times New Roman;Times;Serif" w:hAnsi="Times New Roman;Times;Serif"/>
          <w:b w:val="false"/>
          <w:i w:val="false"/>
          <w:caps w:val="false"/>
          <w:smallCaps w:val="false"/>
          <w:sz w:val="20"/>
          <w:u w:val="single"/>
        </w:rPr>
        <w:t>Other Subscribers</w:t>
      </w:r>
      <w:r>
        <w:rPr>
          <w:rFonts w:ascii="Times New Roman;Times;Serif" w:hAnsi="Times New Roman;Times;Serif"/>
          <w:b w:val="false"/>
          <w:i w:val="false"/>
          <w:caps w:val="false"/>
          <w:smallCaps w:val="false"/>
          <w:sz w:val="20"/>
        </w:rPr>
        <w:t>”), and the Subscriber shall not be responsible in any way for the performance of the obligations of any Other Subscribers of the Offering. Nothing contained herein or in any other agreement or document delivered at the closing, and no action taken by the Subscriber pursuant hereto, shall be deemed to constitute the Subscriber and the Other Subscribers of the Offering as a partnership, an association, a joint venture or any other kind of entity, or create a presumption that the Subscriber and the Other Subscribers of the Offering are in any way acting in concert with respect to such obligations or the transactions contemplated by this Subscription Agreement. The Subscriber shall be entitled to protect and enforce the Subscriber’s rights, including without limitation the rights arising out of this Subscription Agreement, and it shall not be necessary for any other subscriber(s) of the Offering to be joined as an additional party in any proceeding for such purpose. The Subscriber is not acting as part of a “group” (as that term is used in Section 13(d) of the Exchange Act) in negotiating and entering into this Subscription Agreement or purchasing, disposing of or voting any of the Securities. The Company hereby confirms that it understands and agrees that the Subscriber is not acting as part of any such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The language used in this Subscription Agreement will be deemed to be the language chosen by the Parties to express their mutual intent, and no rules of strict construction will be applied against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QUESTIONNAIRE AND SIGNATURE PAGE FOLLOWS</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instructed otherwise, the Investor should answer each question on the Questionnaire. If the answer to a particular question is “None” or “Not Applicable,” please so state. If the Questionnaire does not provide sufficient space to answer a question, please attach a separate schedule to your executed Questionnaire that indicates which question is being answered thereon. Persons having questions concerning any of the information requested in this Questionnaire should consult with their purchaser representative or representatives, lawyer, accountant or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 - FOR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Residence Address: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Address: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residence, if different: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Residence__________ Business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 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 all correspondence to: Residence__________ Business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 Investor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qualified to invest in the Securities, the Investor must either (i) be an Accredited Investor, or (ii) have, either alone or with your purchaser representative or representatives, such knowledge and experience in financial and business matters that you are capable of evaluating the merits and risks of such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check the appropriate representation that applies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Accredited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_________I am an Accredited Investor (as defined in Rule 501 of Regulation D promulgated under the Securities Act) because I certify that (check all appropriate descriptions that apply):</w:t>
      </w:r>
    </w:p>
    <w:p>
      <w:pPr>
        <w:pStyle w:val="TextBody"/>
        <w:bidi w:val="0"/>
        <w:spacing w:before="0" w:after="0"/>
        <w:ind w:left="0" w:right="0" w:firstLine="1033"/>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a.</w:t>
            </w:r>
          </w:p>
        </w:tc>
        <w:tc>
          <w:tcPr>
            <w:tcW w:w="10035" w:type="dxa"/>
            <w:tcBorders/>
            <w:vAlign w:val="center"/>
          </w:tcPr>
          <w:p>
            <w:pPr>
              <w:pStyle w:val="TableContents"/>
              <w:bidi w:val="0"/>
              <w:spacing w:before="0" w:after="283"/>
              <w:jc w:val="both"/>
              <w:rPr>
                <w:sz w:val="20"/>
              </w:rPr>
            </w:pPr>
            <w:r>
              <w:rPr>
                <w:sz w:val="20"/>
              </w:rPr>
              <w:t>______________ I have a net worth, or joint net worth with my spouse or spousal equivalent, of more than US$1,000,000. (“Net worth” means the excess of total assets at fair market value (including personal and real property but excluding the estimated fair market value of your primary home) over total liabilities. “Total liabilities” excludes any mortgage on the primary home in an amount of up to the home’s estimated fair market value as long as the mortgage was incurred more than 60 days before the Securities are purchased, but includes (i) any mortgage amount in excess of the home’s fair market value and (ii) any mortgage amount that was borrowed during the 60-day period before the closing date for the sale of the Securities for the purpose of investing in the Securities. “Spousal equivalent” means a cohabitant occupying a relationship generally equivalent to that of a spouse. “Joint net worth” is the aggregate net worth of a person and spouse or spousal equivalent; assets do not need to be held jointly to be included in the calculation.)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b.</w:t>
            </w:r>
          </w:p>
        </w:tc>
        <w:tc>
          <w:tcPr>
            <w:tcW w:w="10020" w:type="dxa"/>
            <w:tcBorders/>
            <w:vAlign w:val="center"/>
          </w:tcPr>
          <w:p>
            <w:pPr>
              <w:pStyle w:val="TableContents"/>
              <w:bidi w:val="0"/>
              <w:spacing w:before="0" w:after="283"/>
              <w:jc w:val="both"/>
              <w:rPr>
                <w:sz w:val="20"/>
              </w:rPr>
            </w:pPr>
            <w:r>
              <w:rPr>
                <w:sz w:val="20"/>
              </w:rPr>
              <w:t>______________ I have had an individual income in excess of US$200,000 in each of the two most recent calendar years, or joint income with my spouse or spousal equivalent in excess of US$300,000 in each of those years and have a reasonable expectation of reaching the same income level in the current calendar year. (“Income” means annual adjusted gross income, as reported for federal income tax purposes, plus (i) the amount of any tax-exempt interest income received; (ii) the amount of losses claimed as a limited partner in a limited partnership; (iii) any deduction claimed for depletion; (iv) amounts contributed to an IRA or Keogh retirement plan; (v) alimony paid; and (vi) any gains excluded from the calculation of adjusted gross income pursuant to the provisions of Section 1202 of the U.S. Internal Revenue Code of 1986,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c.</w:t>
            </w:r>
          </w:p>
        </w:tc>
        <w:tc>
          <w:tcPr>
            <w:tcW w:w="10035" w:type="dxa"/>
            <w:tcBorders/>
            <w:vAlign w:val="center"/>
          </w:tcPr>
          <w:p>
            <w:pPr>
              <w:pStyle w:val="TableContents"/>
              <w:bidi w:val="0"/>
              <w:spacing w:before="0" w:after="283"/>
              <w:jc w:val="both"/>
              <w:rPr>
                <w:sz w:val="20"/>
              </w:rPr>
            </w:pPr>
            <w:r>
              <w:rPr>
                <w:sz w:val="20"/>
              </w:rPr>
              <w:t>______________ I hold in good standing one of the following professional licenses: the General Securities Representative license (Series 7), the Private Securities Offerings Representative license (Series 82), or the Investment Adviser Representative license (Series 65).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d.</w:t>
            </w:r>
          </w:p>
        </w:tc>
        <w:tc>
          <w:tcPr>
            <w:tcW w:w="10020" w:type="dxa"/>
            <w:tcBorders/>
            <w:vAlign w:val="center"/>
          </w:tcPr>
          <w:p>
            <w:pPr>
              <w:pStyle w:val="TableContents"/>
              <w:bidi w:val="0"/>
              <w:spacing w:before="0" w:after="283"/>
              <w:jc w:val="both"/>
              <w:rPr>
                <w:sz w:val="20"/>
              </w:rPr>
            </w:pPr>
            <w:r>
              <w:rPr>
                <w:sz w:val="20"/>
              </w:rPr>
              <w:t>______________ I am a director, executive officer or general partner of the Company, or a director, executive officer or general partner of a general partner of the Company. (For purposes of this item 2, “executive officer” means the president; any vice president in charge of a principal business unit, division or function, such as sales, administration or finance; or any other person or persons who perform(s) similar policymaking functions for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II-PURCHASERS WHO ARE NOT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 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Entity: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Office: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Organization: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and State of Organization: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 Accredited Investor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qualified to invest in the Securities, the Investor must either (i) be an Accredited Investor, or (ii) have, and if applicable, its officers, employees, directors or equity owners have, either alone or with its purchaser representative or representatives, such knowledge and experience in financial and business matters that it is capable of evaluating the merits and risks of such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check the appropriate description which applies to you.</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a.</w:t>
            </w:r>
          </w:p>
        </w:tc>
        <w:tc>
          <w:tcPr>
            <w:tcW w:w="10035" w:type="dxa"/>
            <w:tcBorders/>
            <w:vAlign w:val="center"/>
          </w:tcPr>
          <w:p>
            <w:pPr>
              <w:pStyle w:val="TableContents"/>
              <w:bidi w:val="0"/>
              <w:spacing w:before="0" w:after="283"/>
              <w:jc w:val="both"/>
              <w:rPr>
                <w:sz w:val="20"/>
              </w:rPr>
            </w:pPr>
            <w:r>
              <w:rPr>
                <w:sz w:val="20"/>
              </w:rPr>
              <w:t>_____________ A bank, as defined in Section 3(a)(2) of the Securities Act or any savings and loan association or other institution as defined in Section 3(a)(5)(A) of the Securities Act, whether acting in an individual or a fiduciary capacity.</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185"/>
        <w:gridCol w:w="9455"/>
      </w:tblGrid>
      <w:tr>
        <w:trPr/>
        <w:tc>
          <w:tcPr>
            <w:tcW w:w="185" w:type="dxa"/>
            <w:tcBorders/>
            <w:vAlign w:val="center"/>
          </w:tcPr>
          <w:p>
            <w:pPr>
              <w:pStyle w:val="TableContents"/>
              <w:bidi w:val="0"/>
              <w:spacing w:before="0" w:after="283"/>
              <w:jc w:val="left"/>
              <w:rPr>
                <w:sz w:val="20"/>
              </w:rPr>
            </w:pPr>
            <w:r>
              <w:rPr>
                <w:sz w:val="20"/>
              </w:rPr>
              <w:t>b.</w:t>
            </w:r>
          </w:p>
        </w:tc>
        <w:tc>
          <w:tcPr>
            <w:tcW w:w="9455" w:type="dxa"/>
            <w:tcBorders/>
            <w:vAlign w:val="center"/>
          </w:tcPr>
          <w:p>
            <w:pPr>
              <w:pStyle w:val="TableContents"/>
              <w:bidi w:val="0"/>
              <w:spacing w:before="0" w:after="283"/>
              <w:jc w:val="both"/>
              <w:rPr>
                <w:sz w:val="20"/>
              </w:rPr>
            </w:pPr>
            <w:r>
              <w:rPr>
                <w:sz w:val="20"/>
              </w:rPr>
              <w:t>_____________ A broker or dealer registered under Section 15 of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c.</w:t>
            </w:r>
          </w:p>
        </w:tc>
        <w:tc>
          <w:tcPr>
            <w:tcW w:w="10035" w:type="dxa"/>
            <w:tcBorders/>
            <w:vAlign w:val="center"/>
          </w:tcPr>
          <w:p>
            <w:pPr>
              <w:pStyle w:val="TableContents"/>
              <w:bidi w:val="0"/>
              <w:spacing w:before="0" w:after="283"/>
              <w:jc w:val="both"/>
              <w:rPr>
                <w:sz w:val="20"/>
              </w:rPr>
            </w:pPr>
            <w:r>
              <w:rPr>
                <w:sz w:val="20"/>
              </w:rPr>
              <w:t>_____________ An investment adviser registered pursuant to Section 203 of the U.S. Investment Advisers Act of 1940 or registered pursuant to the laws of a state.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d.</w:t>
            </w:r>
          </w:p>
        </w:tc>
        <w:tc>
          <w:tcPr>
            <w:tcW w:w="10020" w:type="dxa"/>
            <w:tcBorders/>
            <w:vAlign w:val="center"/>
          </w:tcPr>
          <w:p>
            <w:pPr>
              <w:pStyle w:val="TableContents"/>
              <w:bidi w:val="0"/>
              <w:spacing w:before="0" w:after="283"/>
              <w:jc w:val="both"/>
              <w:rPr>
                <w:sz w:val="20"/>
              </w:rPr>
            </w:pPr>
            <w:r>
              <w:rPr>
                <w:sz w:val="20"/>
              </w:rPr>
              <w:t>_____________ An investment adviser relying on the exemption from registering with the SEC under Section 203(l) or (m) of the Investment Advisers Act of 1940.</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70"/>
        <w:gridCol w:w="7505"/>
      </w:tblGrid>
      <w:tr>
        <w:trPr/>
        <w:tc>
          <w:tcPr>
            <w:tcW w:w="170" w:type="dxa"/>
            <w:tcBorders/>
            <w:vAlign w:val="center"/>
          </w:tcPr>
          <w:p>
            <w:pPr>
              <w:pStyle w:val="TableContents"/>
              <w:bidi w:val="0"/>
              <w:spacing w:before="0" w:after="283"/>
              <w:jc w:val="left"/>
              <w:rPr>
                <w:sz w:val="20"/>
              </w:rPr>
            </w:pPr>
            <w:r>
              <w:rPr>
                <w:sz w:val="20"/>
              </w:rPr>
              <w:t>e.</w:t>
            </w:r>
          </w:p>
        </w:tc>
        <w:tc>
          <w:tcPr>
            <w:tcW w:w="7505" w:type="dxa"/>
            <w:tcBorders/>
            <w:vAlign w:val="center"/>
          </w:tcPr>
          <w:p>
            <w:pPr>
              <w:pStyle w:val="TableContents"/>
              <w:bidi w:val="0"/>
              <w:spacing w:before="0" w:after="283"/>
              <w:jc w:val="both"/>
              <w:rPr>
                <w:sz w:val="20"/>
              </w:rPr>
            </w:pPr>
            <w:r>
              <w:rPr>
                <w:sz w:val="20"/>
              </w:rPr>
              <w:t>_____________ An insurance company, as defined in Section 2(a)(13)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f.</w:t>
            </w:r>
          </w:p>
        </w:tc>
        <w:tc>
          <w:tcPr>
            <w:tcW w:w="10065" w:type="dxa"/>
            <w:tcBorders/>
            <w:vAlign w:val="center"/>
          </w:tcPr>
          <w:p>
            <w:pPr>
              <w:pStyle w:val="TableContents"/>
              <w:bidi w:val="0"/>
              <w:spacing w:before="0" w:after="283"/>
              <w:jc w:val="both"/>
              <w:rPr>
                <w:sz w:val="20"/>
              </w:rPr>
            </w:pPr>
            <w:r>
              <w:rPr>
                <w:sz w:val="20"/>
              </w:rPr>
              <w:t>_____________ An investment company registered under the Investment Company Act of 1940 or a business development company, as defined in Section 2(a)(48) of that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g.</w:t>
            </w:r>
          </w:p>
        </w:tc>
        <w:tc>
          <w:tcPr>
            <w:tcW w:w="10020" w:type="dxa"/>
            <w:tcBorders/>
            <w:vAlign w:val="center"/>
          </w:tcPr>
          <w:p>
            <w:pPr>
              <w:pStyle w:val="TableContents"/>
              <w:bidi w:val="0"/>
              <w:spacing w:before="0" w:after="283"/>
              <w:jc w:val="both"/>
              <w:rPr>
                <w:sz w:val="20"/>
              </w:rPr>
            </w:pPr>
            <w:r>
              <w:rPr>
                <w:sz w:val="20"/>
              </w:rPr>
              <w:t>_____________ A Small Business Investment Company licensed by the U.S. Small Business Administration under Section 301(c) or (d) of the U.S. Small Business Investment Act of 1958.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sz w:val="20"/>
              </w:rPr>
            </w:pPr>
            <w:r>
              <w:rPr>
                <w:sz w:val="20"/>
              </w:rPr>
              <w:t>h.</w:t>
            </w:r>
          </w:p>
        </w:tc>
        <w:tc>
          <w:tcPr>
            <w:tcW w:w="10020" w:type="dxa"/>
            <w:tcBorders/>
            <w:vAlign w:val="center"/>
          </w:tcPr>
          <w:p>
            <w:pPr>
              <w:pStyle w:val="TableContents"/>
              <w:bidi w:val="0"/>
              <w:spacing w:before="0" w:after="283"/>
              <w:jc w:val="both"/>
              <w:rPr>
                <w:sz w:val="20"/>
              </w:rPr>
            </w:pPr>
            <w:r>
              <w:rPr>
                <w:sz w:val="20"/>
              </w:rPr>
              <w:t>_____________ A Rural Business Investment Company as defined in Section 384A of the U.S. Consolidated Farm and Rural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i.</w:t>
            </w:r>
          </w:p>
        </w:tc>
        <w:tc>
          <w:tcPr>
            <w:tcW w:w="10065" w:type="dxa"/>
            <w:tcBorders/>
            <w:vAlign w:val="center"/>
          </w:tcPr>
          <w:p>
            <w:pPr>
              <w:pStyle w:val="TableContents"/>
              <w:bidi w:val="0"/>
              <w:spacing w:before="0" w:after="283"/>
              <w:jc w:val="both"/>
              <w:rPr>
                <w:sz w:val="20"/>
              </w:rPr>
            </w:pPr>
            <w:r>
              <w:rPr>
                <w:sz w:val="20"/>
              </w:rPr>
              <w:t>_____________ A plan established and maintained by a state, its political subdivisions or any agency or instrumentality of a state or its political subdivisions for the benefit of its employees, if the plan has total assets in excess of US$5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j.</w:t>
            </w:r>
          </w:p>
        </w:tc>
        <w:tc>
          <w:tcPr>
            <w:tcW w:w="10065" w:type="dxa"/>
            <w:tcBorders/>
            <w:vAlign w:val="center"/>
          </w:tcPr>
          <w:p>
            <w:pPr>
              <w:pStyle w:val="TableContents"/>
              <w:bidi w:val="0"/>
              <w:spacing w:before="0" w:after="283"/>
              <w:jc w:val="both"/>
              <w:rPr>
                <w:sz w:val="20"/>
              </w:rPr>
            </w:pPr>
            <w:r>
              <w:rPr>
                <w:sz w:val="20"/>
              </w:rPr>
              <w:t>_____________ An employee benefit plan within the meaning of Title I of the Employee Retirement Income Security Act of 1974, if the investment decision is being made by a plan fiduciary, as defined in Section 3(21) of such act, and the plan fiduciary is either a bank, a savings and loan association, an insurance company, or a registered investment adviser, or if the employee benefit plan has total assets in excess of US$5 million, or if the employee benefit plan is a self- directed plan in which investment decisions are made solely by persons that are accredited investors.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sz w:val="20"/>
              </w:rPr>
            </w:pPr>
            <w:r>
              <w:rPr>
                <w:sz w:val="20"/>
              </w:rPr>
              <w:t>k.</w:t>
            </w:r>
          </w:p>
        </w:tc>
        <w:tc>
          <w:tcPr>
            <w:tcW w:w="10020" w:type="dxa"/>
            <w:tcBorders/>
            <w:vAlign w:val="center"/>
          </w:tcPr>
          <w:p>
            <w:pPr>
              <w:pStyle w:val="TableContents"/>
              <w:bidi w:val="0"/>
              <w:spacing w:before="0" w:after="283"/>
              <w:jc w:val="both"/>
              <w:rPr>
                <w:sz w:val="20"/>
              </w:rPr>
            </w:pPr>
            <w:r>
              <w:rPr>
                <w:sz w:val="20"/>
              </w:rPr>
              <w:t>_____________ A private business development company, as defined in Section 202(a)(22) of the Investment Advisers Act of 1940.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l.</w:t>
            </w:r>
          </w:p>
        </w:tc>
        <w:tc>
          <w:tcPr>
            <w:tcW w:w="10065" w:type="dxa"/>
            <w:tcBorders/>
            <w:vAlign w:val="center"/>
          </w:tcPr>
          <w:p>
            <w:pPr>
              <w:pStyle w:val="TableContents"/>
              <w:bidi w:val="0"/>
              <w:spacing w:before="0" w:after="283"/>
              <w:jc w:val="both"/>
              <w:rPr>
                <w:sz w:val="20"/>
              </w:rPr>
            </w:pPr>
            <w:r>
              <w:rPr>
                <w:sz w:val="20"/>
              </w:rPr>
              <w:t>_____________ A corporation, Massachusetts or similar business trust, partnership, or limited liability company or an organization described in Section 501(c)(3) of the Internal Revenue Code of 1986, as amended, that was not formed for the specific purpose of acquiring the Securities, and that has total assets in excess of US$5 million.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sz w:val="20"/>
              </w:rPr>
            </w:pPr>
            <w:r>
              <w:rPr>
                <w:sz w:val="20"/>
              </w:rPr>
              <w:t>m.</w:t>
            </w:r>
          </w:p>
        </w:tc>
        <w:tc>
          <w:tcPr>
            <w:tcW w:w="9975" w:type="dxa"/>
            <w:tcBorders/>
            <w:vAlign w:val="center"/>
          </w:tcPr>
          <w:p>
            <w:pPr>
              <w:pStyle w:val="TableContents"/>
              <w:bidi w:val="0"/>
              <w:spacing w:before="0" w:after="283"/>
              <w:jc w:val="both"/>
              <w:rPr>
                <w:sz w:val="20"/>
              </w:rPr>
            </w:pPr>
            <w:r>
              <w:rPr>
                <w:sz w:val="20"/>
              </w:rPr>
              <w:t>_____________ A trust with total assets in excess of US$5 million not formed for the specific purpose of acquiring the Securities, whose purchase is directed by a sophisticated person as described in Rule 506(b)(2)(ii) under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sz w:val="20"/>
              </w:rPr>
            </w:pPr>
            <w:r>
              <w:rPr>
                <w:sz w:val="20"/>
              </w:rPr>
              <w:t>n.</w:t>
            </w:r>
          </w:p>
        </w:tc>
        <w:tc>
          <w:tcPr>
            <w:tcW w:w="10020" w:type="dxa"/>
            <w:tcBorders/>
            <w:vAlign w:val="center"/>
          </w:tcPr>
          <w:p>
            <w:pPr>
              <w:pStyle w:val="TableContents"/>
              <w:bidi w:val="0"/>
              <w:spacing w:before="0" w:after="283"/>
              <w:jc w:val="both"/>
              <w:rPr>
                <w:sz w:val="20"/>
              </w:rPr>
            </w:pPr>
            <w:r>
              <w:rPr>
                <w:sz w:val="20"/>
              </w:rPr>
              <w:t>_____________ An entity in which all of the equity owners (whether entities themselves or natural persons) are accredited investors and meet the criteria listed under the section of “For Individual Investors Only” of this Certification.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sz w:val="20"/>
              </w:rPr>
            </w:pPr>
            <w:r>
              <w:rPr>
                <w:sz w:val="20"/>
              </w:rPr>
              <w:t>o.</w:t>
            </w:r>
          </w:p>
        </w:tc>
        <w:tc>
          <w:tcPr>
            <w:tcW w:w="10020" w:type="dxa"/>
            <w:tcBorders/>
            <w:vAlign w:val="center"/>
          </w:tcPr>
          <w:p>
            <w:pPr>
              <w:pStyle w:val="TableContents"/>
              <w:bidi w:val="0"/>
              <w:spacing w:before="0" w:after="283"/>
              <w:jc w:val="both"/>
              <w:rPr>
                <w:sz w:val="20"/>
              </w:rPr>
            </w:pPr>
            <w:r>
              <w:rPr>
                <w:sz w:val="20"/>
              </w:rPr>
              <w:t>_____________ An entity of a type not listed above, that is not formed for the specific purpose of acquiring the Shares and owns investments in excess of US$5 million. For purposes of this clause, “investments” means investments as defined in Rule 2a51-1(b) under the Investment Company Act of 1940.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p.</w:t>
            </w:r>
          </w:p>
        </w:tc>
        <w:tc>
          <w:tcPr>
            <w:tcW w:w="10020" w:type="dxa"/>
            <w:tcBorders/>
            <w:vAlign w:val="center"/>
          </w:tcPr>
          <w:p>
            <w:pPr>
              <w:pStyle w:val="TableContents"/>
              <w:bidi w:val="0"/>
              <w:spacing w:before="0" w:after="283"/>
              <w:jc w:val="both"/>
              <w:rPr>
                <w:sz w:val="20"/>
              </w:rPr>
            </w:pPr>
            <w:r>
              <w:rPr>
                <w:sz w:val="20"/>
              </w:rPr>
              <w:t>_____________ A family office, as defined in Rule 202(a)(11)(G)-1 under the Investment Advisers Act of 1940, that (i) has assets under management in excess of US$5 million; (ii) is not formed for the specific purpose of acquiring the Securities and (iii) has a person directing the prospective investment who has such knowledge and experience in financial and business matters so that the family office is capable of evaluating the merits and risks of the prospective investment.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q.</w:t>
            </w:r>
          </w:p>
        </w:tc>
        <w:tc>
          <w:tcPr>
            <w:tcW w:w="10020" w:type="dxa"/>
            <w:tcBorders/>
            <w:vAlign w:val="center"/>
          </w:tcPr>
          <w:p>
            <w:pPr>
              <w:pStyle w:val="TableContents"/>
              <w:bidi w:val="0"/>
              <w:spacing w:before="0" w:after="283"/>
              <w:jc w:val="both"/>
              <w:rPr>
                <w:sz w:val="20"/>
              </w:rPr>
            </w:pPr>
            <w:r>
              <w:rPr>
                <w:sz w:val="20"/>
              </w:rPr>
              <w:t>_____________ A family client, as defined in Rule 202(a)(11)(G)-1 under the Investment Advisers Act of 1940, of a family office meeting the requirements of the immediately preceding clause and whose prospective investment in the Issuer is directed by that family office pursuant to subclause (iii) of the immediately preceding clause.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subscribe for the Securities, a prospective investor will be required to deliver funds to us, by check made payable to “CaliberCos Inc.” or by wire transfer to the Company. In addition, the prospective investor must complete, execute and deliver to us this Subscription Agreement and Investor Questionnaire, including information necessary for us to determine whether the prospective investor is qualified under federal and state securities laws and regulations to be an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Wire Transfer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Name: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Name: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Routing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constitutes the signature page for the Subscription Agreement, the Investor Questionnaire and execution of this signature page constitutes execution of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Subscriber has executed this Subscription Agreement and Investor Questionnaire this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______day of________ , 2026.</w:t>
      </w:r>
    </w:p>
    <w:p>
      <w:pPr>
        <w:pStyle w:val="TextBody"/>
        <w:bidi w:val="0"/>
        <w:spacing w:before="0" w:after="0"/>
        <w:ind w:left="0" w:right="0" w:firstLine="720"/>
        <w:jc w:val="left"/>
        <w:rPr>
          <w:caps w:val="false"/>
          <w:smallCaps w:val="false"/>
        </w:rPr>
      </w:pPr>
      <w:r>
        <w:rPr>
          <w:caps w:val="false"/>
          <w:smallCaps w:val="false"/>
        </w:rPr>
        <w:t> </w:t>
      </w:r>
    </w:p>
    <w:tbl>
      <w:tblPr>
        <w:tblW w:w="6049" w:type="dxa"/>
        <w:jc w:val="left"/>
        <w:tblInd w:w="0" w:type="dxa"/>
        <w:tblLayout w:type="fixed"/>
        <w:tblCellMar>
          <w:top w:w="0" w:type="dxa"/>
          <w:left w:w="0" w:type="dxa"/>
          <w:bottom w:w="0" w:type="dxa"/>
          <w:right w:w="0" w:type="dxa"/>
        </w:tblCellMar>
      </w:tblPr>
      <w:tblGrid>
        <w:gridCol w:w="75"/>
        <w:gridCol w:w="2239"/>
        <w:gridCol w:w="3735"/>
      </w:tblGrid>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xml:space="preserve">$ </w:t>
            </w:r>
            <w:r>
              <w:rPr>
                <w:u w:val="single"/>
              </w:rPr>
              <w:t xml:space="preserve">_______________________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Purchase Price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Purchase Price: ☐ Cash ☐ Cancellation of the Existing Notes</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b/>
              </w:rPr>
            </w:pPr>
            <w:r>
              <w:rPr>
                <w:b/>
              </w:rPr>
              <w:t>For Individuals:</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Name of Subscriber (print or type)</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xml:space="preserve">(Signature)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Name of Joint Subscriber (print or type) (if applicable)</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(Joint Signature, if applicable)</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b/>
              </w:rPr>
            </w:pPr>
            <w:r>
              <w:rPr>
                <w:b/>
              </w:rPr>
              <w:t>For Entities:</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Name of Subscriber (print or type)</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pPr>
            <w:r>
              <w:rPr/>
              <w:t>By:</w:t>
            </w:r>
          </w:p>
        </w:tc>
        <w:tc>
          <w:tcPr>
            <w:tcW w:w="37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pPr>
            <w:r>
              <w:rPr/>
              <w:t> </w:t>
            </w:r>
          </w:p>
        </w:tc>
        <w:tc>
          <w:tcPr>
            <w:tcW w:w="3735" w:type="dxa"/>
            <w:tcBorders/>
            <w:vAlign w:val="center"/>
          </w:tcPr>
          <w:p>
            <w:pPr>
              <w:pStyle w:val="TableContents"/>
              <w:bidi w:val="0"/>
              <w:spacing w:before="0" w:after="283"/>
              <w:jc w:val="left"/>
              <w:rPr/>
            </w:pPr>
            <w:r>
              <w:rPr/>
              <w:t>(Signature)</w:t>
            </w:r>
          </w:p>
        </w:tc>
      </w:tr>
      <w:tr>
        <w:trPr/>
        <w:tc>
          <w:tcPr>
            <w:tcW w:w="75"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pPr>
            <w:r>
              <w:rPr/>
              <w:t>Name:</w:t>
            </w:r>
          </w:p>
        </w:tc>
        <w:tc>
          <w:tcPr>
            <w:tcW w:w="37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pPr>
            <w:r>
              <w:rPr/>
              <w:t>Title:</w:t>
            </w:r>
          </w:p>
        </w:tc>
        <w:tc>
          <w:tcPr>
            <w:tcW w:w="37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(Name and Initials of IRA custodian,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8"/>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pPr>
            <w:r>
              <w:rPr/>
              <w:t xml:space="preserve">$ </w:t>
            </w:r>
            <w:r>
              <w:rPr>
                <w:u w:val="single"/>
              </w:rPr>
              <w:t xml:space="preserve">_______________________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Purchase Price Accepted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as of _________________, 2026:</w:t>
      </w:r>
    </w:p>
    <w:p>
      <w:pPr>
        <w:pStyle w:val="TextBody"/>
        <w:bidi w:val="0"/>
        <w:spacing w:before="0" w:after="0"/>
        <w:ind w:left="0" w:right="0" w:hanging="0"/>
        <w:jc w:val="left"/>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75"/>
        <w:gridCol w:w="710"/>
        <w:gridCol w:w="1995"/>
      </w:tblGrid>
      <w:tr>
        <w:trPr/>
        <w:tc>
          <w:tcPr>
            <w:tcW w:w="75" w:type="dxa"/>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pPr>
            <w:r>
              <w:rPr>
                <w:b/>
              </w:rPr>
              <w:t>CALIBERCOS</w:t>
            </w:r>
            <w:r>
              <w:rPr/>
              <w:t xml:space="preserve"> </w:t>
            </w:r>
            <w:r>
              <w:rPr>
                <w:b/>
              </w:rPr>
              <w:t>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99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19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95" w:type="dxa"/>
            <w:tcBorders/>
            <w:vAlign w:val="center"/>
          </w:tcPr>
          <w:p>
            <w:pPr>
              <w:pStyle w:val="TableContents"/>
              <w:bidi w:val="0"/>
              <w:spacing w:before="0" w:after="283"/>
              <w:jc w:val="both"/>
              <w:rPr/>
            </w:pPr>
            <w:r>
              <w:rPr/>
              <w:t> </w:t>
            </w:r>
          </w:p>
        </w:tc>
      </w:tr>
    </w:tbl>
    <w:p>
      <w:pPr>
        <w:pStyle w:val="TextBody"/>
        <w:bidi w:val="0"/>
        <w:spacing w:before="0" w:after="0"/>
        <w:ind w:left="585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28624201ex10-2.htm"/>
      <w:bookmarkStart w:id="31" w:name="ksea028624201ex102"/>
      <w:bookmarkEnd w:id="30"/>
      <w:bookmarkEnd w:id="31"/>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made as of this day of______, 2026, by and between CaliberCos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and__________________ having an address as set forth on the signature page hereto (the “</w:t>
      </w:r>
      <w:r>
        <w:rPr>
          <w:rFonts w:ascii="Times New Roman;Times;Serif" w:hAnsi="Times New Roman;Times;Serif"/>
          <w:b w:val="false"/>
          <w:i w:val="false"/>
          <w:caps w:val="false"/>
          <w:smallCaps w:val="false"/>
          <w:sz w:val="20"/>
          <w:u w:val="single"/>
        </w:rPr>
        <w:t>Subscriber</w:t>
      </w:r>
      <w:r>
        <w:rPr>
          <w:rFonts w:ascii="Times New Roman;Times;Serif" w:hAnsi="Times New Roman;Times;Serif"/>
          <w:b w:val="false"/>
          <w:i w:val="false"/>
          <w:caps w:val="false"/>
          <w:smallCaps w:val="false"/>
          <w:sz w:val="20"/>
        </w:rPr>
        <w:t>”). Company and Subscriber may be collectively referred to for purposes of this Subscription Agreement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intends to offer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for sale up to $40 million of shares of Series AAA Convertible Preferred Stock (the “</w:t>
      </w:r>
      <w:r>
        <w:rPr>
          <w:rFonts w:ascii="Times New Roman;Times;Serif" w:hAnsi="Times New Roman;Times;Serif"/>
          <w:b w:val="false"/>
          <w:i w:val="false"/>
          <w:caps w:val="false"/>
          <w:smallCaps w:val="false"/>
          <w:sz w:val="20"/>
          <w:u w:val="single"/>
        </w:rPr>
        <w:t>Series AAA Preferred</w:t>
      </w:r>
      <w:r>
        <w:rPr>
          <w:rFonts w:ascii="Times New Roman;Times;Serif" w:hAnsi="Times New Roman;Times;Serif"/>
          <w:b w:val="false"/>
          <w:i w:val="false"/>
          <w:caps w:val="false"/>
          <w:smallCaps w:val="false"/>
          <w:sz w:val="20"/>
        </w:rPr>
        <w:t>”) convertible into shares of the Company’s Class A common stock, par value $0.001,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forms of the Certificate of Designations, Preferences and Rights of the Series AAA Convertible Preferred Stock (the “</w:t>
      </w:r>
      <w:r>
        <w:rPr>
          <w:rFonts w:ascii="Times New Roman;Times;Serif" w:hAnsi="Times New Roman;Times;Serif"/>
          <w:b w:val="false"/>
          <w:i w:val="false"/>
          <w:caps w:val="false"/>
          <w:smallCaps w:val="false"/>
          <w:sz w:val="20"/>
          <w:u w:val="single"/>
        </w:rPr>
        <w:t>COD</w:t>
      </w:r>
      <w:r>
        <w:rPr>
          <w:rFonts w:ascii="Times New Roman;Times;Serif" w:hAnsi="Times New Roman;Times;Serif"/>
          <w:b w:val="false"/>
          <w:i w:val="false"/>
          <w:caps w:val="false"/>
          <w:smallCaps w:val="false"/>
          <w:sz w:val="20"/>
        </w:rPr>
        <w:t xml:space="preserve">”) is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the Series AAA Preferred and the shares of Class A common stock issuable upon conversion of such securities (the “</w:t>
      </w:r>
      <w:r>
        <w:rPr>
          <w:rFonts w:ascii="Times New Roman;Times;Serif" w:hAnsi="Times New Roman;Times;Serif"/>
          <w:b w:val="false"/>
          <w:i w:val="false"/>
          <w:caps w:val="false"/>
          <w:smallCaps w:val="false"/>
          <w:sz w:val="20"/>
          <w:u w:val="single"/>
        </w:rPr>
        <w:t>Underlying Shares</w:t>
      </w:r>
      <w:r>
        <w:rPr>
          <w:rFonts w:ascii="Times New Roman;Times;Serif" w:hAnsi="Times New Roman;Times;Serif"/>
          <w:b w:val="false"/>
          <w:i w:val="false"/>
          <w:caps w:val="false"/>
          <w:smallCaps w:val="false"/>
          <w:sz w:val="20"/>
        </w:rPr>
        <w:t>”) are being offered in reliance upon the exemption from registration provided for under Section 4(a)(2)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Rule 506(b) of Regulation D promulgated thereunder (“</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the terms and conditions hereinafter set forth;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Subscriber desires to acquire the Series AAA Preferred in the amounts as set forth on the Subscriber’s signature page to this Subscription Agreement (such securities,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promises and the mutual covenants hereinafter set forth, the parties hereto do hereby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15"/>
        <w:gridCol w:w="2450"/>
      </w:tblGrid>
      <w:tr>
        <w:trPr/>
        <w:tc>
          <w:tcPr>
            <w:tcW w:w="215" w:type="dxa"/>
            <w:tcBorders/>
            <w:vAlign w:val="center"/>
          </w:tcPr>
          <w:p>
            <w:pPr>
              <w:pStyle w:val="TableContents"/>
              <w:bidi w:val="0"/>
              <w:spacing w:before="0" w:after="283"/>
              <w:jc w:val="left"/>
              <w:rPr>
                <w:b/>
              </w:rPr>
            </w:pPr>
            <w:r>
              <w:rPr>
                <w:b/>
              </w:rPr>
              <w:t>1.</w:t>
            </w:r>
          </w:p>
        </w:tc>
        <w:tc>
          <w:tcPr>
            <w:tcW w:w="2450" w:type="dxa"/>
            <w:tcBorders/>
            <w:vAlign w:val="center"/>
          </w:tcPr>
          <w:p>
            <w:pPr>
              <w:pStyle w:val="TableContents"/>
              <w:bidi w:val="0"/>
              <w:spacing w:before="0" w:after="283"/>
              <w:jc w:val="left"/>
              <w:rPr>
                <w:b/>
                <w:u w:val="single"/>
              </w:rPr>
            </w:pPr>
            <w:r>
              <w:rPr>
                <w:b/>
                <w:u w:val="single"/>
              </w:rPr>
              <w:t>Subscription Procedure</w:t>
            </w:r>
          </w:p>
        </w:tc>
      </w:tr>
    </w:tbl>
    <w:p>
      <w:pPr>
        <w:pStyle w:val="TextBody"/>
        <w:bidi w:val="0"/>
        <w:spacing w:before="0" w:after="0"/>
        <w:ind w:left="45"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283"/>
              <w:jc w:val="both"/>
              <w:rPr/>
            </w:pPr>
            <w:r>
              <w:rPr>
                <w:u w:val="single"/>
              </w:rPr>
              <w:t>Subscription for Securities</w:t>
            </w:r>
            <w:r>
              <w:rPr/>
              <w:t>. Subject to the terms and conditions hereinafter set forth, the Subscriber hereby subscribes for, and agrees to purchase from the Company, the Securities in such denominations as set forth upon the signature page hereof (the “</w:t>
            </w:r>
            <w:r>
              <w:rPr>
                <w:u w:val="single"/>
              </w:rPr>
              <w:t>Subscription Amount</w:t>
            </w:r>
            <w:r>
              <w:rPr/>
              <w:t>”). By its signature hereto, the Company agrees to sell the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If the Subscriber is a holder of an Unsecured Subordinated Promissory Note due twelve months from the date of issuance (the “</w:t>
            </w:r>
            <w:r>
              <w:rPr>
                <w:u w:val="single"/>
              </w:rPr>
              <w:t>Existing Notes</w:t>
            </w:r>
            <w:r>
              <w:rPr/>
              <w:t>”), and the Subscriber has elected to pay all or a portion of the purchase price of the Securities pursuant to the cancellation and exchange of the Subscriber’s Existing Notes as indicated on the signature page hereto, then on the date hereof the Subscriber shall deliver the Existing Notes to the Company to be cancelled in exchange for the Securities and the Company shall deliver to the Subscriber the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If the Subscriber has elected to pay for all or a portion of the purchase price of the Securities in cash, then on the date hereof the Subscriber shall deliver, via wire transfer, immediately available funds for all or such portion of the purchase price of the Securities to the Company and the Company shall deliver to the Subscriber the Securities. The wiring instructions for the Company shall be as follows:</w:t>
            </w:r>
          </w:p>
        </w:tc>
      </w:tr>
    </w:tbl>
    <w:p>
      <w:pPr>
        <w:pStyle w:val="TextBody"/>
        <w:bidi w:val="0"/>
        <w:spacing w:before="0" w:after="283"/>
        <w:jc w:val="left"/>
        <w:rPr/>
      </w:pPr>
      <w:r>
        <w:rPr/>
        <w:t> </w:t>
      </w:r>
    </w:p>
    <w:tbl>
      <w:tblPr>
        <w:tblW w:w="2683" w:type="dxa"/>
        <w:jc w:val="left"/>
        <w:tblInd w:w="0" w:type="dxa"/>
        <w:tblLayout w:type="fixed"/>
        <w:tblCellMar>
          <w:top w:w="0" w:type="dxa"/>
          <w:left w:w="0" w:type="dxa"/>
          <w:bottom w:w="0" w:type="dxa"/>
          <w:right w:w="0" w:type="dxa"/>
        </w:tblCellMar>
      </w:tblPr>
      <w:tblGrid>
        <w:gridCol w:w="38"/>
        <w:gridCol w:w="25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both"/>
              <w:rPr>
                <w:sz w:val="20"/>
              </w:rPr>
            </w:pPr>
            <w:r>
              <w:rPr>
                <w:sz w:val="20"/>
              </w:rPr>
              <w:t>Account Title:</w:t>
            </w:r>
          </w:p>
        </w:tc>
        <w:tc>
          <w:tcPr>
            <w:tcW w:w="75" w:type="dxa"/>
            <w:tcBorders/>
            <w:vAlign w:val="center"/>
          </w:tcPr>
          <w:p>
            <w:pPr>
              <w:pStyle w:val="TableContents"/>
              <w:bidi w:val="0"/>
              <w:spacing w:before="0" w:after="283"/>
              <w:jc w:val="both"/>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both"/>
              <w:rPr>
                <w:sz w:val="20"/>
              </w:rPr>
            </w:pPr>
            <w:r>
              <w:rPr>
                <w:sz w:val="20"/>
              </w:rPr>
              <w:t>Account Type/Number:</w:t>
            </w:r>
          </w:p>
        </w:tc>
        <w:tc>
          <w:tcPr>
            <w:tcW w:w="75" w:type="dxa"/>
            <w:tcBorders/>
            <w:vAlign w:val="center"/>
          </w:tcPr>
          <w:p>
            <w:pPr>
              <w:pStyle w:val="TableContents"/>
              <w:bidi w:val="0"/>
              <w:spacing w:before="0" w:after="283"/>
              <w:jc w:val="both"/>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both"/>
              <w:rPr>
                <w:sz w:val="20"/>
              </w:rPr>
            </w:pPr>
            <w:r>
              <w:rPr>
                <w:sz w:val="20"/>
              </w:rPr>
              <w:t>For Domestic use ABA:</w:t>
            </w:r>
          </w:p>
        </w:tc>
        <w:tc>
          <w:tcPr>
            <w:tcW w:w="75" w:type="dxa"/>
            <w:tcBorders/>
            <w:vAlign w:val="center"/>
          </w:tcPr>
          <w:p>
            <w:pPr>
              <w:pStyle w:val="TableContents"/>
              <w:bidi w:val="0"/>
              <w:spacing w:before="0" w:after="283"/>
              <w:jc w:val="both"/>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both"/>
              <w:rPr>
                <w:sz w:val="20"/>
              </w:rPr>
            </w:pPr>
            <w:r>
              <w:rPr>
                <w:sz w:val="20"/>
              </w:rPr>
              <w:t>For International Wires SWIFT:</w:t>
            </w:r>
          </w:p>
        </w:tc>
        <w:tc>
          <w:tcPr>
            <w:tcW w:w="75" w:type="dxa"/>
            <w:tcBorders/>
            <w:vAlign w:val="center"/>
          </w:tcPr>
          <w:p>
            <w:pPr>
              <w:pStyle w:val="TableContents"/>
              <w:bidi w:val="0"/>
              <w:spacing w:before="0" w:after="283"/>
              <w:jc w:val="both"/>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both"/>
              <w:rPr>
                <w:sz w:val="20"/>
              </w:rPr>
            </w:pPr>
            <w:r>
              <w:rPr>
                <w:sz w:val="20"/>
              </w:rPr>
              <w:t xml:space="preserve">Bank Address: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xml:space="preserve">. On the date hereof, the Subscriber shall become party to that Registration Rights Agreement,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RRA</w:t>
      </w:r>
      <w:r>
        <w:rPr>
          <w:rFonts w:ascii="Times New Roman;Times;Serif" w:hAnsi="Times New Roman;Times;Serif"/>
          <w:b w:val="false"/>
          <w:i w:val="false"/>
          <w:caps w:val="false"/>
          <w:smallCaps w:val="false"/>
          <w:sz w:val="20"/>
        </w:rPr>
        <w:t>”), pursuant to which the Company will agree to use commercially reasonable efforts to register the Underlying Shares as described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15"/>
        <w:gridCol w:w="4745"/>
      </w:tblGrid>
      <w:tr>
        <w:trPr/>
        <w:tc>
          <w:tcPr>
            <w:tcW w:w="215" w:type="dxa"/>
            <w:tcBorders/>
            <w:vAlign w:val="center"/>
          </w:tcPr>
          <w:p>
            <w:pPr>
              <w:pStyle w:val="TableContents"/>
              <w:bidi w:val="0"/>
              <w:spacing w:before="0" w:after="283"/>
              <w:jc w:val="left"/>
              <w:rPr>
                <w:b/>
              </w:rPr>
            </w:pPr>
            <w:r>
              <w:rPr>
                <w:b/>
              </w:rPr>
              <w:t>2.</w:t>
            </w:r>
          </w:p>
        </w:tc>
        <w:tc>
          <w:tcPr>
            <w:tcW w:w="4745" w:type="dxa"/>
            <w:tcBorders/>
            <w:vAlign w:val="center"/>
          </w:tcPr>
          <w:p>
            <w:pPr>
              <w:pStyle w:val="TableContents"/>
              <w:bidi w:val="0"/>
              <w:spacing w:before="0" w:after="283"/>
              <w:jc w:val="left"/>
              <w:rPr>
                <w:b/>
              </w:rPr>
            </w:pPr>
            <w:r>
              <w:rPr>
                <w:b/>
                <w:u w:val="single"/>
              </w:rPr>
              <w:t>Representations and Covenants of Subscriber</w:t>
            </w:r>
            <w:r>
              <w:rPr>
                <w:b/>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represents and warrants to the Company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Subscriber recognizes that the purchase of the Securities involves a high degree of risk in that (i) the Company may need additional capital to operate its business but has no assurance of additional necessary capital; (ii) an investment in the Company is highly speculative and only investors who can afford the loss of their entire investment should consider investing in the Securities; (iii) an investor may not be able to liquidate his, her or its investment in the Securities; (iv) transferability of the Securities is extremely limited; (v) an investor could sustain the loss of his, her or its entire investment; and (vi) the Company is and will be subject to numerous other risks and uncertainties, including without limitation, significant and material risks relating to the Company’s business and operations, and the industries, markets and geographic regions in which the Company competes, all as more fully set forth in the Company’s SEC Reports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The Subscriber represents that he, she or it is an “accredited investor” as such term is defined in Rule 501 of Regulation D promulgated under the Securities Act, as indicated by his, her or its Investor Questionnaire, and that he, she or it is able to bear the economic risk of an investment in the Securities. The Subscriber has adequate means of providing for such Subscriber’s current financial needs and foreseeable contingencies and has no need for liquidity of his, her, or its investment in the Securities for an indefinite period of time. The Subscriber must complete the applicable Investor Questionnaire, a form of which is attached hereto as </w:t>
      </w:r>
      <w:r>
        <w:rPr>
          <w:rFonts w:ascii="Times New Roman;Times;Serif" w:hAnsi="Times New Roman;Times;Serif"/>
          <w:b w:val="false"/>
          <w:i w:val="false"/>
          <w:caps w:val="false"/>
          <w:smallCaps w:val="false"/>
          <w:sz w:val="20"/>
          <w:u w:val="single"/>
        </w:rPr>
        <w:t>Appendix I</w:t>
      </w:r>
      <w:r>
        <w:rPr>
          <w:rFonts w:ascii="Times New Roman;Times;Serif" w:hAnsi="Times New Roman;Times;Serif"/>
          <w:b w:val="false"/>
          <w:i w:val="false"/>
          <w:caps w:val="false"/>
          <w:smallCaps w:val="false"/>
          <w:sz w:val="20"/>
        </w:rPr>
        <w:t>, to enable the Company to assess the Subscriber’s eligibility for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Subscriber represents that all information which the Subscriber has provided to the Company concerning the Subscriber or the Subscriber’s investor status, financial position, knowledge and experience in financial and business matters, or, in the case of a corporation, trust, partnership, limited liability company, or other entity, the knowledge and experience in financial and business matters of the person making the investment decision on behalf of such entity, including all information contained herein, is correct and complete as of the date of this Agreement, and if there should be any adverse change in such information prior to this subscription being accepted, the Subscriber will immediately provide the Company with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The Subscriber acknowledges that he, she or it has such knowledge and prior investment experience, including without limitation, investment in private, non-listed and non-registered securities and development-stage companies with limited operating histories, or he, she or it has employed the services of an investment advisor, attorney or accountant to read all of the documents furnished or made available by the Company both to him, her or it and to all other prospective investors in the Offering and to evaluate the merits and risks of such an investment on his, her or its behalf, and that he, she or it recognizes the highly speculative nature of this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The Subscriber acknowledges receipt and careful review of this Agreement, the COD, the RRA and the Offering Memorandum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Offering Documents</w:t>
      </w:r>
      <w:r>
        <w:rPr>
          <w:rFonts w:ascii="Times New Roman;Times;Serif" w:hAnsi="Times New Roman;Times;Serif"/>
          <w:b w:val="false"/>
          <w:i w:val="false"/>
          <w:caps w:val="false"/>
          <w:smallCaps w:val="false"/>
          <w:sz w:val="20"/>
        </w:rPr>
        <w:t>”) and hereby represents that he, she or it has been furnished or given access by the Company during the course of the Offering with or to all information regarding the Company and its financial conditions and results of operations which he, she or it had requested or desired to know; that all documents which could be reasonably provided have been made available for his, her or its inspection and review; that he, she or it has been afforded the opportunity to ask questions of and receive answers from duly authorized representatives of the Company concerning the terms and conditions of the Offering, and any additional information which he, she or it had requested. The Subscriber further represents and acknowledges that the Subscriber has not seen or received any advertisement or general solicitation with respect to the sale of any of the securities of the Company, including, without limitation,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The Subscriber acknowledges that the Offering of the Securities may involve tax consequences, and that the contents of the Offering Documents do not contain tax advice or information. The Subscriber acknowledges that he, she or it must retain his, her or its own professional advisors to evaluate the tax and other consequences of an investment in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The Subscriber acknowledges that the Offering of the Securities has not been reviewed or approved by the SEC because the Offering is intended to be a nonpublic offering pursuant to Section 4(a)(2) of the Securities Act and/or Rule 506(b) of Regulation D promulgated thereunder. The Subscriber represents that the Securities are being purchased for his, her or its own account, for investment and not for distribution or resale to others. The Subscriber agrees that he, she or it will not sell or otherwise transfer any of the Securities or Common Stock issuable upon exercise, conversion or pursuant to the terms of the Securities unless they are registered under the Securities Act or unless an exemption from such registration is available and, upon the Company’s request, the Company receives an opinion of counsel reasonably satisfactory to the Company confirming that an exemption from such registration is available for such sale 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The Subscriber understands that the Securities have not been registered under the Securities Act by reason of a claimed exemption under the provisions of the Securities Act which depends, in part, upon his, her or its investment intention. The Subscriber realizes that, in the view of the SEC, a purchase now with the intention to distribute would represent a purchase with an intention inconsistent with his, her or its representation to the Company, and the SEC might regard such a distribution as a deferred sale to which such exemption is not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Subscriber understands the Securities are being offered in a transaction not involving a public offering within the meaning of the Securities Act. Subscriber understands the Securities will be “restricted securities” within the meaning of Rule 144(a)(3) under the Securities Act and Subscriber understands that the certificates or book-entries representing the Securities will contain a legend in respect of such restrictions. If in the future the Subscriber decides to offer, resell, pledge or otherwise transfer the Securities, such Securities may be offered, resold, pledged or otherwise transferred only pursuant to: (i) registration under the Securities Act, or (ii) an available exemption from registration. Subscriber agrees that if any transfer of its Securities or any interest therein is proposed to be made, as a condition precedent to any such transfer, Subscriber may be required to deliver to the Company an opinion of counsel satisfactory to the Company. Absent registration or an exemption, the Subscriber agrees not to resell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The Subscriber acknowledges and consents to the placement of one or more legends on any certificate or other document evidencing his, her or Securities or shares of Common Stock issuable upon exercise, conversion or otherwise pursuant to the terms of the Securities, stating that they have not been registered under the Securities Act, substantially in the form as set forth below and setting forth or referring to the restrictions on the transferability and sale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REPRESENTED HEREBY OR THE SECURITIES ISSUABLE UPON THE EXERCISE HEREOF HAVE NOT BEEN REGISTERED WITH THE SECURITIES AND EXCHANGE COMMISSION OR THE SECURITIES COMMISSION OF ANY STATE IN RELIANCE UPON AN EXEMPTION FROM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The Subscriber hereby represents that the address of the Subscriber furnished by him, her or it at the signature page of this Subscription Agreement and in the Investor Questionnaire is the Subscriber’s principal residence if the Subscriber is an individual or its principal business address if the Subscriber is a corporation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The Subscriber acknowledges that if the Subscriber is a Registered Representative of a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member firm, the Subscriber must give such firm the notice required by the FINRA Conduct Rules, or any applicable successor rules of the FINRA, receipt of which must be acknowledged by such firm on the signature page hereof. The Subscriber shall also notify the Company if the Subscriber or any affiliate of Subscriber is a registered broker-dealer with the SEC, in which case the Subscriber represents that the Subscriber is purchasing the Securities in the ordinary course of business and, at the time of purchase of the Securities, has no agreements or understandings, directly or indirectly, with any person to distribute the Securities or any portion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The Subscriber hereby represents that, except as set forth in the Offering Documents, no representations or warranties have been made to the Subscriber by either the Company or its agents, employees or affiliates and in entering into this transaction, the Subscriber is not relying on any information, other than that contained in the Offering Documents and the results of independent investigation by the Subscriber.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The Subscriber agrees that he, she or it will purchase the Securities in the Offering only if his, her or its intent at such time is to make such purchase for investment purposes and not with a view toward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If the Subscriber is a partnership, corporation, trust or other entity, such partnership, corporation, trust or other entity further represents and warrants that: (i) it was not formed for the purpose of investing in the Company; (ii) it is authorized and otherwise duly qualified to purchase and hold the Securities; and (iii) that this Subscription Agreement has been duly and validly authorized, executed and delivered and constitutes the legal, binding and enforceable obligation of the Subscriber.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If the Subscriber is not a United States person, such Subscriber hereby represents that he, she or it has satisfied himself/herself/itself as to the full observance of the laws of its jurisdiction in connection with any invitation to subscribe for the Securities or any use of this Subscription Agreement, including (i) the legal requirements within his/her/its jurisdiction for the purchase of the Securities, (ii) any foreign exchange restrictions applicable to such purchase, (iii) any governmental or other consents that may need to be obtained, and (iv) the income tax and other tax consequences, if any, that may be relevant to the purchase, holding, redemption, sale or transfer of the Securities. Such Subscriber’s subscription and payment for, and his, her or its continued beneficial ownership of the Securities, will not violate any applicable securities or other laws of the Subscriber’s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The Subscriber agrees to indemnify and hold harmless the Company and its officers, directors, employees and affiliates and each other person, if any, who controls any of the foregoing, against any loss, liability, claim, damage and expense whatsoever (including, but not limited to, any and all expenses whatsoever reasonably incurred in investigating, preparing or defending against any litigation commenced or threatened or any claim whatsoever) arising out of or based upon any false representation or warranty by the Subscriber, or the Subscriber’s breach of, or failure to comply with, any covenant or agreement made by the Subscriber herein or in any other document furnished by the Subscriber to the Company or its respective officers, directors, employees or affiliates or each other person, if any, who controls any of the foregoing in connection with this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The Subscriber understands and acknowledges that (i) the Securities are being offered and sold to the Subscriber without registration under the Securities Act in a private placement that is exempt pursuant to Section 4(a)(2) of the Securities Act and/or Rule 506(b) of Regulation D promulgated thereunder; and (ii) the availability of such exemption depends in part on, and that the Company will rely upon the accuracy and truthfulness of, the foregoing representations made by the Subscriber, and such Subscriber hereby consents to such reliance.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The Subscriber understands and acknowledges that he, she or it will at all times be in compliance with any and all state and federal securities and other laws, statutes and regulations regarding his, her or its ownership and/or any sale, transfer or hypothecation of the Securities including but not limited to those rules and regulations promulgated by the SEC, FINRA and any exchange on which the Company’s securities are listed, if applicable, and those of federal and state governments and other agencies such as improper short selling of the Company’s securities and failure to properly file all documents required by the SEC or otherwise, to the extent such rules and regulations are applicable to Common Stock and/or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The Subscriber understands and agrees that an investment in the Securities involves special risks, and the undersigned understands those risks (including without limitation the risks set forth in the Offering Documents), and the Subscriber is expressly assuming such risks. The Subscriber acknowledges and is aware that the Securities are speculative investments which involve a high degree of risk of loss by the Subscriber of his, her or its entire investment in the Company. The Subscriber agrees and acknowledges that it is the Subscriber’s sole responsibility to conduct a “due diligence” investigation of the Company and the financial prospects of the Company. The Subscriber has not relied on the Company for due diligence or suitability or investment recommendations.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i w:val="false"/>
          <w:caps w:val="false"/>
          <w:smallCaps w:val="false"/>
          <w:sz w:val="20"/>
        </w:rPr>
        <w:t>The Subscriber should check the Office of Foreign Assets Control (“</w:t>
      </w:r>
      <w:r>
        <w:rPr>
          <w:rFonts w:ascii="Times New Roman;Times;Serif" w:hAnsi="Times New Roman;Times;Serif"/>
          <w:b/>
          <w:i w:val="false"/>
          <w:caps w:val="false"/>
          <w:smallCaps w:val="false"/>
          <w:sz w:val="20"/>
          <w:u w:val="single"/>
        </w:rPr>
        <w:t>OFAC</w:t>
      </w:r>
      <w:r>
        <w:rPr>
          <w:rFonts w:ascii="Times New Roman;Times;Serif" w:hAnsi="Times New Roman;Times;Serif"/>
          <w:b/>
          <w:i w:val="false"/>
          <w:caps w:val="false"/>
          <w:smallCaps w:val="false"/>
          <w:sz w:val="20"/>
        </w:rPr>
        <w:t>”) website at http://www.treas.gov/ofac before making the following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Subscriber represents that the amounts invested by him, her or it in the Company in the Offering were not and are not directly or indirectly derived from activities that contravene federal, state or international laws and regulations, including anti-money laundering laws and regulations. Federal regulations and Executive Orders administered by OFAC prohibit, among other things, the engagement in transactions with, and the provision of services to, certain foreign countries, territories, entities and individuals. The lists of OFAC prohibited countries, territories, persons and entities can be found on the OFAC website at http://www.treas.gov/ofac. In addition, the programs administered by OFAC (the “</w:t>
      </w:r>
      <w:r>
        <w:rPr>
          <w:rFonts w:ascii="Times New Roman;Times;Serif" w:hAnsi="Times New Roman;Times;Serif"/>
          <w:b w:val="false"/>
          <w:i w:val="false"/>
          <w:caps w:val="false"/>
          <w:smallCaps w:val="false"/>
          <w:sz w:val="20"/>
          <w:u w:val="single"/>
        </w:rPr>
        <w:t>OFAC Programs</w:t>
      </w:r>
      <w:r>
        <w:rPr>
          <w:rFonts w:ascii="Times New Roman;Times;Serif" w:hAnsi="Times New Roman;Times;Serif"/>
          <w:b w:val="false"/>
          <w:i w:val="false"/>
          <w:caps w:val="false"/>
          <w:smallCaps w:val="false"/>
          <w:sz w:val="20"/>
        </w:rPr>
        <w:t>”) prohibit dealing with individuals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or entities in certain countries regardless of whether such individuals or entities appear on the OFAC 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best of the Subscriber’s knowledge, none of: (1) the Subscriber; (2) any person controlling or controlled by the Subscriber; (3) if the Subscriber is a privately-held entity, any person having a beneficial interest in the Subscriber; or (4) any person for whom the Subscriber is acting as agent or nominee in connection with this investment is a country, territory, individual or entity named on an OFAC list, or a person or entity prohibited under the OFAC Programs. The Subscriber understands that the Company may not accept any amounts from a prospective investor if such prospective investor cannot make the representation set forth in the preceding paragraph. The Subscriber agrees to promptly notify the Company should the Subscriber become aware of any change in the information set forth in these representations. The Subscriber understands and acknowledges that, by law, the Company may be obligated to “freeze the account” of the Subscriber, either by prohibiting additional subscriptions from the Subscriber, declining any redemption requests and/or segregating the assets in the account in compliance with governmental regulations, and may also be required to report such action and to disclose the Subscriber’s identity to OFAC. The Subscriber further acknowledges that the Company may, by written notice to the Subscriber, suspend the redemption rights, if any, of the Subscriber if the Company reasonably deems it necessary to do so to comply with anti-money laundering regulations applicable to the Company or any of the Company’s other service providers. These individuals include specially designated nationals, specially designated narcotics traffickers and other parties subject to OFAC sanctions and embargo programs.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best of the Subscriber’s knowledge, none of: (1) the Subscriber; (2) any person controlling or controlled by the Subscriber; (3) if the Subscriber is a privately-held entity, any person having a beneficial interest in the Subscriber; or (4) any person for whom the Subscriber is acting as agent or nominee in connection with this investment is a senior foreign political figure,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or any immediate family</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member or close associate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of a senior foreign political figure, as such terms are defined in the footnotes below.</w:t>
      </w:r>
    </w:p>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215"/>
        <w:gridCol w:w="5015"/>
      </w:tblGrid>
      <w:tr>
        <w:trPr/>
        <w:tc>
          <w:tcPr>
            <w:tcW w:w="215" w:type="dxa"/>
            <w:tcBorders/>
            <w:vAlign w:val="center"/>
          </w:tcPr>
          <w:p>
            <w:pPr>
              <w:pStyle w:val="TableContents"/>
              <w:bidi w:val="0"/>
              <w:spacing w:before="0" w:after="283"/>
              <w:jc w:val="left"/>
              <w:rPr>
                <w:b/>
              </w:rPr>
            </w:pPr>
            <w:r>
              <w:rPr>
                <w:b/>
              </w:rPr>
              <w:t>3.</w:t>
            </w:r>
          </w:p>
        </w:tc>
        <w:tc>
          <w:tcPr>
            <w:tcW w:w="5015" w:type="dxa"/>
            <w:tcBorders/>
            <w:vAlign w:val="center"/>
          </w:tcPr>
          <w:p>
            <w:pPr>
              <w:pStyle w:val="TableContents"/>
              <w:bidi w:val="0"/>
              <w:spacing w:before="0" w:after="283"/>
              <w:jc w:val="left"/>
              <w:rPr>
                <w:b/>
                <w:u w:val="single"/>
              </w:rPr>
            </w:pPr>
            <w:r>
              <w:rPr>
                <w:b/>
                <w:u w:val="single"/>
              </w:rPr>
              <w:t>Representations and Covenants by the Company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the Subscriber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and Authority</w:t>
      </w:r>
      <w:r>
        <w:rPr>
          <w:rFonts w:ascii="Times New Roman;Times;Serif" w:hAnsi="Times New Roman;Times;Serif"/>
          <w:b w:val="false"/>
          <w:i w:val="false"/>
          <w:caps w:val="false"/>
          <w:smallCaps w:val="false"/>
          <w:sz w:val="20"/>
        </w:rPr>
        <w:t>. The Company is a corporation duly formed, validly existing and in good standing under the laws of the State of Delaware. The Company has all requisite corporate power and authority to execute, deliver and perform its obligations under this Subscription Agreement and the Offering Documents being executed and delivered by it in connection herewith, and to consummate the transactions contemplated hereby and thereby. The Company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have a material adverse effect on the Company or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sz w:val="20"/>
              </w:rPr>
            </w:pPr>
            <w:r>
              <w:rPr>
                <w:sz w:val="20"/>
              </w:rPr>
              <w:t>These individuals include specially designated nationals, specially designated narcotics traffickers and other parties subject to OFAC sanctions and embargo programs.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10042" w:type="dxa"/>
            <w:tcBorders/>
            <w:vAlign w:val="center"/>
          </w:tcPr>
          <w:p>
            <w:pPr>
              <w:pStyle w:val="TableContents"/>
              <w:bidi w:val="0"/>
              <w:spacing w:before="0" w:after="283"/>
              <w:jc w:val="both"/>
              <w:rPr>
                <w:sz w:val="20"/>
              </w:rPr>
            </w:pPr>
            <w:r>
              <w:rPr>
                <w:sz w:val="20"/>
              </w:rPr>
              <w:t>A “senior foreign political figure” is defined as a senior official in the executive, legislative, administrative, military or judicial branches of a foreign government (whether elected or not), a senior official of a major foreign political party, or a senior executive of a foreign government-owned corporation. In addition, a “senior foreign political figure” includes any corporation, business or other entity that has been formed by, or for the benefit of, a senior foreign political figure.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10042" w:type="dxa"/>
            <w:tcBorders/>
            <w:vAlign w:val="center"/>
          </w:tcPr>
          <w:p>
            <w:pPr>
              <w:pStyle w:val="TableContents"/>
              <w:bidi w:val="0"/>
              <w:spacing w:before="0" w:after="283"/>
              <w:jc w:val="both"/>
              <w:rPr/>
            </w:pPr>
            <w:r>
              <w:rPr/>
              <w:t>“</w:t>
            </w:r>
            <w:r>
              <w:rPr>
                <w:sz w:val="20"/>
              </w:rPr>
              <w:t>Immediate family” of a senior foreign political figure typically includes the figure’s parents, siblings, spouse, children and in-laws.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10042" w:type="dxa"/>
            <w:tcBorders/>
            <w:vAlign w:val="center"/>
          </w:tcPr>
          <w:p>
            <w:pPr>
              <w:pStyle w:val="TableContents"/>
              <w:bidi w:val="0"/>
              <w:spacing w:before="0" w:after="283"/>
              <w:jc w:val="both"/>
              <w:rPr>
                <w:sz w:val="20"/>
              </w:rPr>
            </w:pPr>
            <w:r>
              <w:rPr>
                <w:sz w:val="20"/>
              </w:rPr>
              <w:t>A “close associate” of a senior foreign political figure is a person who is widely and publicly known to maintain an unusually close relationship with the senior foreign political figure and includes a person who is in a position to conduct substantial domestic and international financial transactions on behalf of the senior foreign political figure.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Offering Documents have been duly and validly authorized by the Company. This Subscription Agreement, assuming due execution and delivery by the Subscriber, when the Subscription Agreement is executed and delivered by the Company, will be, valid and binding obligations of the Company, enforceable in accordance with their respective terms, except as the enforceability hereof and thereof may be limited by bankruptcy, insolvency, reorganization, moratorium or other similar laws now or hereafter in effect relating to or affecting creditors’ rights generally and general principles of equity, regardless of whether enforcement is considered in a proceeding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Securities are duly authorized and, when issued and paid for in accordance with the applicable Offering Documents, will be duly and validly issued, fully paid and nonassessable, free and clear of all liens imposed by the Company. The Underlying Shares, when issued upon conversion of the Series AAA Preferred Stock, will be validly issued, fully paid and nonassessable, free and clear of all liens imposed by the Company. The Company shall reserve from its duly authorized capital stock the maximum aggregate number of shares of Common Stock then issued or potentially issuable in the future pursuant to the Offering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The execution and delivery of the Offering Documents by the Company and the issuance of the Securities as contemplated by the Offering Documents do not and will not, with or without the giving of notice or the lapse of time, or both, (i) result in any violation of any provision of the articles of incorporation or by-laws or similar instruments of the Company or its subsidiaries, (ii) violate or contravene any applicable law, rule or regulation or any applicable decree, judgment or order of any court, United States federal or state regulatory body, administrative agency or other governmental body having jurisdiction over the Company or any of its subsidiaries or any of its respective properties or assets that would have a material adverse effect on the business, properties, operations, condition (financial or other), results of operations or prospects of the Company and its subsidiaries, taken as a whole, or the validity or enforceability of, or the ability of the Company to perform its obligations under, the Offering Documents, or (iii) have any material adverse effect on any permit, certification, registration, approval, consent, license or franchise necessary for the Company or its subsidiaries to own or lease and operate any of its properties and to conduct any of its business or the ability of the Company or its subsidiaries to make use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Company is not required to obtain any consent from, authorization or order of, or make any filing or registration with, any Governmental Entity (as defined below) or any regulatory or self-regulatory agency or any other Person in order for it to execute, deliver or perform any of its respective obligations under or contemplated by the Offering Documents, in each case, in accordance with the terms hereof or thereof (other than (i) the filing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of (A) one or more registration statements in accordance with the requirements of the Registration Rights Agreement, and (B) a Form D and any applicable filings as may be required by any state securities agencies that may be made following the execution and delivery of the Offering Documents and the consummation of the transactions contemplated thereby). “Governmental Entity”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The Company has timely filed all SEC Reports (as defined below); reports filed in compliance with the time periods specified in Rule 12b-25 promulgated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be considered timely for this purpose. As of their respective dates, the SEC Reports complied in all material respects with the requirements of the Exchange Act and the rules and regulations of the SEC promulgated thereunder applicable to the SEC Reports, and none of the SEC Reports,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Reports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currently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The Company is not currently contemplating to amend or restate any of the financial statements (including, without limitation, any notes or any letter of the independent accountants of the Company with respect thereto) included in the SEC Reports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 “SEC Reports” means (a) the Company’s most recently filed Annual Report on Form 10-K and (b) all Quarterly Reports on Form 10-Q or Current Reports on Form 8-K filed or furnished (as applicable) by the Company following the end of the most recent fiscal year for which an Annual Report on Form 10-K has been filed and prior to the execution of this Subscription Agreement, together in each case with any documents incorporated by reference therein and exhibits thereto.</w:t>
      </w:r>
    </w:p>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15"/>
        <w:gridCol w:w="1505"/>
      </w:tblGrid>
      <w:tr>
        <w:trPr/>
        <w:tc>
          <w:tcPr>
            <w:tcW w:w="215" w:type="dxa"/>
            <w:tcBorders/>
            <w:vAlign w:val="center"/>
          </w:tcPr>
          <w:p>
            <w:pPr>
              <w:pStyle w:val="TableContents"/>
              <w:bidi w:val="0"/>
              <w:spacing w:before="0" w:after="283"/>
              <w:jc w:val="left"/>
              <w:rPr>
                <w:b/>
              </w:rPr>
            </w:pPr>
            <w:r>
              <w:rPr>
                <w:b/>
              </w:rPr>
              <w:t>4.</w:t>
            </w:r>
          </w:p>
        </w:tc>
        <w:tc>
          <w:tcPr>
            <w:tcW w:w="1505" w:type="dxa"/>
            <w:tcBorders/>
            <w:vAlign w:val="center"/>
          </w:tcPr>
          <w:p>
            <w:pPr>
              <w:pStyle w:val="TableContents"/>
              <w:bidi w:val="0"/>
              <w:spacing w:before="0" w:after="283"/>
              <w:jc w:val="left"/>
              <w:rPr/>
            </w:pPr>
            <w:r>
              <w:rPr>
                <w:b/>
                <w:u w:val="single"/>
              </w:rPr>
              <w:t>Miscellaneous</w:t>
            </w: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Any notice or other communication given hereunder shall be deemed sufficient if in writing and sent by registered or certified mail, return receipt requested, addressed to the Company, at CaliberCos Inc., 8901 E. Mountain View Rd. Ste 150, Scottsdale, Arizona, Attention: Ilya Grozovsky, and to the Subscriber at his, her or its address indicated on the signature page of this Subscription Agreement. Notices shall be deemed to have been given three (3) business days after the date of mailing, except notices of change of address, which shall be deemed to have been given when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This Subscription Agreement may be amended through a written instrument signed by both the Subscriber and the Company; provided, however, that the terms of this Subscription Agreement may be amended without the consent or approval of the Subscriber so long as such amendment applies in the same fashion to the subscription agreements of all of the other subscribers for the Securities in the Offering and at least holders of a majority of the Securities sold in the Offering have given their approval of such amendment, which approval shall be binding on all holders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This Subscription Agreement shall be binding upon and inure to the benefit of the parties hereto and to their respective heirs, legal representatives, successors and assigns. This Subscription Agreement sets forth the entire agreement and understanding between the parties as to the subject matter hereof and merges and supersedes all prior discussions, agreements and understandings of any and every nature among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This Subscription Agreement shall be construed in accordance with the laws of the State of Delaware, without regard to principles of conflicts of law. The parties hereunder agree that any dispute arising out of or relating to an investment pursuant to this Subscription Agreement or concerning this Subscription Agreement, including but not limited to disputes as to arbitrability and all disputes with the Company, or any employee, agent, representative, officer, director or attorney of the Company, shall be resolved through final, binding, non-appealable arbitration, before a single, neutral arbitrator, at JAMS, in Scottsdale, Arizona in accordance with the rules and regulations of the American Arbitration Association. Venue of all arbitration shall be JAMS Dispute Resolution Center, Scottsdale, Arizona. The Parties agree that each side will pay fifty percent (50%) of the cost of any arbitration proceedings. Judgment on any arbitration award may be entered in any court having jurisdiction. Any arbitration award shall be in United States Dollars and may be enforced in any jurisdiction in which the party against whom enforcement is sought maintains assets. The Parties agree to limit their respective testimony at any arbitration hearing to three hours per side. SUBSCRIBER HEREBY WAIVES ANY RIGHT TO SEEK ANY TYPE OF DAMAGES OTHER THAN COMPENSATORY DAMAGES, INCLUDING BUT NOT LIMITED TO CONSEQUENTIAL DAMAGES AND PUNITIVE DAMAGES. SUBSCRIBER HEREBY FURTHER WAIVES THE RIGHT TO A TRIAL BY JURY, THE RIGHT TO BRING A CLASS ACTION SUIT, AND OTHER POTENTIAL REMEDIES THAT OTHERWISE MAY BE AFFORDED BY LAW. THIS IS A CLASS ACTION WAIVER THAT APPLIES TO ALL DISPUTES ARISING OUT OF THIS INVESTMENT, INCLUDING BUT NOT LIMITED TO ANY DISPUTES WITH THE COMPANY AND ALL OF ITS EMPLOYEES, AGENTS, REPRESENTATIVES, OFFICERS, DIRECTORS, OR ATTORNEYS.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This Subscription Agreement may be executed and delivered by Docusign, facsimile or by email with scanned copy.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The holding of any provision of this Subscription Agreement to be invalid or unenforceable by a court of competent jurisdiction shall not affect any other provision of this Subscription Agreement, which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It is agreed that a waiver by either party of a breach of any provision of this Subscription Agreement shall not operate, or be construed, as a waiver of any subsequent breach by that same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The parties agree to execute and deliver all such further documents, agreements and instruments and take such other and further action as may be necessary or appropriate to carry out the purposes and intent of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The Company agrees not to disclose the names, addresses or any other information about the Subscriber, except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The obligation of the Subscriber hereunder is several and not joint with the obligations of any other subscribers for the purchase of Securities in the Offering (the “</w:t>
      </w:r>
      <w:r>
        <w:rPr>
          <w:rFonts w:ascii="Times New Roman;Times;Serif" w:hAnsi="Times New Roman;Times;Serif"/>
          <w:b w:val="false"/>
          <w:i w:val="false"/>
          <w:caps w:val="false"/>
          <w:smallCaps w:val="false"/>
          <w:sz w:val="20"/>
          <w:u w:val="single"/>
        </w:rPr>
        <w:t>Other Subscribers</w:t>
      </w:r>
      <w:r>
        <w:rPr>
          <w:rFonts w:ascii="Times New Roman;Times;Serif" w:hAnsi="Times New Roman;Times;Serif"/>
          <w:b w:val="false"/>
          <w:i w:val="false"/>
          <w:caps w:val="false"/>
          <w:smallCaps w:val="false"/>
          <w:sz w:val="20"/>
        </w:rPr>
        <w:t>”), and the Subscriber shall not be responsible in any way for the performance of the obligations of any Other Subscribers of the Offering. Nothing contained herein or in any other agreement or document delivered at the closing, and no action taken by the Subscriber pursuant hereto, shall be deemed to constitute the Subscriber and the Other Subscribers of the Offering as a partnership, an association, a joint venture or any other kind of entity, or create a presumption that the Subscriber and the Other Subscribers of the Offering are in any way acting in concert with respect to such obligations or the transactions contemplated by this Subscription Agreement. The Subscriber shall be entitled to protect and enforce the Subscriber’s rights, including without limitation the rights arising out of this Subscription Agreement, and it shall not be necessary for any other subscriber(s) of the Offering to be joined as an additional party in any proceeding for such purpose. The Subscriber is not acting as part of a “group” (as that term is used in Section 13(d) of the Exchange Act) in negotiating and entering into this Subscription Agreement or purchasing, disposing of or voting any of the Securities. The Company hereby confirms that it understands and agrees that the Subscriber is not acting as part of any such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language used in this Subscription Agreement will be deemed to be the language chosen by the Parties to express their mutual intent, and no rules of strict construction will be applied against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The Offering shall terminate on the earlier of (i) June 30, 2026, (ii) the sale of all $40 million of Series AAA Preferred, or (iii) such earlier time as determined by the Company in its sole discretion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QUESTIONNAIRE AND SIGNATURE PAGE FOLLOWS</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instructed otherwise, the Investor should answer each question on the Questionnaire. If the answer to a particular question is “None” or “Not Applicable,” please so state. If the Questionnaire does not provide sufficient space to answer a question, please attach a separate schedule to your executed Questionnaire that indicates which question is being answered thereon. Persons having questions concerning any of the information requested in this Questionnaire should consult with their purchaser representative or representatives, lawyer, accountant or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 - FOR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Residence Address: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Address: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residence, if different: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Residence__________ Business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 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 all correspondence to: Residence__________ Business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 Investor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qualified to invest in the Securities, the Investor must either (i) be an Accredited Investor, or (ii) have, either alone or with your purchaser representative or representatives, such knowledge and experience in financial and business matters that you are capable of evaluating the merits and risks of such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check the appropriate representation that applies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Accredited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_________I am an Accredited Investor (as defined in Rule 501 of Regulation D promulgated under the Securities Act) because I certify that (check all appropriate descriptions that apply):</w:t>
      </w:r>
    </w:p>
    <w:p>
      <w:pPr>
        <w:pStyle w:val="TextBody"/>
        <w:bidi w:val="0"/>
        <w:spacing w:before="0" w:after="0"/>
        <w:ind w:left="0" w:right="0" w:firstLine="1033"/>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a.</w:t>
            </w:r>
          </w:p>
        </w:tc>
        <w:tc>
          <w:tcPr>
            <w:tcW w:w="10005" w:type="dxa"/>
            <w:tcBorders/>
            <w:vAlign w:val="center"/>
          </w:tcPr>
          <w:p>
            <w:pPr>
              <w:pStyle w:val="TableContents"/>
              <w:bidi w:val="0"/>
              <w:spacing w:before="0" w:after="283"/>
              <w:jc w:val="both"/>
              <w:rPr/>
            </w:pPr>
            <w:r>
              <w:rPr/>
              <w:t>______________ I have a net worth, or joint net worth with my spouse or spousal equivalent, of more than US$1,000,000. (“Net worth” means the excess of total assets at fair market value (including personal and real property but excluding the estimated fair market value of your primary home) over total liabilities. “Total liabilities” excludes any mortgage on the primary home in an amount of up to the home’s estimated fair market value as long as the mortgage was incurred more than 60 days before the Securities are purchased, but includes (i) any mortgage amount in excess of the home’s fair market value and (ii) any mortgage amount that was borrowed during the 60-day period before the closing date for the sale of the Securities for the purpose of investing in the Securities. “Spousal equivalent” means a cohabitant occupying a relationship generally equivalent to that of a spouse. “Joint net worth” is the aggregate net worth of a person and spouse or spousal equivalent; assets do not need to be held jointly to be included in the calculation.)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b.</w:t>
            </w:r>
          </w:p>
        </w:tc>
        <w:tc>
          <w:tcPr>
            <w:tcW w:w="9990" w:type="dxa"/>
            <w:tcBorders/>
            <w:vAlign w:val="center"/>
          </w:tcPr>
          <w:p>
            <w:pPr>
              <w:pStyle w:val="TableContents"/>
              <w:bidi w:val="0"/>
              <w:spacing w:before="0" w:after="283"/>
              <w:jc w:val="both"/>
              <w:rPr/>
            </w:pPr>
            <w:r>
              <w:rPr/>
              <w:t>______________ I have had an individual income in excess of US$200,000 in each of the two most recent calendar years, or joint income with my spouse or spousal equivalent in excess of US$300,000 in each of those years and have a reasonable expectation of reaching the same income level in the current calendar year. (“Income” means annual adjusted gross income, as reported for federal income tax purposes, plus (i) the amount of any tax-exempt interest income received; (ii) the amount of losses claimed as a limited partner in a limited partnership; (iii) any deduction claimed for depletion; (iv) amounts contributed to an IRA or Keogh retirement plan; (v) alimony paid; and (vi) any gains excluded from the calculation of adjusted gross income pursuant to the provisions of Section 1202 of the U.S. Internal Revenue Code of 1986,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c.</w:t>
            </w:r>
          </w:p>
        </w:tc>
        <w:tc>
          <w:tcPr>
            <w:tcW w:w="10035" w:type="dxa"/>
            <w:tcBorders/>
            <w:vAlign w:val="center"/>
          </w:tcPr>
          <w:p>
            <w:pPr>
              <w:pStyle w:val="TableContents"/>
              <w:bidi w:val="0"/>
              <w:spacing w:before="0" w:after="283"/>
              <w:jc w:val="both"/>
              <w:rPr>
                <w:sz w:val="20"/>
              </w:rPr>
            </w:pPr>
            <w:r>
              <w:rPr>
                <w:sz w:val="20"/>
              </w:rPr>
              <w:t>______________ I hold in good standing one of the following professional licenses: the General Securities Representative license (Series 7), the Private Securities Offerings Representative license (Series 82), or the Investment Adviser Representative license (Series 65).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d.</w:t>
            </w:r>
          </w:p>
        </w:tc>
        <w:tc>
          <w:tcPr>
            <w:tcW w:w="10020" w:type="dxa"/>
            <w:tcBorders/>
            <w:vAlign w:val="center"/>
          </w:tcPr>
          <w:p>
            <w:pPr>
              <w:pStyle w:val="TableContents"/>
              <w:bidi w:val="0"/>
              <w:spacing w:before="0" w:after="283"/>
              <w:jc w:val="both"/>
              <w:rPr>
                <w:sz w:val="20"/>
              </w:rPr>
            </w:pPr>
            <w:r>
              <w:rPr>
                <w:sz w:val="20"/>
              </w:rPr>
              <w:t>______________ I am a director, executive officer or general partner of the Company, or a director, executive officer or general partner of a general partner of the Company. (For purposes of this item 2, “executive officer” means the president; any vice president in charge of a principal business unit, division or function, such as sales, administration or finance; or any other person or persons who perform(s) similar policymaking functions for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II-PURCHASERS WHO ARE NOT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 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Entity: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Office: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Organization: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and State of Organization: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 Accredited Investor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qualified to invest in the Securities, the Investor must either (i) be an Accredited Investor, or (ii) have, and if applicable, its officers, employees, directors or equity owners have, either alone or with its purchaser representative or representatives, such knowledge and experience in financial and business matters that it is capable of evaluating the merits and risks of such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check the appropriate description which applies to you.</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a.</w:t>
            </w:r>
          </w:p>
        </w:tc>
        <w:tc>
          <w:tcPr>
            <w:tcW w:w="10035" w:type="dxa"/>
            <w:tcBorders/>
            <w:vAlign w:val="center"/>
          </w:tcPr>
          <w:p>
            <w:pPr>
              <w:pStyle w:val="TableContents"/>
              <w:bidi w:val="0"/>
              <w:spacing w:before="0" w:after="283"/>
              <w:jc w:val="both"/>
              <w:rPr>
                <w:sz w:val="20"/>
              </w:rPr>
            </w:pPr>
            <w:r>
              <w:rPr>
                <w:sz w:val="20"/>
              </w:rPr>
              <w:t>_____________ A bank, as defined in Section 3(a)(2) of the Securities Act or any savings and loan association or other institution as defined in Section 3(a)(5)(A) of the Securities Act, whether acting in an individual or a fiduciary capacity.</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185"/>
        <w:gridCol w:w="9455"/>
      </w:tblGrid>
      <w:tr>
        <w:trPr/>
        <w:tc>
          <w:tcPr>
            <w:tcW w:w="185" w:type="dxa"/>
            <w:tcBorders/>
            <w:vAlign w:val="center"/>
          </w:tcPr>
          <w:p>
            <w:pPr>
              <w:pStyle w:val="TableContents"/>
              <w:bidi w:val="0"/>
              <w:spacing w:before="0" w:after="283"/>
              <w:jc w:val="left"/>
              <w:rPr>
                <w:sz w:val="20"/>
              </w:rPr>
            </w:pPr>
            <w:r>
              <w:rPr>
                <w:sz w:val="20"/>
              </w:rPr>
              <w:t>b.</w:t>
            </w:r>
          </w:p>
        </w:tc>
        <w:tc>
          <w:tcPr>
            <w:tcW w:w="9455" w:type="dxa"/>
            <w:tcBorders/>
            <w:vAlign w:val="center"/>
          </w:tcPr>
          <w:p>
            <w:pPr>
              <w:pStyle w:val="TableContents"/>
              <w:bidi w:val="0"/>
              <w:spacing w:before="0" w:after="283"/>
              <w:jc w:val="both"/>
              <w:rPr>
                <w:sz w:val="20"/>
              </w:rPr>
            </w:pPr>
            <w:r>
              <w:rPr>
                <w:sz w:val="20"/>
              </w:rPr>
              <w:t>_____________ A broker or dealer registered under Section 15 of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c.</w:t>
            </w:r>
          </w:p>
        </w:tc>
        <w:tc>
          <w:tcPr>
            <w:tcW w:w="10035" w:type="dxa"/>
            <w:tcBorders/>
            <w:vAlign w:val="center"/>
          </w:tcPr>
          <w:p>
            <w:pPr>
              <w:pStyle w:val="TableContents"/>
              <w:bidi w:val="0"/>
              <w:spacing w:before="0" w:after="283"/>
              <w:jc w:val="both"/>
              <w:rPr>
                <w:sz w:val="20"/>
              </w:rPr>
            </w:pPr>
            <w:r>
              <w:rPr>
                <w:sz w:val="20"/>
              </w:rPr>
              <w:t>_____________ An investment adviser registered pursuant to Section 203 of the U.S. Investment Advisers Act of 1940 or registered pursuant to the laws of a state.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d.</w:t>
            </w:r>
          </w:p>
        </w:tc>
        <w:tc>
          <w:tcPr>
            <w:tcW w:w="10020" w:type="dxa"/>
            <w:tcBorders/>
            <w:vAlign w:val="center"/>
          </w:tcPr>
          <w:p>
            <w:pPr>
              <w:pStyle w:val="TableContents"/>
              <w:bidi w:val="0"/>
              <w:spacing w:before="0" w:after="283"/>
              <w:jc w:val="both"/>
              <w:rPr>
                <w:sz w:val="20"/>
              </w:rPr>
            </w:pPr>
            <w:r>
              <w:rPr>
                <w:sz w:val="20"/>
              </w:rPr>
              <w:t>_____________ An investment adviser relying on the exemption from registering with the SEC under Section 203(l) or (m) of the Investment Advisers Act of 1940.</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70"/>
        <w:gridCol w:w="7505"/>
      </w:tblGrid>
      <w:tr>
        <w:trPr/>
        <w:tc>
          <w:tcPr>
            <w:tcW w:w="170" w:type="dxa"/>
            <w:tcBorders/>
            <w:vAlign w:val="center"/>
          </w:tcPr>
          <w:p>
            <w:pPr>
              <w:pStyle w:val="TableContents"/>
              <w:bidi w:val="0"/>
              <w:spacing w:before="0" w:after="283"/>
              <w:jc w:val="left"/>
              <w:rPr>
                <w:sz w:val="20"/>
              </w:rPr>
            </w:pPr>
            <w:r>
              <w:rPr>
                <w:sz w:val="20"/>
              </w:rPr>
              <w:t>e.</w:t>
            </w:r>
          </w:p>
        </w:tc>
        <w:tc>
          <w:tcPr>
            <w:tcW w:w="7505" w:type="dxa"/>
            <w:tcBorders/>
            <w:vAlign w:val="center"/>
          </w:tcPr>
          <w:p>
            <w:pPr>
              <w:pStyle w:val="TableContents"/>
              <w:bidi w:val="0"/>
              <w:spacing w:before="0" w:after="283"/>
              <w:jc w:val="both"/>
              <w:rPr>
                <w:sz w:val="20"/>
              </w:rPr>
            </w:pPr>
            <w:r>
              <w:rPr>
                <w:sz w:val="20"/>
              </w:rPr>
              <w:t>_____________ An insurance company, as defined in Section 2(a)(13)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f.</w:t>
            </w:r>
          </w:p>
        </w:tc>
        <w:tc>
          <w:tcPr>
            <w:tcW w:w="10065" w:type="dxa"/>
            <w:tcBorders/>
            <w:vAlign w:val="center"/>
          </w:tcPr>
          <w:p>
            <w:pPr>
              <w:pStyle w:val="TableContents"/>
              <w:bidi w:val="0"/>
              <w:spacing w:before="0" w:after="283"/>
              <w:jc w:val="both"/>
              <w:rPr>
                <w:sz w:val="20"/>
              </w:rPr>
            </w:pPr>
            <w:r>
              <w:rPr>
                <w:sz w:val="20"/>
              </w:rPr>
              <w:t>_____________ An investment company registered under the Investment Company Act of 1940 or a business development company, as defined in Section 2(a)(48) of that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g.</w:t>
            </w:r>
          </w:p>
        </w:tc>
        <w:tc>
          <w:tcPr>
            <w:tcW w:w="10020" w:type="dxa"/>
            <w:tcBorders/>
            <w:vAlign w:val="center"/>
          </w:tcPr>
          <w:p>
            <w:pPr>
              <w:pStyle w:val="TableContents"/>
              <w:bidi w:val="0"/>
              <w:spacing w:before="0" w:after="283"/>
              <w:jc w:val="both"/>
              <w:rPr>
                <w:sz w:val="20"/>
              </w:rPr>
            </w:pPr>
            <w:r>
              <w:rPr>
                <w:sz w:val="20"/>
              </w:rPr>
              <w:t>_____________ A Small Business Investment Company licensed by the U.S. Small Business Administration under Section 301(c) or (d) of the U.S. Small Business Investment Act of 1958.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sz w:val="20"/>
              </w:rPr>
            </w:pPr>
            <w:r>
              <w:rPr>
                <w:sz w:val="20"/>
              </w:rPr>
              <w:t>h.</w:t>
            </w:r>
          </w:p>
        </w:tc>
        <w:tc>
          <w:tcPr>
            <w:tcW w:w="10020" w:type="dxa"/>
            <w:tcBorders/>
            <w:vAlign w:val="center"/>
          </w:tcPr>
          <w:p>
            <w:pPr>
              <w:pStyle w:val="TableContents"/>
              <w:bidi w:val="0"/>
              <w:spacing w:before="0" w:after="283"/>
              <w:jc w:val="both"/>
              <w:rPr>
                <w:sz w:val="20"/>
              </w:rPr>
            </w:pPr>
            <w:r>
              <w:rPr>
                <w:sz w:val="20"/>
              </w:rPr>
              <w:t>_____________ A Rural Business Investment Company as defined in Section 384A of the U.S. Consolidated Farm and Rural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i.</w:t>
            </w:r>
          </w:p>
        </w:tc>
        <w:tc>
          <w:tcPr>
            <w:tcW w:w="10065" w:type="dxa"/>
            <w:tcBorders/>
            <w:vAlign w:val="center"/>
          </w:tcPr>
          <w:p>
            <w:pPr>
              <w:pStyle w:val="TableContents"/>
              <w:bidi w:val="0"/>
              <w:spacing w:before="0" w:after="283"/>
              <w:jc w:val="both"/>
              <w:rPr>
                <w:sz w:val="20"/>
              </w:rPr>
            </w:pPr>
            <w:r>
              <w:rPr>
                <w:sz w:val="20"/>
              </w:rPr>
              <w:t>_____________ A plan established and maintained by a state, its political subdivisions or any agency or instrumentality of a state or its political subdivisions for the benefit of its employees, if the plan has total assets in excess of US$5 million.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j.</w:t>
            </w:r>
          </w:p>
        </w:tc>
        <w:tc>
          <w:tcPr>
            <w:tcW w:w="10065" w:type="dxa"/>
            <w:tcBorders/>
            <w:vAlign w:val="center"/>
          </w:tcPr>
          <w:p>
            <w:pPr>
              <w:pStyle w:val="TableContents"/>
              <w:bidi w:val="0"/>
              <w:spacing w:before="0" w:after="283"/>
              <w:jc w:val="both"/>
              <w:rPr>
                <w:sz w:val="20"/>
              </w:rPr>
            </w:pPr>
            <w:r>
              <w:rPr>
                <w:sz w:val="20"/>
              </w:rPr>
              <w:t>_____________ An employee benefit plan within the meaning of Title I of the Employee Retirement Income Security Act of 1974, if the investment decision is being made by a plan fiduciary, as defined in Section 3(21) of such act, and the plan fiduciary is either a bank, a savings and loan association, an insurance company, or a registered investment adviser, or if the employee benefit plan has total assets in excess of US$5 million, or if the employee benefit plan is a self- directed plan in which investment decisions are made solely by persons that are accredited investors.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sz w:val="20"/>
              </w:rPr>
            </w:pPr>
            <w:r>
              <w:rPr>
                <w:sz w:val="20"/>
              </w:rPr>
              <w:t>k.</w:t>
            </w:r>
          </w:p>
        </w:tc>
        <w:tc>
          <w:tcPr>
            <w:tcW w:w="10020" w:type="dxa"/>
            <w:tcBorders/>
            <w:vAlign w:val="center"/>
          </w:tcPr>
          <w:p>
            <w:pPr>
              <w:pStyle w:val="TableContents"/>
              <w:bidi w:val="0"/>
              <w:spacing w:before="0" w:after="283"/>
              <w:jc w:val="both"/>
              <w:rPr>
                <w:sz w:val="20"/>
              </w:rPr>
            </w:pPr>
            <w:r>
              <w:rPr>
                <w:sz w:val="20"/>
              </w:rPr>
              <w:t>_____________ A private business development company, as defined in Section 202(a)(22) of the Investment Advisers Act of 1940.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l.</w:t>
            </w:r>
          </w:p>
        </w:tc>
        <w:tc>
          <w:tcPr>
            <w:tcW w:w="10065" w:type="dxa"/>
            <w:tcBorders/>
            <w:vAlign w:val="center"/>
          </w:tcPr>
          <w:p>
            <w:pPr>
              <w:pStyle w:val="TableContents"/>
              <w:bidi w:val="0"/>
              <w:spacing w:before="0" w:after="283"/>
              <w:jc w:val="both"/>
              <w:rPr>
                <w:sz w:val="20"/>
              </w:rPr>
            </w:pPr>
            <w:r>
              <w:rPr>
                <w:sz w:val="20"/>
              </w:rPr>
              <w:t>_____________ A corporation, Massachusetts or similar business trust, partnership, or limited liability company or an organization described in Section 501(c)(3) of the Internal Revenue Code of 1986, as amended, that was not formed for the specific purpose of acquiring the Securities, and that has total assets in excess of US$5 million.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sz w:val="20"/>
              </w:rPr>
            </w:pPr>
            <w:r>
              <w:rPr>
                <w:sz w:val="20"/>
              </w:rPr>
              <w:t>m.</w:t>
            </w:r>
          </w:p>
        </w:tc>
        <w:tc>
          <w:tcPr>
            <w:tcW w:w="9975" w:type="dxa"/>
            <w:tcBorders/>
            <w:vAlign w:val="center"/>
          </w:tcPr>
          <w:p>
            <w:pPr>
              <w:pStyle w:val="TableContents"/>
              <w:bidi w:val="0"/>
              <w:spacing w:before="0" w:after="283"/>
              <w:jc w:val="both"/>
              <w:rPr>
                <w:sz w:val="20"/>
              </w:rPr>
            </w:pPr>
            <w:r>
              <w:rPr>
                <w:sz w:val="20"/>
              </w:rPr>
              <w:t>_____________ A trust with total assets in excess of US$5 million not formed for the specific purpose of acquiring the Securities, whose purchase is directed by a sophisticated person as described in Rule 506(b)(2)(ii) under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sz w:val="20"/>
              </w:rPr>
            </w:pPr>
            <w:r>
              <w:rPr>
                <w:sz w:val="20"/>
              </w:rPr>
              <w:t>n.</w:t>
            </w:r>
          </w:p>
        </w:tc>
        <w:tc>
          <w:tcPr>
            <w:tcW w:w="10020" w:type="dxa"/>
            <w:tcBorders/>
            <w:vAlign w:val="center"/>
          </w:tcPr>
          <w:p>
            <w:pPr>
              <w:pStyle w:val="TableContents"/>
              <w:bidi w:val="0"/>
              <w:spacing w:before="0" w:after="283"/>
              <w:jc w:val="both"/>
              <w:rPr>
                <w:sz w:val="20"/>
              </w:rPr>
            </w:pPr>
            <w:r>
              <w:rPr>
                <w:sz w:val="20"/>
              </w:rPr>
              <w:t>_____________ An entity in which all of the equity owners (whether entities themselves or natural persons) are accredited investors and meet the criteria listed under the section of “For Individual Investors Only” of this Certification.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sz w:val="20"/>
              </w:rPr>
            </w:pPr>
            <w:r>
              <w:rPr>
                <w:sz w:val="20"/>
              </w:rPr>
              <w:t>o.</w:t>
            </w:r>
          </w:p>
        </w:tc>
        <w:tc>
          <w:tcPr>
            <w:tcW w:w="10020" w:type="dxa"/>
            <w:tcBorders/>
            <w:vAlign w:val="center"/>
          </w:tcPr>
          <w:p>
            <w:pPr>
              <w:pStyle w:val="TableContents"/>
              <w:bidi w:val="0"/>
              <w:spacing w:before="0" w:after="283"/>
              <w:jc w:val="both"/>
              <w:rPr>
                <w:sz w:val="20"/>
              </w:rPr>
            </w:pPr>
            <w:r>
              <w:rPr>
                <w:sz w:val="20"/>
              </w:rPr>
              <w:t>_____________ An entity of a type not listed above, that is not formed for the specific purpose of acquiring the Shares and owns investments in excess of US$5 million. For purposes of this clause, “investments” means investments as defined in Rule 2a51-1(b) under the Investment Company Act of 1940.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p.</w:t>
            </w:r>
          </w:p>
        </w:tc>
        <w:tc>
          <w:tcPr>
            <w:tcW w:w="10020" w:type="dxa"/>
            <w:tcBorders/>
            <w:vAlign w:val="center"/>
          </w:tcPr>
          <w:p>
            <w:pPr>
              <w:pStyle w:val="TableContents"/>
              <w:bidi w:val="0"/>
              <w:spacing w:before="0" w:after="283"/>
              <w:jc w:val="both"/>
              <w:rPr>
                <w:sz w:val="20"/>
              </w:rPr>
            </w:pPr>
            <w:r>
              <w:rPr>
                <w:sz w:val="20"/>
              </w:rPr>
              <w:t>_____________ A family office, as defined in Rule 202(a)(11)(G)-1 under the Investment Advisers Act of 1940, that (i) has assets under management in excess of US$5 million; (ii) is not formed for the specific purpose of acquiring the Securities and (iii) has a person directing the prospective investment who has such knowledge and experience in financial and business matters so that the family office is capable of evaluating the merits and risks of the prospective investment.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z w:val="20"/>
              </w:rPr>
            </w:pPr>
            <w:r>
              <w:rPr>
                <w:sz w:val="20"/>
              </w:rPr>
              <w:t>q.</w:t>
            </w:r>
          </w:p>
        </w:tc>
        <w:tc>
          <w:tcPr>
            <w:tcW w:w="10020" w:type="dxa"/>
            <w:tcBorders/>
            <w:vAlign w:val="center"/>
          </w:tcPr>
          <w:p>
            <w:pPr>
              <w:pStyle w:val="TableContents"/>
              <w:bidi w:val="0"/>
              <w:spacing w:before="0" w:after="283"/>
              <w:jc w:val="both"/>
              <w:rPr>
                <w:sz w:val="20"/>
              </w:rPr>
            </w:pPr>
            <w:r>
              <w:rPr>
                <w:sz w:val="20"/>
              </w:rPr>
              <w:t>_____________ A family client, as defined in Rule 202(a)(11)(G)-1 under the Investment Advisers Act of 1940, of a family office meeting the requirements of the immediately preceding clause and whose prospective investment in the Issuer is directed by that family office pursuant to subclause (iii) of the immediately preceding clause.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constitutes the signature page for the Subscription Agreement, the Investor Questionnaire and execution of this signature page constitutes execution of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Subscriber has executed this Subscription Agreement and Investor Questionnaire this______day of_________, 2026.</w:t>
      </w:r>
    </w:p>
    <w:p>
      <w:pPr>
        <w:pStyle w:val="TextBody"/>
        <w:bidi w:val="0"/>
        <w:spacing w:before="0" w:after="0"/>
        <w:ind w:left="0" w:right="0" w:firstLine="720"/>
        <w:jc w:val="left"/>
        <w:rPr>
          <w:caps w:val="false"/>
          <w:smallCaps w:val="false"/>
        </w:rPr>
      </w:pPr>
      <w:r>
        <w:rPr>
          <w:caps w:val="false"/>
          <w:smallCaps w:val="false"/>
        </w:rPr>
        <w:t> </w:t>
      </w:r>
    </w:p>
    <w:tbl>
      <w:tblPr>
        <w:tblW w:w="6049" w:type="dxa"/>
        <w:jc w:val="left"/>
        <w:tblInd w:w="0" w:type="dxa"/>
        <w:tblLayout w:type="fixed"/>
        <w:tblCellMar>
          <w:top w:w="0" w:type="dxa"/>
          <w:left w:w="0" w:type="dxa"/>
          <w:bottom w:w="0" w:type="dxa"/>
          <w:right w:w="0" w:type="dxa"/>
        </w:tblCellMar>
      </w:tblPr>
      <w:tblGrid>
        <w:gridCol w:w="75"/>
        <w:gridCol w:w="2239"/>
        <w:gridCol w:w="3735"/>
      </w:tblGrid>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xml:space="preserve">$ </w:t>
            </w:r>
            <w:r>
              <w:rPr>
                <w:u w:val="single"/>
              </w:rPr>
              <w:t xml:space="preserve">_______________________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Purchase Price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Purchase Price: ☐ Cash ☐ Cancellation of the Existing Notes</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b/>
              </w:rPr>
            </w:pPr>
            <w:r>
              <w:rPr>
                <w:b/>
              </w:rPr>
              <w:t>For Individuals:</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Name of Subscriber (print or type)</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xml:space="preserve">(Signature)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Name of Joint Subscriber (print or type) (if applicable)</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(Joint Signature, if applicable)</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b/>
              </w:rPr>
            </w:pPr>
            <w:r>
              <w:rPr>
                <w:b/>
              </w:rPr>
              <w:t>For Entities:</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Name of Subscriber (print or type)</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pPr>
            <w:r>
              <w:rPr/>
              <w:t>By:</w:t>
            </w:r>
          </w:p>
        </w:tc>
        <w:tc>
          <w:tcPr>
            <w:tcW w:w="37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pPr>
            <w:r>
              <w:rPr/>
              <w:t> </w:t>
            </w:r>
          </w:p>
        </w:tc>
        <w:tc>
          <w:tcPr>
            <w:tcW w:w="3735" w:type="dxa"/>
            <w:tcBorders/>
            <w:vAlign w:val="center"/>
          </w:tcPr>
          <w:p>
            <w:pPr>
              <w:pStyle w:val="TableContents"/>
              <w:bidi w:val="0"/>
              <w:spacing w:before="0" w:after="283"/>
              <w:jc w:val="left"/>
              <w:rPr/>
            </w:pPr>
            <w:r>
              <w:rPr/>
              <w:t>(Signature)</w:t>
            </w:r>
          </w:p>
        </w:tc>
      </w:tr>
      <w:tr>
        <w:trPr/>
        <w:tc>
          <w:tcPr>
            <w:tcW w:w="75"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pPr>
            <w:r>
              <w:rPr/>
              <w:t>Name:</w:t>
            </w:r>
          </w:p>
        </w:tc>
        <w:tc>
          <w:tcPr>
            <w:tcW w:w="37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pPr>
            <w:r>
              <w:rPr/>
              <w:t>Title:</w:t>
            </w:r>
          </w:p>
        </w:tc>
        <w:tc>
          <w:tcPr>
            <w:tcW w:w="37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4" w:type="dxa"/>
            <w:gridSpan w:val="2"/>
            <w:tcBorders/>
            <w:vAlign w:val="center"/>
          </w:tcPr>
          <w:p>
            <w:pPr>
              <w:pStyle w:val="TableContents"/>
              <w:bidi w:val="0"/>
              <w:spacing w:before="0" w:after="283"/>
              <w:jc w:val="left"/>
              <w:rPr/>
            </w:pPr>
            <w:r>
              <w:rPr/>
              <w:t>(Name and Initials of IRA custodian,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as of__________, 2026:</w:t>
      </w:r>
    </w:p>
    <w:p>
      <w:pPr>
        <w:pStyle w:val="TextBody"/>
        <w:bidi w:val="0"/>
        <w:spacing w:before="0" w:after="0"/>
        <w:ind w:left="0" w:right="0" w:hanging="0"/>
        <w:jc w:val="left"/>
        <w:rPr>
          <w:caps w:val="false"/>
          <w:smallCaps w:val="false"/>
        </w:rPr>
      </w:pPr>
      <w:r>
        <w:rPr>
          <w:caps w:val="false"/>
          <w:smallCaps w:val="false"/>
        </w:rPr>
        <w:t> </w:t>
      </w:r>
    </w:p>
    <w:tbl>
      <w:tblPr>
        <w:tblW w:w="2660" w:type="dxa"/>
        <w:jc w:val="left"/>
        <w:tblInd w:w="0" w:type="dxa"/>
        <w:tblLayout w:type="fixed"/>
        <w:tblCellMar>
          <w:top w:w="0" w:type="dxa"/>
          <w:left w:w="0" w:type="dxa"/>
          <w:bottom w:w="0" w:type="dxa"/>
          <w:right w:w="0" w:type="dxa"/>
        </w:tblCellMar>
      </w:tblPr>
      <w:tblGrid>
        <w:gridCol w:w="75"/>
        <w:gridCol w:w="710"/>
        <w:gridCol w:w="1875"/>
      </w:tblGrid>
      <w:tr>
        <w:trPr/>
        <w:tc>
          <w:tcPr>
            <w:tcW w:w="75"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pPr>
            <w:r>
              <w:rPr>
                <w:b/>
              </w:rPr>
              <w:t>CALIBERCOS</w:t>
            </w:r>
            <w:r>
              <w:rPr/>
              <w:t xml:space="preserve"> </w:t>
            </w:r>
            <w:r>
              <w:rPr>
                <w:b/>
              </w:rPr>
              <w:t>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8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87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18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8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29343</Words>
  <Characters>156206</Characters>
  <CharactersWithSpaces>185967</CharactersWithSpaces>
  <Paragraphs>1496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