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rFonts w:ascii="Times New Roman;serif" w:hAnsi="Times New Roman;serif"/>
          <w:b w:val="false"/>
          <w:color w:val="000000"/>
          <w:sz w:val="20"/>
        </w:rPr>
        <w:t>______</w:t>
      </w:r>
      <w:r>
        <w:rPr>
          <w:color w:val="000000"/>
        </w:rPr>
        <w:t xml:space="preserve"> </w:t>
      </w:r>
      <w:r>
        <w:rPr>
          <w:rFonts w:ascii="Times New Roman;serif" w:hAnsi="Times New Roman;serif"/>
          <w:b/>
          <w:color w:val="000000"/>
          <w:sz w:val="20"/>
        </w:rPr>
        <w:t xml:space="preserve">to </w:t>
      </w:r>
      <w:r>
        <w:rPr>
          <w:rFonts w:ascii="Times New Roman;serif" w:hAnsi="Times New Roman;serif"/>
          <w:b w:val="false"/>
          <w:color w:val="000000"/>
          <w:sz w:val="20"/>
        </w:rPr>
        <w:t>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001-41703</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CALIBERCOS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1427"/>
        <w:gridCol w:w="1427"/>
        <w:gridCol w:w="1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(480) 295-7600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Exchange Act of 1934:</w:t>
      </w:r>
    </w:p>
    <w:tbl>
      <w:tblPr>
        <w:tblW w:w="9554" w:type="dxa"/>
        <w:jc w:val="left"/>
        <w:tblInd w:w="0" w:type="dxa"/>
        <w:tblLayout w:type="fixed"/>
        <w:tblCellMar>
          <w:top w:w="28" w:type="dxa"/>
          <w:left w:w="28" w:type="dxa"/>
          <w:bottom w:w="28" w:type="dxa"/>
          <w:right w:w="28" w:type="dxa"/>
        </w:tblCellMar>
      </w:tblPr>
      <w:tblGrid>
        <w:gridCol w:w="1532"/>
        <w:gridCol w:w="1341"/>
        <w:gridCol w:w="1357"/>
        <w:gridCol w:w="539"/>
        <w:gridCol w:w="539"/>
        <w:gridCol w:w="541"/>
        <w:gridCol w:w="1085"/>
        <w:gridCol w:w="1085"/>
        <w:gridCol w:w="1535"/>
      </w:tblGrid>
      <w:tr>
        <w:trPr/>
        <w:tc>
          <w:tcPr>
            <w:tcW w:w="153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Class A common stock, $0.001 par value per share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August 11, 2026, there were 10,384,653 shares of Class A common stock of CaliberCos Inc.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 this report, the term “Company” refers to CaliberCos Inc. and its wholly-owned subsidiaries. The “Consolidated Funds” refers to the Company’s consolidated variable interest entities. The “Consolidated Company”, “Caliber”, “we”, “us”, and “our” refers to the Company and the Consolidated Funds collectively.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estimates of our expenses, future revenues, capital requirements and our needs for additional financing;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estimates of the size of our market opportunities;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successfully enter new markets, manage our growth expansion and comply with any applicable laws and regulations;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effects of increased competition from our market competitors;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significant disruption in, or breach in security of, our information technology systems and resultant interruptions in service and any related impact on our reputation;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attraction and retention of qualified employees and key personnel;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effectiveness of our internal controls;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changes in laws and government regulation affecting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impact of adverse economic conditions;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sufficiency of our cash and cash equivalents to meet our liquidity needs and service our indebtedness;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outcomes of legal or administrative proceedings.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09"/>
        <w:gridCol w:w="2975"/>
        <w:gridCol w:w="2982"/>
        <w:gridCol w:w="109"/>
        <w:gridCol w:w="109"/>
        <w:gridCol w:w="109"/>
        <w:gridCol w:w="149"/>
        <w:gridCol w:w="149"/>
        <w:gridCol w:w="214"/>
      </w:tblGrid>
      <w:tr>
        <w:trPr/>
        <w:tc>
          <w:tcPr>
            <w:tcW w:w="3409"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3">
              <w:r>
                <w:rPr>
                  <w:rStyle w:val="InternetLink"/>
                  <w:rFonts w:ascii="Times New Roman;serif" w:hAnsi="Times New Roman;serif"/>
                  <w:b/>
                  <w:color w:val="0000FF"/>
                  <w:sz w:val="20"/>
                  <w:u w:val="single"/>
                </w:rPr>
                <w:t>Part I - Financial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right"/>
              <w:rPr/>
            </w:pPr>
            <w:hyperlink w:anchor="i30db30ca7175400db4ea6cd96ebc6133_13">
              <w:r>
                <w:rPr>
                  <w:rStyle w:val="InternetLink"/>
                  <w:rFonts w:ascii="Times New Roman;serif" w:hAnsi="Times New Roman;serif"/>
                  <w:b w:val="false"/>
                  <w:color w:val="0000FF"/>
                  <w:sz w:val="20"/>
                  <w:u w:val="single"/>
                </w:rPr>
                <w:t>4</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6">
              <w:r>
                <w:rPr>
                  <w:rStyle w:val="InternetLink"/>
                  <w:rFonts w:ascii="Times New Roman;serif" w:hAnsi="Times New Roman;serif"/>
                  <w:b w:val="false"/>
                  <w:color w:val="0000FF"/>
                  <w:sz w:val="20"/>
                  <w:u w:val="single"/>
                </w:rPr>
                <w:t>Item 1. Unaudited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6">
              <w:r>
                <w:rPr>
                  <w:rStyle w:val="InternetLink"/>
                  <w:rFonts w:ascii="Times New Roman;serif" w:hAnsi="Times New Roman;serif"/>
                  <w:b w:val="false"/>
                  <w:color w:val="0000FF"/>
                  <w:sz w:val="20"/>
                  <w:u w:val="single"/>
                </w:rPr>
                <w:t>4</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9">
              <w:r>
                <w:rPr>
                  <w:rStyle w:val="InternetLink"/>
                  <w:rFonts w:ascii="Times New Roman;serif" w:hAnsi="Times New Roman;serif"/>
                  <w:b w:val="false"/>
                  <w:color w:val="0000FF"/>
                  <w:sz w:val="20"/>
                  <w:u w:val="single"/>
                </w:rPr>
                <w:t>Condensed Consolidated Balance Sheets as of June 30, 2026 and December 31, 2025</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9">
              <w:r>
                <w:rPr>
                  <w:rStyle w:val="InternetLink"/>
                  <w:rFonts w:ascii="Times New Roman;serif" w:hAnsi="Times New Roman;serif"/>
                  <w:b w:val="false"/>
                  <w:color w:val="0000FF"/>
                  <w:sz w:val="20"/>
                  <w:u w:val="single"/>
                </w:rPr>
                <w:t>4</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22">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22">
              <w:r>
                <w:rPr>
                  <w:rStyle w:val="InternetLink"/>
                  <w:rFonts w:ascii="Times New Roman;serif" w:hAnsi="Times New Roman;serif"/>
                  <w:b w:val="false"/>
                  <w:color w:val="0000FF"/>
                  <w:sz w:val="20"/>
                  <w:u w:val="single"/>
                </w:rPr>
                <w:t>6</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25">
              <w:r>
                <w:rPr>
                  <w:rStyle w:val="InternetLink"/>
                  <w:rFonts w:ascii="Times New Roman;serif" w:hAnsi="Times New Roman;serif"/>
                  <w:b w:val="false"/>
                  <w:color w:val="0000FF"/>
                  <w:sz w:val="20"/>
                  <w:u w:val="single"/>
                </w:rPr>
                <w:t>Condensed Consolidated Statements of Changes in Stockholders’ Equity for the Three and Six Months Ended June 30, 2026 and 2025</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25">
              <w:r>
                <w:rPr>
                  <w:rStyle w:val="InternetLink"/>
                  <w:rFonts w:ascii="Times New Roman;serif" w:hAnsi="Times New Roman;serif"/>
                  <w:b w:val="false"/>
                  <w:color w:val="0000FF"/>
                  <w:sz w:val="20"/>
                  <w:u w:val="single"/>
                </w:rPr>
                <w:t>7</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28">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28">
              <w:r>
                <w:rPr>
                  <w:rStyle w:val="InternetLink"/>
                  <w:rFonts w:ascii="Times New Roman;serif" w:hAnsi="Times New Roman;serif"/>
                  <w:b w:val="false"/>
                  <w:color w:val="0000FF"/>
                  <w:sz w:val="20"/>
                  <w:u w:val="single"/>
                </w:rPr>
                <w:t>9</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31">
              <w:r>
                <w:rPr>
                  <w:rStyle w:val="InternetLink"/>
                  <w:rFonts w:ascii="Times New Roman;serif" w:hAnsi="Times New Roman;serif"/>
                  <w:b w:val="false"/>
                  <w:color w:val="0000FF"/>
                  <w:sz w:val="20"/>
                  <w:u w:val="single"/>
                </w:rPr>
                <w:t>Notes to Condensed Consolidated Financial Statements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31">
              <w:r>
                <w:rPr>
                  <w:rStyle w:val="InternetLink"/>
                  <w:rFonts w:ascii="Times New Roman;serif" w:hAnsi="Times New Roman;serif"/>
                  <w:b w:val="false"/>
                  <w:color w:val="0000FF"/>
                  <w:sz w:val="20"/>
                  <w:u w:val="single"/>
                </w:rPr>
                <w:t>11</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9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97">
              <w:r>
                <w:rPr>
                  <w:rStyle w:val="InternetLink"/>
                  <w:rFonts w:ascii="Times New Roman;serif" w:hAnsi="Times New Roman;serif"/>
                  <w:b w:val="false"/>
                  <w:color w:val="0000FF"/>
                  <w:sz w:val="20"/>
                  <w:u w:val="single"/>
                </w:rPr>
                <w:t>49</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39">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39">
              <w:r>
                <w:rPr>
                  <w:rStyle w:val="InternetLink"/>
                  <w:rFonts w:ascii="Times New Roman;serif" w:hAnsi="Times New Roman;serif"/>
                  <w:b w:val="false"/>
                  <w:color w:val="0000FF"/>
                  <w:sz w:val="20"/>
                  <w:u w:val="single"/>
                </w:rPr>
                <w:t>77</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42">
              <w:r>
                <w:rPr>
                  <w:rStyle w:val="InternetLink"/>
                  <w:rFonts w:ascii="Times New Roman;serif" w:hAnsi="Times New Roman;serif"/>
                  <w:b w:val="false"/>
                  <w:color w:val="0000FF"/>
                  <w:sz w:val="20"/>
                  <w:u w:val="single"/>
                </w:rPr>
                <w:t>Item 4.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42">
              <w:r>
                <w:rPr>
                  <w:rStyle w:val="InternetLink"/>
                  <w:rFonts w:ascii="Times New Roman;serif" w:hAnsi="Times New Roman;serif"/>
                  <w:b w:val="false"/>
                  <w:color w:val="0000FF"/>
                  <w:sz w:val="20"/>
                  <w:u w:val="single"/>
                </w:rPr>
                <w:t>78</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45">
              <w:r>
                <w:rPr>
                  <w:rStyle w:val="InternetLink"/>
                  <w:rFonts w:ascii="Times New Roman;serif" w:hAnsi="Times New Roman;serif"/>
                  <w:b/>
                  <w:color w:val="0000FF"/>
                  <w:sz w:val="20"/>
                  <w:u w:val="single"/>
                </w:rPr>
                <w:t>Part II - Other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45">
              <w:r>
                <w:rPr>
                  <w:rStyle w:val="InternetLink"/>
                  <w:rFonts w:ascii="Times New Roman;serif" w:hAnsi="Times New Roman;serif"/>
                  <w:b w:val="false"/>
                  <w:color w:val="0000FF"/>
                  <w:sz w:val="20"/>
                  <w:u w:val="single"/>
                </w:rPr>
                <w:t>79</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48">
              <w:r>
                <w:rPr>
                  <w:rStyle w:val="InternetLink"/>
                  <w:rFonts w:ascii="Times New Roman;serif" w:hAnsi="Times New Roman;serif"/>
                  <w:b w:val="false"/>
                  <w:color w:val="0000FF"/>
                  <w:sz w:val="20"/>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48">
              <w:r>
                <w:rPr>
                  <w:rStyle w:val="InternetLink"/>
                  <w:rFonts w:ascii="Times New Roman;serif" w:hAnsi="Times New Roman;serif"/>
                  <w:b w:val="false"/>
                  <w:color w:val="0000FF"/>
                  <w:sz w:val="20"/>
                  <w:u w:val="single"/>
                </w:rPr>
                <w:t>79</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51">
              <w:r>
                <w:rPr>
                  <w:rStyle w:val="InternetLink"/>
                  <w:rFonts w:ascii="Times New Roman;serif" w:hAnsi="Times New Roman;serif"/>
                  <w:b w:val="false"/>
                  <w:color w:val="0000FF"/>
                  <w:sz w:val="20"/>
                  <w:u w:val="single"/>
                </w:rPr>
                <w:t xml:space="preserve">Item 1A. Risk Factors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51">
              <w:r>
                <w:rPr>
                  <w:rStyle w:val="InternetLink"/>
                  <w:rFonts w:ascii="Times New Roman;serif" w:hAnsi="Times New Roman;serif"/>
                  <w:b w:val="false"/>
                  <w:color w:val="0000FF"/>
                  <w:sz w:val="20"/>
                  <w:u w:val="single"/>
                </w:rPr>
                <w:t>79</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54">
              <w:r>
                <w:rPr>
                  <w:rStyle w:val="InternetLink"/>
                  <w:rFonts w:ascii="Times New Roman;serif" w:hAnsi="Times New Roman;serif"/>
                  <w:b w:val="false"/>
                  <w:color w:val="0000FF"/>
                  <w:sz w:val="20"/>
                  <w:u w:val="single"/>
                </w:rPr>
                <w:t>Item 2. Unregistered Sales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54">
              <w:r>
                <w:rPr>
                  <w:rStyle w:val="InternetLink"/>
                  <w:rFonts w:ascii="Times New Roman;serif" w:hAnsi="Times New Roman;serif"/>
                  <w:b w:val="false"/>
                  <w:color w:val="0000FF"/>
                  <w:sz w:val="20"/>
                  <w:u w:val="single"/>
                </w:rPr>
                <w:t>79</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57">
              <w:r>
                <w:rPr>
                  <w:rStyle w:val="InternetLink"/>
                  <w:rFonts w:ascii="Times New Roman;serif" w:hAnsi="Times New Roman;serif"/>
                  <w:b w:val="false"/>
                  <w:color w:val="0000FF"/>
                  <w:sz w:val="20"/>
                  <w:u w:val="single"/>
                </w:rPr>
                <w:t>Item 3. Defaults Upon Senior Securities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57">
              <w:r>
                <w:rPr>
                  <w:rStyle w:val="InternetLink"/>
                  <w:rFonts w:ascii="Times New Roman;serif" w:hAnsi="Times New Roman;serif"/>
                  <w:b w:val="false"/>
                  <w:color w:val="0000FF"/>
                  <w:sz w:val="20"/>
                  <w:u w:val="single"/>
                </w:rPr>
                <w:t>79</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60">
              <w:r>
                <w:rPr>
                  <w:rStyle w:val="InternetLink"/>
                  <w:rFonts w:ascii="Times New Roman;serif" w:hAnsi="Times New Roman;serif"/>
                  <w:b w:val="false"/>
                  <w:color w:val="0000FF"/>
                  <w:sz w:val="20"/>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60">
              <w:r>
                <w:rPr>
                  <w:rStyle w:val="InternetLink"/>
                  <w:rFonts w:ascii="Times New Roman;serif" w:hAnsi="Times New Roman;serif"/>
                  <w:b w:val="false"/>
                  <w:color w:val="0000FF"/>
                  <w:sz w:val="20"/>
                  <w:u w:val="single"/>
                </w:rPr>
                <w:t>79</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63">
              <w:r>
                <w:rPr>
                  <w:rStyle w:val="InternetLink"/>
                  <w:rFonts w:ascii="Times New Roman;serif" w:hAnsi="Times New Roman;serif"/>
                  <w:b w:val="false"/>
                  <w:color w:val="0000FF"/>
                  <w:sz w:val="20"/>
                  <w:u w:val="single"/>
                </w:rPr>
                <w:t xml:space="preserve">Item 5. Other Information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63">
              <w:r>
                <w:rPr>
                  <w:rStyle w:val="InternetLink"/>
                  <w:rFonts w:ascii="Times New Roman;serif" w:hAnsi="Times New Roman;serif"/>
                  <w:b w:val="false"/>
                  <w:color w:val="0000FF"/>
                  <w:sz w:val="20"/>
                  <w:u w:val="single"/>
                </w:rPr>
                <w:t>79</w:t>
              </w:r>
            </w:hyperlink>
          </w:p>
        </w:tc>
      </w:tr>
      <w:tr>
        <w:trPr/>
        <w:tc>
          <w:tcPr>
            <w:tcW w:w="9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66">
              <w:r>
                <w:rPr>
                  <w:rStyle w:val="InternetLink"/>
                  <w:rFonts w:ascii="Times New Roman;serif" w:hAnsi="Times New Roman;serif"/>
                  <w:b w:val="false"/>
                  <w:color w:val="0000FF"/>
                  <w:sz w:val="20"/>
                  <w:u w:val="single"/>
                </w:rPr>
                <w:t>Item 6. Exhibit Index</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66">
              <w:r>
                <w:rPr>
                  <w:rStyle w:val="InternetLink"/>
                  <w:rFonts w:ascii="Times New Roman;serif" w:hAnsi="Times New Roman;serif"/>
                  <w:b w:val="false"/>
                  <w:color w:val="0000FF"/>
                  <w:sz w:val="20"/>
                  <w:u w:val="single"/>
                </w:rPr>
                <w:t>80</w:t>
              </w:r>
            </w:hyperlink>
          </w:p>
        </w:tc>
      </w:tr>
      <w:tr>
        <w:trPr/>
        <w:tc>
          <w:tcPr>
            <w:tcW w:w="93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30db30ca7175400db4ea6cd96ebc6133_169">
              <w:r>
                <w:rPr>
                  <w:rStyle w:val="InternetLink"/>
                  <w:rFonts w:ascii="Times New Roman;serif" w:hAnsi="Times New Roman;serif"/>
                  <w:b w:val="false"/>
                  <w:color w:val="0000FF"/>
                  <w:sz w:val="20"/>
                  <w:u w:val="single"/>
                </w:rPr>
                <w:t>Signatures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30db30ca7175400db4ea6cd96ebc6133_169">
              <w:r>
                <w:rPr>
                  <w:rStyle w:val="InternetLink"/>
                  <w:rFonts w:ascii="Times New Roman;serif" w:hAnsi="Times New Roman;serif"/>
                  <w:b w:val="false"/>
                  <w:color w:val="0000FF"/>
                  <w:sz w:val="20"/>
                  <w:u w:val="single"/>
                </w:rPr>
                <w:t>82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978"/>
        <w:gridCol w:w="2176"/>
        <w:gridCol w:w="2164"/>
        <w:gridCol w:w="218"/>
        <w:gridCol w:w="855"/>
        <w:gridCol w:w="112"/>
        <w:gridCol w:w="109"/>
        <w:gridCol w:w="109"/>
        <w:gridCol w:w="109"/>
        <w:gridCol w:w="242"/>
        <w:gridCol w:w="951"/>
        <w:gridCol w:w="182"/>
      </w:tblGrid>
      <w:tr>
        <w:trPr/>
        <w:tc>
          <w:tcPr>
            <w:tcW w:w="2978"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 allowance of $871 and $909, respectively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from related parties, net of allowance of $4,361 and $4,071, respectively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 of consolidated funds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177,659 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Series AA cumulative redeemable preferred stock, net of issuance costs, $25.00 per share stated value, 800,000 shares authorized, 359,215 and 221,434 shares issued and outstanding as of June 30, 2026 and December 31, 2025, respectively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 of consolidated funds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 related parties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142,940 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671"/>
        <w:gridCol w:w="2285"/>
        <w:gridCol w:w="2292"/>
        <w:gridCol w:w="220"/>
        <w:gridCol w:w="864"/>
        <w:gridCol w:w="113"/>
        <w:gridCol w:w="109"/>
        <w:gridCol w:w="109"/>
        <w:gridCol w:w="109"/>
        <w:gridCol w:w="253"/>
        <w:gridCol w:w="992"/>
        <w:gridCol w:w="188"/>
      </w:tblGrid>
      <w:tr>
        <w:trPr/>
        <w:tc>
          <w:tcPr>
            <w:tcW w:w="2671"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Series A non-cumulative convertible preferred stock, $0.001 par value; 22,500,000 shares authorized, and 5,875 shares issued and outstanding as of June 30, 2026 and December 31, 2025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Series B convertible preferred stock, $0.001 par value; 50,000 shares authorized, and zero and 15,868 shares issued and outstanding as of June 30, 2026 and December 31, 2025, respectively</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Series AAA convertible preferred stock, $0.001 par value; 40,000 shares authorized, and 1,529 and zero shares issued and outstanding as of June 30, 2026 and December 31, 2025, respectively</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Common stock Class A, $0.001 par value; 100,000,000 shares authorized, 8,876,843 and 6,534,319 shares issued and outstanding as of June 30, 2026 and December 31, 2025, respectively</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Common stock Class B, $0.001 par value; 15,000,000 shares authorized, zero and 370,822 shares issued and outstanding as of June 30, 2026 and December 31, 2025, respectively</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 equity attributable to CaliberCos Inc.</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attributable to noncontrolling interests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177,659 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1819"/>
        <w:gridCol w:w="1560"/>
        <w:gridCol w:w="1574"/>
        <w:gridCol w:w="229"/>
        <w:gridCol w:w="740"/>
        <w:gridCol w:w="118"/>
        <w:gridCol w:w="118"/>
        <w:gridCol w:w="118"/>
        <w:gridCol w:w="118"/>
        <w:gridCol w:w="229"/>
        <w:gridCol w:w="740"/>
        <w:gridCol w:w="118"/>
        <w:gridCol w:w="109"/>
        <w:gridCol w:w="109"/>
        <w:gridCol w:w="109"/>
        <w:gridCol w:w="213"/>
        <w:gridCol w:w="685"/>
        <w:gridCol w:w="109"/>
        <w:gridCol w:w="109"/>
        <w:gridCol w:w="109"/>
        <w:gridCol w:w="109"/>
        <w:gridCol w:w="213"/>
        <w:gridCol w:w="685"/>
        <w:gridCol w:w="165"/>
      </w:tblGrid>
      <w:tr>
        <w:trPr/>
        <w:tc>
          <w:tcPr>
            <w:tcW w:w="181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8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12615" w:type="dxa"/>
        <w:jc w:val="left"/>
        <w:tblInd w:w="0" w:type="dxa"/>
        <w:tblLayout w:type="fixed"/>
        <w:tblCellMar>
          <w:top w:w="28" w:type="dxa"/>
          <w:left w:w="28" w:type="dxa"/>
          <w:bottom w:w="28" w:type="dxa"/>
          <w:right w:w="28" w:type="dxa"/>
        </w:tblCellMar>
      </w:tblPr>
      <w:tblGrid>
        <w:gridCol w:w="457"/>
        <w:gridCol w:w="349"/>
        <w:gridCol w:w="350"/>
        <w:gridCol w:w="203"/>
        <w:gridCol w:w="203"/>
        <w:gridCol w:w="196"/>
        <w:gridCol w:w="109"/>
        <w:gridCol w:w="109"/>
        <w:gridCol w:w="109"/>
        <w:gridCol w:w="196"/>
        <w:gridCol w:w="406"/>
        <w:gridCol w:w="109"/>
        <w:gridCol w:w="109"/>
        <w:gridCol w:w="109"/>
        <w:gridCol w:w="109"/>
        <w:gridCol w:w="278"/>
        <w:gridCol w:w="278"/>
        <w:gridCol w:w="196"/>
        <w:gridCol w:w="109"/>
        <w:gridCol w:w="109"/>
        <w:gridCol w:w="109"/>
        <w:gridCol w:w="196"/>
        <w:gridCol w:w="241"/>
        <w:gridCol w:w="109"/>
        <w:gridCol w:w="109"/>
        <w:gridCol w:w="109"/>
        <w:gridCol w:w="109"/>
        <w:gridCol w:w="217"/>
        <w:gridCol w:w="219"/>
        <w:gridCol w:w="196"/>
        <w:gridCol w:w="109"/>
        <w:gridCol w:w="109"/>
        <w:gridCol w:w="109"/>
        <w:gridCol w:w="196"/>
        <w:gridCol w:w="406"/>
        <w:gridCol w:w="109"/>
        <w:gridCol w:w="109"/>
        <w:gridCol w:w="109"/>
        <w:gridCol w:w="109"/>
        <w:gridCol w:w="196"/>
        <w:gridCol w:w="646"/>
        <w:gridCol w:w="109"/>
        <w:gridCol w:w="109"/>
        <w:gridCol w:w="109"/>
        <w:gridCol w:w="109"/>
        <w:gridCol w:w="109"/>
        <w:gridCol w:w="109"/>
        <w:gridCol w:w="213"/>
        <w:gridCol w:w="719"/>
        <w:gridCol w:w="119"/>
        <w:gridCol w:w="109"/>
        <w:gridCol w:w="109"/>
        <w:gridCol w:w="109"/>
        <w:gridCol w:w="247"/>
        <w:gridCol w:w="815"/>
        <w:gridCol w:w="139"/>
        <w:gridCol w:w="109"/>
        <w:gridCol w:w="109"/>
        <w:gridCol w:w="109"/>
        <w:gridCol w:w="224"/>
        <w:gridCol w:w="740"/>
        <w:gridCol w:w="177"/>
      </w:tblGrid>
      <w:tr>
        <w:trPr/>
        <w:tc>
          <w:tcPr>
            <w:tcW w:w="45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 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December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(78,405)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24,898 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26,231 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Consolidation of VIEs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preferred stockholders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March 31, 2026</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(82,302)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37,462 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issuance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Conversions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June 30, 2026</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(85,660)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36,160 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200" w:after="283"/>
        <w:jc w:val="left"/>
        <w:rPr/>
      </w:pPr>
      <w:r>
        <w:rPr/>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p>
      <w:pPr>
        <w:pStyle w:val="TextBody"/>
        <w:bidi w:val="0"/>
        <w:spacing w:before="200" w:after="283"/>
        <w:jc w:val="left"/>
        <w:rPr/>
      </w:pPr>
      <w:r>
        <w:rPr/>
      </w:r>
    </w:p>
    <w:tbl>
      <w:tblPr>
        <w:tblW w:w="12555" w:type="dxa"/>
        <w:jc w:val="center"/>
        <w:tblInd w:w="0" w:type="dxa"/>
        <w:tblLayout w:type="fixed"/>
        <w:tblCellMar>
          <w:top w:w="28" w:type="dxa"/>
          <w:left w:w="28" w:type="dxa"/>
          <w:bottom w:w="28" w:type="dxa"/>
          <w:right w:w="28" w:type="dxa"/>
        </w:tblCellMar>
      </w:tblPr>
      <w:tblGrid>
        <w:gridCol w:w="547"/>
        <w:gridCol w:w="349"/>
        <w:gridCol w:w="350"/>
        <w:gridCol w:w="203"/>
        <w:gridCol w:w="203"/>
        <w:gridCol w:w="196"/>
        <w:gridCol w:w="109"/>
        <w:gridCol w:w="109"/>
        <w:gridCol w:w="109"/>
        <w:gridCol w:w="196"/>
        <w:gridCol w:w="406"/>
        <w:gridCol w:w="109"/>
        <w:gridCol w:w="109"/>
        <w:gridCol w:w="109"/>
        <w:gridCol w:w="109"/>
        <w:gridCol w:w="210"/>
        <w:gridCol w:w="211"/>
        <w:gridCol w:w="196"/>
        <w:gridCol w:w="109"/>
        <w:gridCol w:w="109"/>
        <w:gridCol w:w="109"/>
        <w:gridCol w:w="196"/>
        <w:gridCol w:w="241"/>
        <w:gridCol w:w="109"/>
        <w:gridCol w:w="109"/>
        <w:gridCol w:w="109"/>
        <w:gridCol w:w="109"/>
        <w:gridCol w:w="210"/>
        <w:gridCol w:w="211"/>
        <w:gridCol w:w="196"/>
        <w:gridCol w:w="109"/>
        <w:gridCol w:w="109"/>
        <w:gridCol w:w="109"/>
        <w:gridCol w:w="196"/>
        <w:gridCol w:w="406"/>
        <w:gridCol w:w="109"/>
        <w:gridCol w:w="109"/>
        <w:gridCol w:w="109"/>
        <w:gridCol w:w="109"/>
        <w:gridCol w:w="196"/>
        <w:gridCol w:w="646"/>
        <w:gridCol w:w="109"/>
        <w:gridCol w:w="109"/>
        <w:gridCol w:w="109"/>
        <w:gridCol w:w="109"/>
        <w:gridCol w:w="109"/>
        <w:gridCol w:w="109"/>
        <w:gridCol w:w="213"/>
        <w:gridCol w:w="719"/>
        <w:gridCol w:w="119"/>
        <w:gridCol w:w="109"/>
        <w:gridCol w:w="109"/>
        <w:gridCol w:w="109"/>
        <w:gridCol w:w="247"/>
        <w:gridCol w:w="815"/>
        <w:gridCol w:w="139"/>
        <w:gridCol w:w="109"/>
        <w:gridCol w:w="109"/>
        <w:gridCol w:w="109"/>
        <w:gridCol w:w="221"/>
        <w:gridCol w:w="745"/>
        <w:gridCol w:w="175"/>
      </w:tblGrid>
      <w:tr>
        <w:trPr/>
        <w:tc>
          <w:tcPr>
            <w:tcW w:w="5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December 31,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(56,607)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issuance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March 31,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(61,014)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issuance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Deconsolidation of VIEs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June 30, 2025</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(66,313)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(17,604)</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652"/>
        <w:gridCol w:w="2306"/>
        <w:gridCol w:w="2322"/>
        <w:gridCol w:w="109"/>
        <w:gridCol w:w="109"/>
        <w:gridCol w:w="109"/>
        <w:gridCol w:w="211"/>
        <w:gridCol w:w="792"/>
        <w:gridCol w:w="109"/>
        <w:gridCol w:w="109"/>
        <w:gridCol w:w="109"/>
        <w:gridCol w:w="109"/>
        <w:gridCol w:w="211"/>
        <w:gridCol w:w="792"/>
        <w:gridCol w:w="156"/>
      </w:tblGrid>
      <w:tr>
        <w:trPr/>
        <w:tc>
          <w:tcPr>
            <w:tcW w:w="2652"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above-market/below market leases and straight-line rent,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notes payable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right-of-use assets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loss to net cash from operating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the disposition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above-market/below market leases and straight-line rent,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notes payable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right-of-use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9220" w:type="dxa"/>
        <w:jc w:val="center"/>
        <w:tblInd w:w="0" w:type="dxa"/>
        <w:tblLayout w:type="fixed"/>
        <w:tblCellMar>
          <w:top w:w="28" w:type="dxa"/>
          <w:left w:w="28" w:type="dxa"/>
          <w:bottom w:w="28" w:type="dxa"/>
          <w:right w:w="28" w:type="dxa"/>
        </w:tblCellMar>
      </w:tblPr>
      <w:tblGrid>
        <w:gridCol w:w="2343"/>
        <w:gridCol w:w="2054"/>
        <w:gridCol w:w="2068"/>
        <w:gridCol w:w="109"/>
        <w:gridCol w:w="109"/>
        <w:gridCol w:w="109"/>
        <w:gridCol w:w="228"/>
        <w:gridCol w:w="667"/>
        <w:gridCol w:w="118"/>
        <w:gridCol w:w="118"/>
        <w:gridCol w:w="118"/>
        <w:gridCol w:w="118"/>
        <w:gridCol w:w="228"/>
        <w:gridCol w:w="667"/>
        <w:gridCol w:w="166"/>
      </w:tblGrid>
      <w:tr>
        <w:trPr/>
        <w:tc>
          <w:tcPr>
            <w:tcW w:w="2343"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received on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received on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the Company's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preferred stock,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redeemable preferred stock,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preferred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Company's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Organization and Liquidity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200" w:after="283"/>
        <w:jc w:val="both"/>
        <w:rPr/>
      </w:pPr>
      <w:r>
        <w:rPr>
          <w:rFonts w:ascii="Times New Roman;serif" w:hAnsi="Times New Roman;serif"/>
          <w:b w:val="false"/>
          <w:color w:val="000000"/>
          <w:sz w:val="20"/>
        </w:rPr>
        <w:t>CaliberCos Inc., a Delaware corporation, and its wholly-owned subsidiaries (collectively, the “Company”, “we”, “our”), is an alternative asset manager of private syndication and direct</w:t>
      </w:r>
      <w:r>
        <w:rPr>
          <w:color w:val="000000"/>
          <w:shd w:fill="FFFFFF" w:val="clear"/>
        </w:rPr>
        <w:t xml:space="preserve"> </w:t>
      </w:r>
      <w:r>
        <w:rPr>
          <w:rFonts w:ascii="Times New Roman;serif" w:hAnsi="Times New Roman;serif"/>
          <w:b w:val="false"/>
          <w:color w:val="000000"/>
          <w:sz w:val="20"/>
          <w:shd w:fill="FFFFFF" w:val="clear"/>
        </w:rPr>
        <w:t>investment real estate funds complemented with being a provider of a full suite of traditional real estate services, and follows a Digital Asset Treasury (“DAT”) strategy in Chainlink (“LINK”). The Company was formed in November 2014, and originally began as Caliber Companies, LLC, an Arizona limited liability company, which commenced operations in January 2009. The Company provides various support services, under its asset management platform segment (“Platform”) to the investments it manages, including asset management services, fund set-up services, lending support, construction and development management, and real estate brokerage. As of June 30, 2026, the Company has operat</w:t>
      </w:r>
      <w:r>
        <w:rPr>
          <w:rFonts w:ascii="Times New Roman;serif" w:hAnsi="Times New Roman;serif"/>
          <w:b w:val="false"/>
          <w:color w:val="000000"/>
          <w:sz w:val="20"/>
        </w:rPr>
        <w:t>ions in Arizona which</w:t>
      </w:r>
      <w:r>
        <w:rPr>
          <w:color w:val="000000"/>
          <w:shd w:fill="FFFFFF" w:val="clear"/>
        </w:rPr>
        <w:t xml:space="preserve"> </w:t>
      </w:r>
      <w:r>
        <w:rPr>
          <w:rFonts w:ascii="Times New Roman;serif" w:hAnsi="Times New Roman;serif"/>
          <w:b w:val="false"/>
          <w:color w:val="000000"/>
          <w:sz w:val="20"/>
          <w:shd w:fill="FFFFFF" w:val="clear"/>
        </w:rPr>
        <w:t>focus on managing hospitality, multifamily, and multi-tenant industrial real estate investments across the United States.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general, the Company’s Platform is comprised of investments in digital assets through its corporate treasury and in a family of private equity real estate (“PERE”) funds which are organized as operating partnerships, in which multiple unrelated passive investors own partnership interests. In addition, the Company is designated as the manager and/or general partner of the partnership. Depending on the legal structure and arrangements between the Company and the funds, the Company may or may not consolidate the partnerships for financial reporting purposes. For funds in which the Company is determined to be the controlling party or primary beneficiary for financial reporting purposes, the fund is consolidated, and the passive investors’ ownership is presented as noncontrolling interest in the accompanying condensed consolidated financial statements (“Consolidated Funds”, and collectively with the Company, the “Consolidated Company”, “Caliber”, “we”, “our”, and “us”). For funds in which the Company is not determined to be the controlling party for financial reporting purposes, the fund is not consolidated, and any fees earned from the fund are included in fund management revenue in the accompanying condensed consolidated financial statements. See Note 2 – Summary of Significant Accounting Policies for details.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Reverse Stock Split: 1-for-20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on May 2, 2025, the Company effected a one-for-twenty (1-for-20) reverse stock split of its common stock (the “Reverse Stock Split”). The Reverse Stock Split did not change the authorized number of shares or the par value of the Common Stock nor modify any voting rights of the Common Stock.</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share and per share amounts in the accompanying condensed consolidated financial statements have been retroactively adjusted to reflect the Reverse Stock Split for all periods presented.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ATM Equity Distribution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the Company entered into an at-the-market (“ATM”) equity distribution agreement providing for the issuance and sale of up to $10.3 million of its Class A common stock. During the three and six months ended June 30, 2026, the Company issued 1,336,734 shares and 1,386,041 shares, respectively, under the ATM program, resulting in net proceeds of $1.7 and $1.8 million, respectively. As of June 30, 2026, the Company had issued an aggregate of 3,057,609 shares under the agreement for net proceeds of $10.2 million.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prepared in accordance with generally accepted accounting principles in the United States of America (“U.S. GAAP”) applicable to a going concern, which contemplates the realization of assets and the satisfaction of liabilities in the normal course of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Company’s corporate note portfolio consisted of 148 unsecured notes with an aggregate principal balance of $26.2 million, compared to 178 unsecured notes with an aggregate principal balance of $29.6 million at December 31, 2025 and 195 unsecured notes with an aggregate principal balance of $33.0 million at June 30, 2025, a 20.6% decrease year over year. The notes generally have either a 12-month or 36-month term, with the 12-month note holders having the option to extend for an additional 12-month term. As of August 13, 2026, an aggregate of $21.0 million of corporate and convertible notes mature within the 12-month period subsequent to when these condensed consolidated financial statements were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incurred recurring operating losses and negative cash flow from operations, and may experience additional operating losses and negative cash flow in the near term. The Company does not have sufficient cash and other liquid assets on-hand to satisfy these maturities in full. These conditions and events raise substantial doubt about the Company’s ability to continue as a going concern. In response to these conditions, management considered the impact of the Company’s near-term maturities and the status of related plans intended to address them.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satisfy the maturity of these corporate notes, the Company intends to continue executing on the following strategies, which the Company has been actively pursuing during 2025 and the first half of 2026:</w:t>
      </w:r>
    </w:p>
    <w:p>
      <w:pPr>
        <w:pStyle w:val="TextBody"/>
        <w:bidi w:val="0"/>
        <w:spacing w:lineRule="auto" w:line="288" w:before="200" w:after="283"/>
        <w:ind w:left="0" w:right="0" w:hanging="360"/>
        <w:jc w:val="both"/>
        <w:rPr/>
      </w:pPr>
      <w:r>
        <w:rPr>
          <w:rFonts w:ascii="Times New Roman;serif" w:hAnsi="Times New Roman;serif"/>
          <w:b/>
          <w:color w:val="000000"/>
          <w:sz w:val="20"/>
        </w:rPr>
        <w:t xml:space="preserve">i.Reg A+ Series AA Preferred Stock Offering. </w:t>
      </w:r>
      <w:r>
        <w:rPr>
          <w:rFonts w:ascii="Times New Roman;serif" w:hAnsi="Times New Roman;serif"/>
          <w:b w:val="false"/>
          <w:color w:val="000000"/>
          <w:sz w:val="20"/>
        </w:rPr>
        <w:t>Raise up to $20.0 million of Series AA Preferred Stock through the Company’s Reg A+ offering, which was qualified on March 12, 2025. From program inception through August 13, 2026, the Company has raised $8.1 million in proceeds from its Series AA Preferred Stock.</w:t>
      </w:r>
    </w:p>
    <w:p>
      <w:pPr>
        <w:pStyle w:val="TextBody"/>
        <w:bidi w:val="0"/>
        <w:spacing w:lineRule="auto" w:line="288" w:before="200" w:after="283"/>
        <w:ind w:left="0" w:right="0" w:hanging="360"/>
        <w:jc w:val="both"/>
        <w:rPr/>
      </w:pPr>
      <w:r>
        <w:rPr>
          <w:rFonts w:ascii="Times New Roman;serif" w:hAnsi="Times New Roman;serif"/>
          <w:b/>
          <w:color w:val="000000"/>
          <w:sz w:val="20"/>
        </w:rPr>
        <w:t xml:space="preserve">ii.Note Refinancing into 36-Month Term Program. </w:t>
      </w:r>
      <w:r>
        <w:rPr>
          <w:rFonts w:ascii="Times New Roman;serif" w:hAnsi="Times New Roman;serif"/>
          <w:b w:val="false"/>
          <w:color w:val="000000"/>
          <w:sz w:val="20"/>
        </w:rPr>
        <w:t xml:space="preserve">Refinance existing 12-month term corporate notes into the Company’s 36-month term corporate note program. From program inception through August 13, 2026, the Company has refinanced $6.7 million of 12-month term corporate notes into the 36-month term program. </w:t>
      </w:r>
    </w:p>
    <w:p>
      <w:pPr>
        <w:pStyle w:val="TextBody"/>
        <w:bidi w:val="0"/>
        <w:spacing w:lineRule="auto" w:line="288" w:before="200" w:after="283"/>
        <w:ind w:left="0" w:right="0" w:hanging="360"/>
        <w:jc w:val="both"/>
        <w:rPr/>
      </w:pPr>
      <w:r>
        <w:rPr>
          <w:rFonts w:ascii="Times New Roman;serif" w:hAnsi="Times New Roman;serif"/>
          <w:b/>
          <w:color w:val="000000"/>
          <w:sz w:val="20"/>
        </w:rPr>
        <w:t xml:space="preserve">iii.Note Conversion Program. </w:t>
      </w:r>
      <w:r>
        <w:rPr>
          <w:rFonts w:ascii="Times New Roman;serif" w:hAnsi="Times New Roman;serif"/>
          <w:b w:val="false"/>
          <w:color w:val="000000"/>
          <w:sz w:val="20"/>
        </w:rPr>
        <w:t>Convert corporate notes into shares of Caliber Class A common stock or Series AAA Convertible Preferred Stock through the Company’s note conversion program (the “Program”), launched in October 2025. Under the Program, holders of outstanding promissory notes may elect to convert all or part of their notes into Class A common stock at a per share conversion price equaling the lower of (i) the average closing price of the Company’s Class A common stock over the five trading days prior to the execution, or (ii) the closing bid price of the Company’s Class A common stock the business day preceding execution, or, alternatively into shares of Series AAA Convertible Preferred Stock. From program inception through August 13, 2026, the Company has successfully converted $3.8 million of corporate notes into 2,269,677 shares of Class A common stock at conversion prices ranging from $1.06 to $3.72 per share, and an additional $1.5 million of corporate notes into 1,529 shares of Series AAA Convertible Preferred Stock.</w:t>
      </w:r>
    </w:p>
    <w:p>
      <w:pPr>
        <w:pStyle w:val="TextBody"/>
        <w:bidi w:val="0"/>
        <w:spacing w:lineRule="auto" w:line="288" w:before="200" w:after="283"/>
        <w:ind w:left="0" w:right="0" w:hanging="360"/>
        <w:jc w:val="both"/>
        <w:rPr/>
      </w:pPr>
      <w:r>
        <w:rPr>
          <w:rFonts w:ascii="Times New Roman;serif" w:hAnsi="Times New Roman;serif"/>
          <w:b/>
          <w:color w:val="000000"/>
          <w:sz w:val="20"/>
        </w:rPr>
        <w:t>iv.Equity Issuances Through ELOC and ATM Facilities.</w:t>
      </w:r>
      <w:r>
        <w:rPr>
          <w:color w:val="000000"/>
        </w:rPr>
        <w:t xml:space="preserve"> </w:t>
      </w:r>
      <w:r>
        <w:rPr>
          <w:rFonts w:ascii="Times New Roman;serif" w:hAnsi="Times New Roman;serif"/>
          <w:b w:val="false"/>
          <w:color w:val="000000"/>
          <w:sz w:val="20"/>
        </w:rPr>
        <w:t>Raise additional equity through the Company’s existing equity line of credit (“ELOC”) and at-the-market (“ATM”) facilities, with a portion of the proceeds allocated to general corporate purposes. From program inception through August 13, 2026, the Company generated $41.1 million in net cash from equity issuances across all 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financing actions noted, management continues to execute various plans implemented to address operating losses and near-term maturities or demands for repayment of its notes. Consistent with actions taken in prior reporting periods, these plans include: i) further reducing operating costs, including the workforce reductions implemented in 2025 that are expected to generate annualized cost savings of $3.9 million in compensation and employee benefit expenses in 2026; ii) collecting all or part of the Company’s $11.2 million in accounts receivable; iii) collecting all or part of its $11.4 million in investments from its managed funds, iv) continuing to expand fundraising channels and managed capital; v) selling or accepting outside investment into the Company’s corporate headquarters; vi) placing debt on unencumbered assets; and vii) generating planned cash flow from operations through the execution of the Company’s existing project pipeline.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executed against these plans and, among other things: (i) collected $4.9 million in notes receivable from related parties; (ii) collected $7.4 million in accounts receivable; (iii) issued $3.4 million of Series AA Preferred Stock under its Regulation A+ offering; and (iv) converted $3.5 million of corporate notes into Class A common stock and Series AAA Convertible Preferred Stock. As a result of these and prior period actions, the Company’s aggregate corporate note balance decreased from $29.6 million at December 31, 2025 to $26.2 million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pPr>
      <w:r>
        <w:rPr>
          <w:rFonts w:ascii="Times New Roman;serif" w:hAnsi="Times New Roman;serif"/>
          <w:b w:val="false"/>
          <w:color w:val="000000"/>
          <w:sz w:val="20"/>
        </w:rPr>
        <w:t xml:space="preserve">After consideration of the implemented and planned actions, management concluded these plans depend on actions of third parties; including noteholders, investors, lenders, and counterparties, and accordingly cannot be deemed probable of being effectively implemented under ASC 205-40 </w:t>
      </w:r>
      <w:r>
        <w:rPr>
          <w:rFonts w:ascii="Times New Roman;serif" w:hAnsi="Times New Roman;serif"/>
          <w:b w:val="false"/>
          <w:i/>
          <w:color w:val="000000"/>
          <w:sz w:val="20"/>
        </w:rPr>
        <w:t>Presentation of Financial Statements—Going Concern</w:t>
      </w:r>
      <w:r>
        <w:rPr>
          <w:rFonts w:ascii="Times New Roman;serif" w:hAnsi="Times New Roman;serif"/>
          <w:b w:val="false"/>
          <w:color w:val="000000"/>
          <w:sz w:val="20"/>
        </w:rPr>
        <w:t xml:space="preserve">. As a result, the Company has concluded that management’s plans do not alleviate substantial doubt about the Company’s ability to continue as a going concern.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continues to pursue these plans and advance its existing project pipeline to address the near-term funding gap; however, no assurance can be provided that such plans will be successful or implemented in a timely manner sufficient to alleviate substantial doubt about the Company’s ability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prepared on the accrual basis of accounting in accordance with U.S. GAAP. The accompanying condensed consolidated financial statements include the Company’s accounts, its consolidated subsidiaries, and legal entities in which the Company is deemed to have a direct or indirect controlling financial interest based on either a variable interest model or voting interest model. The equity and net income or loss attributable to noncontrolling interests in subsidiaries is shown separately in the accompanying condensed consolidated balance sheets, statements of operations, and statements of changes in stockholders’ equity. All intercompany balances and transactions have been eliminated in consolidation.</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Variable Interest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entity is a variable interest entity (“VIE”) based on several factors, including whether the equity holders, as a group, lack the characteristics of a controlling financial interest. The Company analyzes any investments in VIEs to determine if we are the primary beneficiary. A reporting entity is determined to be the primary beneficiary if it holds a controlling financial interest in a VIE.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The Company consolidates any VIEs for which we are the primary beneficiary, and the Company discloses our maximum exposure to loss related to the consolidated VIEs. See Note 3 – VIEs for more detail.</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Voting Interest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Entities that do not qualify as VIEs are generally assessed for consolidation as voting interest entities (“VOEs”). For VOEs, the Company consolidates an entity if it has a controlling financial interest. The Company has a controlling financial interest in a VOE if (i) for legal entities other than partnerships, the Company owns a majority voting interest in the entity or, for limited partnerships and similar entities, the Company owns a majority of the entity’s kick-out rights through voting limited partnership interests and (ii) non-controlling shareholders or partners do not hold substantive participating rights, and no other conditions exist that would indicate that the Company does not control the entity.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Interim Unaudited Financial Data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reflect all adjustments, which are, in our opinion, of a normal recurring nature and necessary for a fair presentation of our financial position, results of operations and cash flows for the interim periods. Interim results of operations are not necessarily indicative of the results to be expected for the full year. These condensed consolidated financial statements, including notes, are unaudited, exclude some of the disclosures required for annual consolidated financial statements, and should be read in conjunction with our audited consolidated financial statements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Accounting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U.S. GAAP requires the Company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includes cash in bank accounts. The Company deposits cash with several high-quality financial institutions. These deposits are guaranteed by the Federal Deposit Insurance Corporation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cash held in escrow accounts by contractual agreement with lenders as part of financial loan covenant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Digital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No. 2023-08, Intangibles—Goodwill and Other—Crypto Assets (Subtopic 350-60): Accounting for and Disclosure of Crypto Assets (“ASU 2023-08”). ASU 2023-08 requires in-scope crypto assets (including the Company's LINK holdings) to be measured at fair value in the statement of financial position, with gains and losses from changes in the fair value of such crypto assets recognized in net income each reporting period. ASU 2023-08 also requires certain interim and annual disclosures for crypto assets within the scope of the standard. The Company adopted this guidance effective September 9, 2025, upon the completion of its initial purchase of LINK as part of the inauguration of its digital asset treasury (“DAT”) strategy.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initially records its LINK purchases at cost, with any subsequent changes in fair value recognized as incurred in the Company's condensed consolidated statements of operations. The fair value of the Company’s LINK is adjusted and disclosed within the Company's condensed consolidated balance sheets at the end of each reporting period. The Company determines the fair value of its LINK holdings in accordance with ASC 820, Fair Value Measurement, based on quoted (unadjusted) prices on the Coinbase exchange, the active exchange that the Company has determined is its principal market for LINK (Level 1 inputs). A deferred tax asset or liability is recorded for subsequent changes in fair value of the Company’s digital assets, representing the temporary difference between the carrying amount and tax basis of the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the Company’s DAT strategy, its intent is to make consistent purchases of LINK over time, establishing a material position in LINK holdings within its treasury. In the event the Company opts to sell all or a portion of its LINK holdings, it will calculate the realized gain or loss recognized in the condensed consolidated statements of operations as the difference between the gross sales price and the carrying value of the LINK sold immediately prior to sale. The Company uses the first-in, first-out method to identify which LINK tokens are deemed sold for purposes of determining cost basis, which is used for disclosure and tax reporting.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Investments in Unconsolidated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entity is not a VIE, the Company’s determination of the appropriate accounting method with respect to our investments in limited liability companies and other investments is based on voting control. For the Company’s managing member interests in limited liability companies, the Company is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The Company accounts for our non-controlling investments in these entities under the equity method. The Company’s investments in unconsolidated subsidiaries in which we can exercise significant influence over operating and financial policies, but do not control, or entities which are VIEs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The Company’s share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earnings or loss from equity method investments is included in other income (expenses), net on the accompanying condensed consolidated statements of operations. The Company evaluates its investments in unconsolidated entities for impairment when events and circumstances indicate that the fair value of the entities might be less than the carrying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determination of the appropriate accounting treatment for an investment in a subsidiary requires judgment of several factors, including the size and nature of our ownership interest and the other owners’ substantive rights to make decisions for the entity. Different judgments or conclusions as to the level of the Company’s control or influence, could result in a different accounting treatment, such as consolidation. While consolidating an investment generally has no impact on the Company’s net income or stockholders’ deficit, consolidation does impact the individual income statement and balance sheet line items on the Company’s consolidated financial statements, by effectively “grossing up” the Company’s condensed consolidated statements of operations and balance sheets.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carrying amount of the Company’s investments in unconsolidated entities was $11.4 million and $11.6 million, net of $7.2 million and $6.9 million, respectively, of impairments primarily related to the winding down of Caliber Fixed Income Fund III (“CFIF III”) in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certain situations, the Company has invested only a nominal amount of cash, or no cash at all, into a venture. As the manager of the venture, the Company is entitled to 15.0% – 35.0% of the residual cash flow produced by the venture after the payment of any priority returns. Under the equity method, impairment losses are recognized upon evidence of other-than-temporary losses of value. For the three and six months ended June 30, 2026, the Company had impairment losses of $0.2 million and $0.4 million, respectively, related to its investments in unconsolidated entities. For the three and six months ended June 30, 2025, the Company had impairment losses of $2.1 million and $2.3 million, respectively, related to its investments in unconsolidated entities.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Depreciation and Amortization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includes costs and costs associated with building and building improvements, which are depreciated over the estimated useful life of the respective asset, generally 15 to 40 years. Depreciation expense also includes costs associated with the purchase of furniture and equipment and office leasehold improvements, which are recorded at cost. Furniture and equipment costs are depreciated using the straight-line method over the estimated useful life of the asset, generally three to seven years beginning in the first full month the asset is placed in service. Intangible lease assets are amortized using the straight-line method over the shorter of the respective estimated useful life or the lease term.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depreciation expense for the Company was $0.1 million and $0.3 million, respectively. For the three and six months ended June 30, 2025, depreciation expense for the Company was $0.2 million and $0.3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the Company assesses its recoverability by comparing the carrying amount to the Company’s estimate of the undiscounted net future cash flows resulting from the use of the asset, excluding interest charges. If the carrying amount exceeds the aggregate undiscounted future cash flows, the Company recognizes an impairment loss to the extent the carrying amount exceeds the estimated fair value of the asset.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 had no impairment losses related to its real estate and other long-lived assets.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200" w:after="283"/>
        <w:jc w:val="both"/>
        <w:rPr/>
      </w:pPr>
      <w:r>
        <w:rPr>
          <w:rFonts w:ascii="Times New Roman;serif" w:hAnsi="Times New Roman;serif"/>
          <w:b w:val="false"/>
          <w:color w:val="000000"/>
          <w:sz w:val="20"/>
        </w:rPr>
        <w:t>Substantially all of the Company’s revenues are generated from activities completed through its Platform, including the management, ownership and/or operations of real estate assets located across the United States</w:t>
      </w:r>
      <w:r>
        <w:rPr>
          <w:rFonts w:ascii="Times New Roman;serif" w:hAnsi="Times New Roman;serif"/>
          <w:b w:val="false"/>
          <w:color w:val="000000"/>
          <w:sz w:val="20"/>
          <w:shd w:fill="FFFFFF" w:val="clear"/>
        </w:rPr>
        <w:t>. Th</w:t>
      </w:r>
      <w:r>
        <w:rPr>
          <w:rFonts w:ascii="Times New Roman;serif" w:hAnsi="Times New Roman;serif"/>
          <w:b w:val="false"/>
          <w:color w:val="000000"/>
          <w:sz w:val="20"/>
        </w:rPr>
        <w:t>e Company mitigates the associated risk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across hospitality, multi-family, and multi-tenant industrial asset types;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geographic locations including different markets and sub-markets in which our real estate assets are located;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maintaining financing relationships with a diversified mix of lenders (differing size and type), including large national banks, local community banks, private equity lenders, and insurance companies.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Noncontrolling Interests in Consolidated Real Estate Partnerships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reports the unaffiliated partners’ interests in the net assets of the Company’s consolidated real estate partnerships as noncontrolling interests within the accompanying condensed consolidated statements of changes in stockholders’ equity. Noncontrolling interests consist of equity interests held by limited partners in consolidated real estate partnerships. The Company attributes to noncontrolling interests their share of income or loss of the consolidated partnerships based on the Company’s proportionate interest in the results of operations of the partnerships, including the Company’s share of losses even if such attribution results in a deficit noncontrolling interest balance within our equity and partners’ capital accounts.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partnership agreements generally require the partnerships to be liquidated following the sale of the underlying real estate assets. As the general partner in these partnerships, the Company ordinarily controls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both"/>
        <w:rPr/>
      </w:pPr>
      <w:r>
        <w:rPr>
          <w:rFonts w:ascii="Times New Roman;serif" w:hAnsi="Times New Roman;serif"/>
          <w:b w:val="false"/>
          <w:color w:val="000000"/>
          <w:sz w:val="20"/>
        </w:rPr>
        <w:t>In accordance with the Accounting Standards Codification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from contracts with customers includes fixed fee arrangements with related party affiliates to provide certain associated activities which are ancillary to and generally add value to the assets the Company manages,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the Company’s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Company’s revenue recognition policy related to the fees the Company earns from providing services under its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condensed consolidated statements of operations. Fund set-up fees replaced fund formation fees that are earned at a point in time at a fixed rate based on the amount of capital raised into certain managed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the Company earns a fund management fee of 0.7% of the Caliber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Hospitality Trust’s enterprise value and is reimbursed for certain costs incurred on behalf of the Caliber Hospitality Trust.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guaranteeing certain loans, representing a performance obligation that the Company satisfies over time.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when the related performance obligations are satisfied and the customer obtains control of the promised service, including negotiation, due diligence, entitlements, planning, and design activities. During the construction period, development fee revenue is recognized ratably over time as the performance obligation(s) is satisfied.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condensed consolidated statements of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an arrangement in which the Company is entitled to an allocation of investment returns, generated within the investment funds which the Company manages, based on a contractual formula. The Company typically receives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condensed consolidated statements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an allowance for credit losses for financial assets measured at amortized cost, including accounts receivable and related party loans, in accordance with ASC 326, Financial Instruments – Credit Losses. The allowance represents management’s estimate of current expected credit losses over the contractual life of the financial assets, considering historical experience, current conditions, and reasonable and supportable forecasts. The Company’s financial assets primarily consist of receivables and loans associated with real estate assets held within managed investment funds. The collectability of these amounts is generally dependent on the performance, value, and liquidity of the underlying real estate assets rather than fixed contractual payment schedules.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estimate expected credit losses, the Company utilizes a methodology that incorporates the expected recovery of underlying collateral and project-level cash flows. The Company performs periodic valuations of the underlying real estate assets using a combination of income, market, and cost approaches, with a primary reliance on discounted cash flow (“DCF”) analyses. These valuations incorporate assumptions regarding future operating performance, lease-up timing, inflation, rental rates, discount rates, and exit capitalization rates, as applicable, which reflect market participant expectations.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the recoverability of its financial assets by comparing the estimated fair value of the underlying real estate assets to the total obligations within the applicable capital structure, including the Company’s receivables and loans. This analysis includes a hypothetical liquidation scenario to assess whether the estimated asset value is sufficient to satisfy outstanding obligations.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assumptions used in the Company’s valuation models inherently reflect uncertainty and risk factors, including variability in projected cash flows, development timelines, and market conditions. These assumptions represent risk-adjusted, probability-informed estimates within a range of possible outcomes, although the Company does not explicitly assign probability weights to multiple scenarios. In addition, the Company evaluates the sensitivity of its valuations to changes in key assumptions, such as capitalization rates, operating performance, and timing of cash flows, to assess the potential impact of reasonably possible adverse conditions. The Company also considers its historical experience, together with current market conditions and the expected performance of the underlying real estate assets. Due to the nature of these financial assets, which are dependent on asset-level performance and capital events, the aging of receivables is not considered a primary indicator of credit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this combined analysis, including embedded uncertainty in valuation assumptions, sensitivity to reasonably possible downside scenarios, and historical loss experience, the Company records an allowance for credit losses representing the estimated shortfall, if any, between expected recoveries and the carrying value of the financial assets. Changes in the allowance are recorded in earnings in the period in which they occur, and write-offs are recognized when amounts are deemed uncollectible.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table below details the activities of credit losses during the three and six months ended June 30, 2026 and 2025</w:t>
      </w:r>
      <w:r>
        <w:rPr>
          <w:color w:val="231F20"/>
        </w:rPr>
        <w:t xml:space="preserve"> </w:t>
      </w:r>
      <w:r>
        <w:rPr>
          <w:rFonts w:ascii="Times New Roman;serif" w:hAnsi="Times New Roman;serif"/>
          <w:b w:val="false"/>
          <w:color w:val="231F20"/>
          <w:sz w:val="20"/>
        </w:rPr>
        <w:t>(in thousands):</w:t>
      </w:r>
    </w:p>
    <w:p>
      <w:pPr>
        <w:pStyle w:val="TextBody"/>
        <w:bidi w:val="0"/>
        <w:spacing w:before="0" w:after="0"/>
        <w:jc w:val="both"/>
        <w:rPr/>
      </w:pPr>
      <w:r>
        <w:rPr/>
      </w:r>
    </w:p>
    <w:tbl>
      <w:tblPr>
        <w:tblW w:w="3725" w:type="dxa"/>
        <w:jc w:val="left"/>
        <w:tblInd w:w="0" w:type="dxa"/>
        <w:tblLayout w:type="fixed"/>
        <w:tblCellMar>
          <w:top w:w="28" w:type="dxa"/>
          <w:left w:w="28" w:type="dxa"/>
          <w:bottom w:w="28" w:type="dxa"/>
          <w:right w:w="28" w:type="dxa"/>
        </w:tblCellMar>
      </w:tblPr>
      <w:tblGrid>
        <w:gridCol w:w="1048"/>
        <w:gridCol w:w="920"/>
        <w:gridCol w:w="926"/>
        <w:gridCol w:w="211"/>
        <w:gridCol w:w="466"/>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30, 2026</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3725" w:type="dxa"/>
        <w:jc w:val="left"/>
        <w:tblInd w:w="0" w:type="dxa"/>
        <w:tblLayout w:type="fixed"/>
        <w:tblCellMar>
          <w:top w:w="28" w:type="dxa"/>
          <w:left w:w="28" w:type="dxa"/>
          <w:bottom w:w="28" w:type="dxa"/>
          <w:right w:w="28" w:type="dxa"/>
        </w:tblCellMar>
      </w:tblPr>
      <w:tblGrid>
        <w:gridCol w:w="1048"/>
        <w:gridCol w:w="920"/>
        <w:gridCol w:w="926"/>
        <w:gridCol w:w="211"/>
        <w:gridCol w:w="466"/>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30, 2025</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Lessor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Company did not have any sales-type or direct financing leases as of June 30, 2026 and December 31, 2025. For operating leases with minimum scheduled rent increases, the Company recognizes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Company for maintenance and other property operating expenses, which are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Lessee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impairment assessment for ROU assets is consistent with the impairment analysis for the Company's other long-lived assets and is reviewed quarterly.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jc w:val="both"/>
        <w:rPr/>
      </w:pPr>
      <w:r>
        <w:rPr>
          <w:rFonts w:ascii="Times New Roman;serif" w:hAnsi="Times New Roman;serif"/>
          <w:b w:val="false"/>
          <w:color w:val="000000"/>
          <w:sz w:val="20"/>
        </w:rPr>
        <w:t>The fair value of financial instruments is disclosed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fair value of the Company’s financial instruments is estimated using available market information and established valuation methodologies. The estimates of fair value are not necessarily indicative of the amounts the Company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 measurements and disclosures consist of a three-level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1 – Inputs are quoted prices in active markets for identical assets or liabilities that can be accessed at the measurement date.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of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Accounting for Real Estate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Acquired real estate properties accounted for as asset acquisitions are recorded at cost, including acquisition and closing costs. The consolidated funds allocate the cost of real estate properties to the tangible and intangible assets and liabilities acquired based on their estimated relative fair values. The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The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asset acquisitions or dispositions by the Company or the consolidated funds during the six months ended June 30, 2026 and 2025.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intangible assets consist of lease rights to 100 acres of land located within the Salt River Pima Maricopa Indian Community, comprising seven parcels. The lease rights were acquired in October 2022 for $48.7 million and are being amortized on a straight-line basis over the remaining lease term at acquisition of 66 years. For the three and six months ended June 30, 2026, amortization related to intangible leases of the consolidated funds was $0.2 million and $0.4 million, respectively. The consolidated funds did not have any amortization related to intangible leases during the three and six months ended June 30, 2025.</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Cost Capitalization and Depreciation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The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Depreciation for all tangible real estate assets is calculated using the straight-line method over the estimated useful lives of the assets. The estimated useful lives of our building and building improvements are generally 15 to 40 years. The estimated useful lives of the consolidated funds furniture, fixtures and equipment are generally three to seven years beginning in the first full month the asset is placed in service.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depreciation expense of the consolidated funds was $0.6 million and $0.8 million, respectively. For the three and six months ended June 30, 2025, depreciation expense of the consolidated funds was $0.4 million and $1.4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the consolidated funds recognize an impairment loss to the extent the carrying amount exceeds the estimated fair value of the asset.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consolidated funds did not record an impairment loss related to its real estate and other long-lived assets.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ASC 606, the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The consolidated funds’ revenues primarily consist of hospitality revenues, rental income and interest income.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hospitality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May 2025, the Company deconsolidated DoubleTree by Hilton Tucson Convention Center (“TCC”), which was the only consolidated fund with hospitality revenues. Accordingly, following the deconsolidation of TCC, the Company no longer has hospitality revenue. The below policy applies to hospitality revenue recognized prior to the deconsolidation of TCC.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receive deposits for events and rooms. Such deposits are deferred and included in other liabilities on the accompanying condensed consolidated balance sheets. The deposits are credited to consolidated funds – hospitality revenue when the specific event takes place.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other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funds – other revenue includes rental revenue of $1.1 million and $1.7 million for the three and six months ended June 30, 2026, respectively, and $0.2 million and $0.3 million for the three and six months ended June 30, 2025, respectively. Rental revenue includes the revenues generated primarily by the rental operations of the residential and commercial properties of the consolidated funds.</w:t>
      </w:r>
    </w:p>
    <w:p>
      <w:pPr>
        <w:pStyle w:val="TextBody"/>
        <w:bidi w:val="0"/>
        <w:spacing w:lineRule="auto" w:line="288" w:before="200" w:after="283"/>
        <w:jc w:val="both"/>
        <w:rPr/>
      </w:pPr>
      <w:r>
        <w:rPr>
          <w:rFonts w:ascii="Times New Roman;serif" w:hAnsi="Times New Roman;serif"/>
          <w:b w:val="false"/>
          <w:color w:val="000000"/>
          <w:sz w:val="20"/>
        </w:rPr>
        <w:t xml:space="preserve">In accordance with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at the inception of a new lease arrangement, including new leases that arise from amendments, the consolidated funds assess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consolidated funds obtain a guarantee for the value of the asset from a third party, the consolidated funds classify the lease as a direct financing lease. All other leases are classified as operating leases. The consolidated funds did not have any sales-type or direct financing leases as of June 30, 2026.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identified two separate lease components as follows: i) land lease component, and ii) single property lease component comprised of building, land improvements and tenant improvements. The consolidated funds leases also contain provisions for tenants to reimburse the consolidated funds for maintenance and other property operating expenses, which are considered to be non-lease components. The consolidated funds elected the practical expedient to combine lease and non-lease components and the non-lease components will be included with the single property lease component as the predominant component.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fund expenses consist primarily of costs, expenses and fees that are incurred by, or arise out of the operation and activities of or otherwise related to, the consolidated funds, including, without limitation, operating costs, depreciation and amortization, interest expense on debt held by the consolidated funds, insurance expenses, professional fees and other costs associated with administering and supporting those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jc w:val="both"/>
        <w:rPr/>
      </w:pPr>
      <w:r>
        <w:rPr>
          <w:rFonts w:ascii="Times New Roman;serif" w:hAnsi="Times New Roman;serif"/>
          <w:b w:val="false"/>
          <w:color w:val="000000"/>
          <w:sz w:val="20"/>
        </w:rPr>
        <w:t>The fair value of financial instruments is disclosed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fair value of the consolidated funds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 measurements and disclosures consist of a three-level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1 – Inputs are quoted prices in active markets for identical assets or liabilities that can be accessed at the measurement date.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pStyle w:val="TextBody"/>
        <w:bidi w:val="0"/>
        <w:spacing w:lineRule="auto" w:line="288" w:before="200" w:after="283"/>
        <w:jc w:val="both"/>
        <w:rPr>
          <w:rFonts w:ascii="Times New Roman;serif" w:hAnsi="Times New Roman;serif"/>
          <w:b/>
          <w:i/>
          <w:color w:val="000000"/>
          <w:sz w:val="20"/>
          <w:u w:val="single"/>
        </w:rPr>
      </w:pPr>
      <w:r>
        <w:rPr>
          <w:rFonts w:ascii="Times New Roman;serif" w:hAnsi="Times New Roman;serif"/>
          <w:b/>
          <w:i/>
          <w:color w:val="000000"/>
          <w:sz w:val="20"/>
          <w:u w:val="single"/>
        </w:rPr>
        <w:t>Recent Accounting Pronouncements</w:t>
      </w:r>
    </w:p>
    <w:p>
      <w:pPr>
        <w:pStyle w:val="TextBody"/>
        <w:bidi w:val="0"/>
        <w:spacing w:lineRule="auto" w:line="288" w:before="20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to improve the disclosures about a public business entity’s expenses and provide more detailed information about the types of expenses included in certain expense captions in the consolidated financial statements. The amendments in this update are effective for annual reporting periods beginning after December 15, 2026, and interim reporting periods beginning after December 15, 2027. Early adoption is permitted and the amendments in this update should be applied either prospectively to financial statements issued for reporting periods after the effective date of this update or retrospectively to any or all prior periods presented in the financial statements. The Company is currently evaluating the impact of the adoption of ASU 2024-03 on its condensed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March 2025, the FASB issued Accounting Standards Update (“ASU”) 2025-05, </w:t>
      </w:r>
      <w:r>
        <w:rPr>
          <w:rFonts w:ascii="Times New Roman;serif" w:hAnsi="Times New Roman;serif"/>
          <w:b w:val="false"/>
          <w:i/>
          <w:color w:val="000000"/>
          <w:sz w:val="20"/>
        </w:rPr>
        <w:t>Financial Instruments—Credit Losses (Topic 326): Clarifications to Expected Credit Losses Guidance</w:t>
      </w:r>
      <w:r>
        <w:rPr>
          <w:rFonts w:ascii="Times New Roman;serif" w:hAnsi="Times New Roman;serif"/>
          <w:b w:val="false"/>
          <w:color w:val="000000"/>
          <w:sz w:val="20"/>
        </w:rPr>
        <w:t>. The amendments in ASU 2025-05 are intended to reduce the operational burden associated with applying the current expected credit losses (“CECL”) model to portfolios with large volumes of short-term receivables. The update confirms that entities may apply simple, well-designed loss-rate approaches when estimating expected credit losses and clarifies the interaction between the guidance in Topic 326 and contract assets recognized under Topic 606, Revenue from Contracts with Customers. The amendments are intended to improve consistency and comparability in the application of the CECL model in practice. The amendments in ASU 2025-05 are effective for fiscal years beginning after December 15, 2025, including interim periods within those fiscal years, with early adoption permitted. The amendments in ASU 2025-05 were adopted by the Company as of January 1, 2026, and the Company elected not to adopt the practical expedient. There was no material impact to the Company's condensed consolidated financial statements as a result of the adoption.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amendments in ASU 2025-11 are intended to enhance the clarity and usability of the interim reporting guidance in Topic 270. Among other changes, the update defines when the guidance in Topic 270 applies, clarifies what constitutes interim financial statements and accompanying notes prepared in accordance with U.S. GAAP, and organizes existing interim disclosure requirements from across the Codification into Topic 270. The amendments also introduce a disclosure principle requiring entities to disclose events occurring after the end of the most recent annual reporting period that have a material impact on the entity. The amendments in ASU 2025-11 are effective for interim periods within fiscal years beginning after December 15, 2027. Early adoption is permitted. The Company is currently evaluating the impact that the adoption of ASU 2025-11 will have on its condensed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which includes amendments to various topics in the Accounting Standards Codification to clarify or correct existing guidance. The amendments address areas including earnings per share, lease receivables, and accounting for certain financial instruments. The Company is currently evaluating the impact of this standard but does not expect adoption to have a material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3 – VIEs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has determined that the equity holders in the Company’s consolidated entities, as a group, lack the power to direct the activities that most significantly impact the entities’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Generally, the assets of the individual consolidated VIEs can only be used to settle liabilities of each respective individual consolidated VIE and the liabilities of each respective VIE, including VIEs which it consolidates,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consolidated financial statements. The Company has provided financial support to certain consolidated VIEs in the form of short-term financing and guarantees of the debts of certain VIEs. In general, the Company’s maximum exposure to loss due to involvement with the consolidated VIEs is limited to the amount of capital investment in the VIE, if any, or the potential obligation to perform on the guarantee of debts.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consolidated Commons Fundco, LLC (“Commons”), a VIE which refinanced a loan secured by a residential property it owns. With the refinancing of this loan, the Company was determined to be the primary beneficiary as the Company has the power to direct the activities of Commons and the obligation to absorb their losses through its guarantee of their indebtedness, which is significant to the fund. No VIEs were consolidated during the six months ended June 30, 2025. The consolidation of Commons consisted of the following, excluding intercompany eliminations at the time of consolidation (in thousands):</w:t>
      </w:r>
    </w:p>
    <w:tbl>
      <w:tblPr>
        <w:tblW w:w="5009" w:type="dxa"/>
        <w:jc w:val="left"/>
        <w:tblInd w:w="0" w:type="dxa"/>
        <w:tblLayout w:type="fixed"/>
        <w:tblCellMar>
          <w:top w:w="28" w:type="dxa"/>
          <w:left w:w="28" w:type="dxa"/>
          <w:bottom w:w="28" w:type="dxa"/>
          <w:right w:w="28" w:type="dxa"/>
        </w:tblCellMar>
      </w:tblPr>
      <w:tblGrid>
        <w:gridCol w:w="1270"/>
        <w:gridCol w:w="1122"/>
        <w:gridCol w:w="1133"/>
        <w:gridCol w:w="288"/>
        <w:gridCol w:w="986"/>
        <w:gridCol w:w="210"/>
      </w:tblGrid>
      <w:tr>
        <w:trPr/>
        <w:tc>
          <w:tcPr>
            <w:tcW w:w="127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47,546 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2025 the Company deconsolidated DoubleTree by Hilton Tucson Convention Center (TCC), and the Company’s investment in these assets are no longer eliminated and are included in investments in unconsolidated entities on the accompanying condensed consolidated balance sheets dated June 30, 2026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11 – Commitments and Contingencies for information related to the commitments and contingencies of these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4 – Digital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digital assets, which are comprised solely of LINK tokens, as indefinite-lived intangible assets in accordance with ASC 350, Intangibles—Goodwill and Other and ASU 2023-08. The Company’s digital assets are initially recorded at cost and then subsequently measured at fair value as of the end of each reporting period. The Company determines the fair value of its LINK holdings in accordance with ASC 820, Fair Value Measurement, based on quoted (unadjusted) prices on the Coinbase exchange, the active exchange that the Company has determined is its principal market for LINK (Level 1 inputs). Changes in fair value are recognized as incurred in change in fair value of digital assets within the accompanying condensed consolidated statements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held 229,203 LINK tokens and one Ethereum (‘ETH”) token, with an aggregate cost basis of $4.9 million and an aggregate fair value of $1.7 million. The fair value of per token of LINK and ETH was $7.20 and $2,049.91, respectively. At December 31, 2025, the Company held 562,535 LINK tokens with an aggregate cost basis of $12.6 million and a fair value of $6.8 million, or $12.18 per token. The Company had no LINK or ETH holdings during the three and six months ended June 30,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purchased zero and 100 LINK tokens, respectively, for aggregate consideration of $1.1 thousand during the six month period, and zero and one Ethereum token, respectively, for $3.0 thousand during the six month period. The Company did not purchase any digital assets during the corresponding periods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sold 278,357 and 333,432, LINK tokens, respectively, as part of its digital asset treasury management activities, generating proceeds of $2.5 million and $3.0 million, respectively. The Company redeployed the proceeds to support project-level real estate Platform financings. In connection with these sales, the Company recognized an immaterial realized gain during the three months ended June 30, 2026 and a realized loss of $0.1 million during the six months ended June 30, 2026.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recognized unrealized losses on digital assets of $0.4 million and $2.1 million, respectively. Realized and unrealized gains and losses on digital assets are included in change in fair value of digital assets in the condensed consolidated statements of operations.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combined realized and unrealized losses on digital assets calculated consistent with ASU 2023-08 (in thousands):</w:t>
      </w:r>
    </w:p>
    <w:p>
      <w:pPr>
        <w:pStyle w:val="TextBody"/>
        <w:bidi w:val="0"/>
        <w:spacing w:before="0" w:after="0"/>
        <w:jc w:val="left"/>
        <w:rPr/>
      </w:pPr>
      <w:r>
        <w:rPr/>
      </w:r>
    </w:p>
    <w:tbl>
      <w:tblPr>
        <w:tblW w:w="8777" w:type="dxa"/>
        <w:jc w:val="left"/>
        <w:tblInd w:w="0" w:type="dxa"/>
        <w:tblLayout w:type="fixed"/>
        <w:tblCellMar>
          <w:top w:w="28" w:type="dxa"/>
          <w:left w:w="28" w:type="dxa"/>
          <w:bottom w:w="28" w:type="dxa"/>
          <w:right w:w="28" w:type="dxa"/>
        </w:tblCellMar>
      </w:tblPr>
      <w:tblGrid>
        <w:gridCol w:w="1114"/>
        <w:gridCol w:w="978"/>
        <w:gridCol w:w="983"/>
        <w:gridCol w:w="109"/>
        <w:gridCol w:w="109"/>
        <w:gridCol w:w="109"/>
        <w:gridCol w:w="289"/>
        <w:gridCol w:w="742"/>
        <w:gridCol w:w="149"/>
        <w:gridCol w:w="149"/>
        <w:gridCol w:w="149"/>
        <w:gridCol w:w="149"/>
        <w:gridCol w:w="289"/>
        <w:gridCol w:w="557"/>
        <w:gridCol w:w="149"/>
        <w:gridCol w:w="109"/>
        <w:gridCol w:w="109"/>
        <w:gridCol w:w="109"/>
        <w:gridCol w:w="243"/>
        <w:gridCol w:w="796"/>
        <w:gridCol w:w="125"/>
        <w:gridCol w:w="125"/>
        <w:gridCol w:w="125"/>
        <w:gridCol w:w="125"/>
        <w:gridCol w:w="243"/>
        <w:gridCol w:w="467"/>
        <w:gridCol w:w="177"/>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the Company’s assets are concentrated in its LINK holdings. LINK is a digital asset, which is a novel asset class subject to significant legal, commercial, regulatory and technical uncertainty. The Company’s LINK holdings do not currently generate cash flow and incur custodial fees and other costs. Additionally, the price of LINK has historically been highly volatile. A significant decline in its price could materially and adversely affect the Company’s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 – Prepaid and Other Assets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Prepaid and Other Assets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Prepaid and other assets of the Company consisted of the following as of June 30, 2026 and December 31, 2025 (in thousands):</w:t>
      </w:r>
    </w:p>
    <w:tbl>
      <w:tblPr>
        <w:tblW w:w="6160" w:type="dxa"/>
        <w:jc w:val="left"/>
        <w:tblInd w:w="0" w:type="dxa"/>
        <w:tblLayout w:type="fixed"/>
        <w:tblCellMar>
          <w:top w:w="28" w:type="dxa"/>
          <w:left w:w="28" w:type="dxa"/>
          <w:bottom w:w="28" w:type="dxa"/>
          <w:right w:w="28" w:type="dxa"/>
        </w:tblCellMar>
      </w:tblPr>
      <w:tblGrid>
        <w:gridCol w:w="1009"/>
        <w:gridCol w:w="888"/>
        <w:gridCol w:w="893"/>
        <w:gridCol w:w="287"/>
        <w:gridCol w:w="839"/>
        <w:gridCol w:w="148"/>
        <w:gridCol w:w="109"/>
        <w:gridCol w:w="109"/>
        <w:gridCol w:w="109"/>
        <w:gridCol w:w="380"/>
        <w:gridCol w:w="1110"/>
        <w:gridCol w:w="279"/>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Pursuit costs </w:t>
            </w:r>
            <w:r>
              <w:rPr>
                <w:rFonts w:ascii="Times New Roman;serif" w:hAnsi="Times New Roman;serif"/>
                <w:b w:val="false"/>
                <w:color w:val="000000"/>
                <w:sz w:val="13"/>
              </w:rPr>
              <w:t>(1)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right of use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assets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Prepaid and Other Assets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Prepaid and other assets of the consolidated funds consisted of the following as of June 30, 2026 and December 31, 2025 (in thousands):</w:t>
      </w:r>
    </w:p>
    <w:tbl>
      <w:tblPr>
        <w:tblW w:w="5904" w:type="dxa"/>
        <w:jc w:val="left"/>
        <w:tblInd w:w="0" w:type="dxa"/>
        <w:tblLayout w:type="fixed"/>
        <w:tblCellMar>
          <w:top w:w="28" w:type="dxa"/>
          <w:left w:w="28" w:type="dxa"/>
          <w:bottom w:w="28" w:type="dxa"/>
          <w:right w:w="28" w:type="dxa"/>
        </w:tblCellMar>
      </w:tblPr>
      <w:tblGrid>
        <w:gridCol w:w="918"/>
        <w:gridCol w:w="804"/>
        <w:gridCol w:w="812"/>
        <w:gridCol w:w="342"/>
        <w:gridCol w:w="756"/>
        <w:gridCol w:w="176"/>
        <w:gridCol w:w="109"/>
        <w:gridCol w:w="109"/>
        <w:gridCol w:w="109"/>
        <w:gridCol w:w="448"/>
        <w:gridCol w:w="992"/>
        <w:gridCol w:w="329"/>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w:t>
            </w:r>
            <w:r>
              <w:rPr>
                <w:rFonts w:ascii="Times New Roman;serif" w:hAnsi="Times New Roman;serif"/>
                <w:b w:val="false"/>
                <w:color w:val="000000"/>
                <w:sz w:val="13"/>
              </w:rPr>
              <w:t>(1)</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assets</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assets primarily consist of accrued straight-line rental receivables related to portions of the Company’s owned headquarters which are leased to third-party tenants.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6 – Notes Payable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Notes Payable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Notes payable consisted of the following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732"/>
        <w:gridCol w:w="594"/>
        <w:gridCol w:w="569"/>
        <w:gridCol w:w="109"/>
        <w:gridCol w:w="109"/>
        <w:gridCol w:w="109"/>
        <w:gridCol w:w="239"/>
        <w:gridCol w:w="818"/>
        <w:gridCol w:w="123"/>
        <w:gridCol w:w="109"/>
        <w:gridCol w:w="109"/>
        <w:gridCol w:w="109"/>
        <w:gridCol w:w="293"/>
        <w:gridCol w:w="1005"/>
        <w:gridCol w:w="151"/>
        <w:gridCol w:w="109"/>
        <w:gridCol w:w="109"/>
        <w:gridCol w:w="109"/>
        <w:gridCol w:w="567"/>
        <w:gridCol w:w="484"/>
        <w:gridCol w:w="1206"/>
        <w:gridCol w:w="109"/>
        <w:gridCol w:w="109"/>
        <w:gridCol w:w="109"/>
        <w:gridCol w:w="668"/>
        <w:gridCol w:w="596"/>
        <w:gridCol w:w="852"/>
      </w:tblGrid>
      <w:tr>
        <w:trPr/>
        <w:tc>
          <w:tcPr>
            <w:tcW w:w="73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Weighted Average Interest 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2024 - March 2028</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2024 - May 2025</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2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February 2027 - November 2029</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August 2026 - June 2027</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 on corporate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June 30, 2026.</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Real Estate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the loan agreements described below include, among other things, certain financial covenants, as defined in the respective loan agreements, including key financial ratios and liquidity requirements.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Gateway II HoldCo,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January 2023, the Company assumed a loan which is secured by the Company’s headquarters office building. The terms of the note require monthly principal and interest payments, with a balloon payment due at maturity. The loan has a fixed interest rate of 4.30% in effect through the maturity date in November 2029. The terms of the loan do not allow the prepayment of the outstanding balance in part or in whole at any time prior to the maturity date. The terms of the loan agreement include covenant clauses, which require certain key financial ratios and liquidity be met. As of June 30, 2026 and December 31, 2025, the outstanding principal balance of the loan was $15.5 million and $15.6 million. Upon assumption of the loan, the Company is required to abide by a clause in the agreement requiring the Company to transfer funds to a cash management account. As of June 30, 2026 and December 31, 2025, the Company is not aware of any non-compliance matters relating to its debt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Saddleback Ranch,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 $1.2 million financing agreement which is secured by a deed of trust for the land owned by Saddleback Ranch, LLC. The financing agreement has a fixed interest rate of 10.00% through February 2026, then a fixed rate of 14.00% until maturity in February 2027. The financing agreement requires an interest only payment in February 2026, with all accrued interest added to the outstanding balance monthly. Beginning in February 2026, interest only payments are due quarterly, with the final interest and principal amount due upon maturity. The terms of the financing agreement do not allow the repayment of the outstanding balance in part prior to maturity, but does allow for the entire outstanding balance to be repaid at any time before the maturity date. As of June 30, 2026, the outstanding principal balance of the loan was $1.2 million.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Corporate Notes and Convertible Corporate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multiple general corporate financing arrangements with third parties. The arrangements are generally evidenced in the form of an unsecured promissory note and require monthly or quarterly interest-only payments through maturity. The loans generally have a 12-month or 36-month term, and may be extended upon the mutual agreement of the lender and the borrower. Management believes it can come to a mutual agreement with each lender to extend the maturities of the notes for an additional 12-month term.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148 corporate notes outstanding, with an average outstanding principal balance of $0.2 million, interest rates ranging from 8.25% to 12.00%, with a weighted average interest rate of 10.91%, and maturity dates ranging from January 2024 to March 2028. At June 30, 2026, the corporate notes outstanding had an aggregate principal balance of $26.2 million, of which $21.0 million of the corporate notes have matured or will mature within the 12-month period subsequent to August 13, 2026. Certain notes are past maturity and technically in default; however, the loan agreements do not provide creditors with rights or claims against the Company’s assets, nor would a default trigger liquidation of the Company. Management believes it will be able to negotiate waivers of default, including extensions of maturity dates or repayment schedules.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178 individual corporate notes outstanding, with an average outstanding principal balance of $0.2 million, interest rates ranging from 8.25% to 12.00%, with a weighted average interest rate of 11.14%, and maturity dates ranging from January 2024 to March 2028.</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issued corporate notes, generally convertible at $151.40 per common share, except for a secured promissory note issued to Mast Hill (the “Mast Hill Note”) in March 2025, which was convertible at $8.25 per common share, and was repaid in September 2025. Holders may convert all or part of their note principal balance at any time. As of June 30, 2026 and December 31, 2025, convertible corporate notes totaled $0.6 million and $0.9 million, respectively. During the six months ended June 30, 2026, $3.5 million of debt was converted into common and preferred stock.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executed insurance premium financing agreements pursuant to which the Company financed certain annual insurance premiums with an aggregate outstanding balance of $0.4 million at June 30, 2026, primarily consisting of premiums for directors' and officers' insurance. The insurance premiums financing agreements have a weighted average interest rate of 8.37% and mature from August 2026 through June 2027.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Minimum Payments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principal repayments of the Company’s indebtedness as of June 30, 2026 (in thousands):</w:t>
      </w:r>
    </w:p>
    <w:tbl>
      <w:tblPr>
        <w:tblW w:w="4262"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Deferred Financing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deferred financing costs for the Company was $0.1 million and $0.2 million for the three and six months ended June 30, 2026, respectively. Amortization of deferred financing costs for the Company was $0.1 million for each of the three and six months ended June 30, 2025. There were no deferred financing cost write-offs during each of the three and six months ended June 30, 2026 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Payable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Notes payable of the consolidated funds consisted of the following as of June 30, 2026 and December 31, 2025, respectively (in thousands):</w:t>
      </w:r>
    </w:p>
    <w:tbl>
      <w:tblPr>
        <w:tblW w:w="10205" w:type="dxa"/>
        <w:jc w:val="left"/>
        <w:tblInd w:w="0" w:type="dxa"/>
        <w:tblLayout w:type="fixed"/>
        <w:tblCellMar>
          <w:top w:w="28" w:type="dxa"/>
          <w:left w:w="28" w:type="dxa"/>
          <w:bottom w:w="28" w:type="dxa"/>
          <w:right w:w="28" w:type="dxa"/>
        </w:tblCellMar>
      </w:tblPr>
      <w:tblGrid>
        <w:gridCol w:w="823"/>
        <w:gridCol w:w="666"/>
        <w:gridCol w:w="669"/>
        <w:gridCol w:w="109"/>
        <w:gridCol w:w="109"/>
        <w:gridCol w:w="109"/>
        <w:gridCol w:w="248"/>
        <w:gridCol w:w="849"/>
        <w:gridCol w:w="128"/>
        <w:gridCol w:w="109"/>
        <w:gridCol w:w="109"/>
        <w:gridCol w:w="109"/>
        <w:gridCol w:w="320"/>
        <w:gridCol w:w="1096"/>
        <w:gridCol w:w="165"/>
        <w:gridCol w:w="109"/>
        <w:gridCol w:w="109"/>
        <w:gridCol w:w="109"/>
        <w:gridCol w:w="419"/>
        <w:gridCol w:w="419"/>
        <w:gridCol w:w="421"/>
        <w:gridCol w:w="109"/>
        <w:gridCol w:w="109"/>
        <w:gridCol w:w="109"/>
        <w:gridCol w:w="864"/>
        <w:gridCol w:w="824"/>
        <w:gridCol w:w="826"/>
        <w:gridCol w:w="160"/>
      </w:tblGrid>
      <w:tr>
        <w:trPr/>
        <w:tc>
          <w:tcPr>
            <w:tcW w:w="82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Interest 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Commons Fundco,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2028</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Riverwalk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2027</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Fundco,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2038</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2024 - September 2026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June 30, 2026.</w:t>
      </w:r>
    </w:p>
    <w:p>
      <w:pPr>
        <w:pStyle w:val="TextBody"/>
        <w:bidi w:val="0"/>
        <w:spacing w:lineRule="auto" w:line="288" w:before="0" w:after="0"/>
        <w:ind w:left="0" w:right="0" w:hanging="27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Riverwalk 1 HoldCo, LLC, Riverwalk 2 HoldCo, LLC, Riverwalk 3 HoldCo, LLC, Riverwalk 4 HoldCo, LLC, Riverwalk 5 HoldCo, LLC, Riverwalk 6 HoldCo, LLC, and Riverwalk 7 HoldCo, LLC.</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Real Estate Loans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Commons Fundco, LLC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2026, the consolidated fund entered into a modification of its existing mortgage loan secured by the 2nd Avenue Commons property. The loan had an outstanding principal balance of $34.4 million at the time of modification. The maturity date was extended to September 1, 2028, with one additional one-year extension option subject to certain performance conditions. In connection with the modification, the Company made a $2.8 million principal paydown, and the lender forgave $2.7 million of previously accrued default interest. The modification was not accounted for as a debt extinguishment and is treated as a continuation of the original loan. Accordingly, the carrying amount of the loan was adjusted to reflect the terms of the modification. The Company accounts for the forgiven default interest loan as a loan modification premium, which is included in “Real estate loan premium” in the accompanying table and is amortized as a reduction of interest expense over the remaining life of the loan using the effective interest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loan bears interest at a variable rate equal to the greater of Term SOFR plus 3.50% or 7.00%, with monthly interest-only payments and all remaining principal due at maturity. The modification also includes an exit fee of 0.75% of the outstanding principal balance, payable upon repayment or maturity, and an upfront extension fee of approximately $0.3 million.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agreement provides for a discounted payoff option of $27.7 million, plus applicable fees, interest, and expenses, subject to certain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modified agreement is subject to cash management provisions that may be triggered if certain performance thresholds are not met and is guaranteed by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Riverwalk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October 2022, the consolidated fund entered into a loan agreement which is secured by a deed of trust and assignment of rents of the Riverwalk properties located in Scottsdale, Arizona. Through a forbearance agreement executed in December 2025, the loan has a variable interest rate per annum equal to SOFR plus 4.25%, with a floor rate of 6.50%, and matures in September 2027. The forbearance agreement requires monthly interest-only payments and principal payments at various dates throughout the forbearance agreement term. The terms of the forbearance agreement require an exit fee, which is determined by the date the agreement is terminated. The exit fee will be incrementally accrued based upon the termination periods and recorded as interest expense. The loan is guaranteed by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Southpointe Fundco,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June 2022, the consolidated fund entered into a loan agreement which is secured by a deed of trust and assignment of rents of a residential development property in Phoenix, Arizona. The loan initially had a fixed rate per annum equal to 9.99%. In May 2023, an extension agreement was executed with the lender, extending the maturity date to December 2023. In November 2023, an extension agreement was executed with the lender, extending the maturity date to March 2024 and amending the interest to a fixed rate of 11.99%. In February 2024, August 2024, March 2025, September 2025, and March 2026 extension agreements were executed with the lender, extending the maturity date to September 2024, March 2025, September 2025, March 2026, and September 2026, respectively. The terms of the loan allow the prepayment of the outstanding balance in part or in whole at any time prior to the maturity date with no prepayment penalty. The loan is guaranteed by an individual who is an affiliate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West Frontier Holdco,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 In April 2025, the loan was converted into a term loan with the interest rate, repayment schedule and prepayment terms remaining the same.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Member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2022 and 2023, Riverwalk issued unsecured promissory notes to individual investors bearing interest at 10.0%. The notes have maturity dates ranging from September 2024 through September 2026 and require quarterly interest-only payments. The notes may be prepaid, in whole or in part, at any time prior to maturity without penalty. As of June 30, 2026, $5.5 million of the $7.3 million outstanding principal balance had matured and remained unpaid. The Company is actively working with note holders to satisfy these obligations, and no formal notices of default have been received. The notes continue to accrue interest at the stated rate of 10.0%. Accrued interest related to these notes in aggregate totaled $1.1 million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2022 and 2023, Southpointe Fundco, LLC issued unsecured promissory notes to individual investors bearing interest at 10.0%. The notes matured in December 2025 and required quarterly interest-only payments. As of June 30, 2026, the outstanding principal balance of $5.6 million had matured and remained unpaid. The Company is actively working with note holders to satisfy these obligations, and no formal notices of default have been received. The notes continue to accrue interest at the stated rate of 10.0%. Accrued interest related to these notes in aggregate totaled $0.8 million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Debt Maturities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future aggregate principal repayments due on the consolidated funds notes payable are as follows (in thousands):</w:t>
      </w:r>
    </w:p>
    <w:tbl>
      <w:tblPr>
        <w:tblW w:w="4262"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 Related Party Transactions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Related Party Transactions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the total revenues earned for providing services under Platform as described in the Revenue Recognition section of Note 2 – Summary of Significant Accounting Policies for the three and six months ended June 30, 2026 and 2025.</w:t>
      </w:r>
    </w:p>
    <w:tbl>
      <w:tblPr>
        <w:tblW w:w="8749" w:type="dxa"/>
        <w:jc w:val="left"/>
        <w:tblInd w:w="0" w:type="dxa"/>
        <w:tblLayout w:type="fixed"/>
        <w:tblCellMar>
          <w:top w:w="28" w:type="dxa"/>
          <w:left w:w="28" w:type="dxa"/>
          <w:bottom w:w="28" w:type="dxa"/>
          <w:right w:w="28" w:type="dxa"/>
        </w:tblCellMar>
      </w:tblPr>
      <w:tblGrid>
        <w:gridCol w:w="1104"/>
        <w:gridCol w:w="969"/>
        <w:gridCol w:w="972"/>
        <w:gridCol w:w="109"/>
        <w:gridCol w:w="109"/>
        <w:gridCol w:w="109"/>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related party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amounts due to the Company from related parties for services performed under the Platform was $9.4 million and $9.2 million, respectively, net of allowance for doubtful accounts of $3.6 million and $3.2 million, respectively, which is included in due from related parties on the accompanying condensed consolidated balance sheets.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unsecured promissory notes with related parties. No payments are required prior to the maturity of the notes. The notes may be prepaid in whole, or in part, without penalty.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notes receivable – related parties of the Company as of June 30, 2026 and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95"/>
        <w:gridCol w:w="1118"/>
        <w:gridCol w:w="1125"/>
        <w:gridCol w:w="109"/>
        <w:gridCol w:w="109"/>
        <w:gridCol w:w="109"/>
        <w:gridCol w:w="245"/>
        <w:gridCol w:w="840"/>
        <w:gridCol w:w="126"/>
        <w:gridCol w:w="109"/>
        <w:gridCol w:w="109"/>
        <w:gridCol w:w="109"/>
        <w:gridCol w:w="341"/>
        <w:gridCol w:w="1001"/>
        <w:gridCol w:w="178"/>
        <w:gridCol w:w="109"/>
        <w:gridCol w:w="109"/>
        <w:gridCol w:w="109"/>
        <w:gridCol w:w="407"/>
        <w:gridCol w:w="407"/>
        <w:gridCol w:w="409"/>
        <w:gridCol w:w="109"/>
        <w:gridCol w:w="109"/>
        <w:gridCol w:w="109"/>
        <w:gridCol w:w="418"/>
        <w:gridCol w:w="406"/>
        <w:gridCol w:w="581"/>
      </w:tblGrid>
      <w:tr>
        <w:trPr/>
        <w:tc>
          <w:tcPr>
            <w:tcW w:w="129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Interest 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Maturity Date </w:t>
            </w:r>
            <w:r>
              <w:rPr>
                <w:rFonts w:ascii="Times New Roman;serif" w:hAnsi="Times New Roman;serif"/>
                <w:b/>
                <w:color w:val="000000"/>
                <w:sz w:val="13"/>
              </w:rPr>
              <w:t>(1)</w:t>
            </w:r>
          </w:p>
        </w:tc>
      </w:tr>
      <w:tr>
        <w:trPr/>
        <w:tc>
          <w:tcPr>
            <w:tcW w:w="3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Encore Caliber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March 2027</w:t>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2027</w:t>
            </w:r>
          </w:p>
        </w:tc>
      </w:tr>
      <w:tr>
        <w:trPr/>
        <w:tc>
          <w:tcPr>
            <w:tcW w:w="35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DFW Behavioral Health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November 2026</w:t>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Ridge MezzCo,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3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Ridge II MezzCo,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2027</w:t>
            </w:r>
          </w:p>
        </w:tc>
      </w:tr>
      <w:tr>
        <w:trPr/>
        <w:tc>
          <w:tcPr>
            <w:tcW w:w="3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Fixed Income Fund III,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July 2026</w:t>
            </w:r>
          </w:p>
        </w:tc>
      </w:tr>
      <w:tr>
        <w:trPr/>
        <w:tc>
          <w:tcPr>
            <w:tcW w:w="3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JV,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September 2026</w:t>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Tax Advantaged Opportunity Zone Fund,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September 2027</w:t>
            </w:r>
          </w:p>
        </w:tc>
      </w:tr>
      <w:tr>
        <w:trPr/>
        <w:tc>
          <w:tcPr>
            <w:tcW w:w="3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J-25 Land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September 2026</w:t>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Elliot 10 MezzCo,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July 2027</w:t>
            </w:r>
          </w:p>
        </w:tc>
      </w:tr>
      <w:tr>
        <w:trPr/>
        <w:tc>
          <w:tcPr>
            <w:tcW w:w="3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Core+ Growth &amp; Income Fund REIT,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2027</w:t>
            </w:r>
          </w:p>
        </w:tc>
      </w:tr>
      <w:tr>
        <w:trPr/>
        <w:tc>
          <w:tcPr>
            <w:tcW w:w="3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3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3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As of June 30, 2026.</w:t>
      </w:r>
    </w:p>
    <w:p>
      <w:pPr>
        <w:pStyle w:val="TextBody"/>
        <w:bidi w:val="0"/>
        <w:spacing w:lineRule="auto" w:line="288" w:before="0" w:after="0"/>
        <w:ind w:left="0" w:right="0" w:hanging="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Company entered into unsecured promissory notes with related parties which were repaid or impaired during the six months ended June 30,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earned $0.2 million and $0.5 million, respectively, of interest in connection with the notes, which is included in interest income on the accompanying condensed consolidated statements of operations. During the three and six months ended June 30, 2025, the Company earned an immaterial amount of interest in connection with the notes, which is included in interest income on the accompanying condensed consolidated statements of operations. Interest that accrues on certain related party notes receivable can be added to the principal outstanding balance, due at the respective loan maturity date and incurs interest at the respective interest rate. There was $0.3 million of interest due to the Company as of June 30, 2026 and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June 30, 2026 and December 31, 2025 notes receivable - related parties balance above is net of a $0.9 million and $1.0 million, respectively, allowance for doubtful accounts.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At both June 30, 2026 and December 31, 2025, other amounts due from related parties was $0.7 million, net of allowance for doubtful accounts at both June 30, 2026 and December 31, 2025 of $0.7 million and $0.8 million, respectively, and are included in due from related parties on the accompanying condensed consolidated balance sheets. As of June 30, 2026 and December 31, 2025, other amounts due to related parties from the Company were $0.2 million and $0.2 million, respectively, which are included in due to related parties on the accompanying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Related Party Transactions of the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entered into unsecured promissory notes with related parties. The notes may be repaid in whole, or in part, without penalty. The notes receivable – related parties consisted of the following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164"/>
        <w:gridCol w:w="1020"/>
        <w:gridCol w:w="1026"/>
        <w:gridCol w:w="109"/>
        <w:gridCol w:w="109"/>
        <w:gridCol w:w="109"/>
        <w:gridCol w:w="281"/>
        <w:gridCol w:w="821"/>
        <w:gridCol w:w="145"/>
        <w:gridCol w:w="109"/>
        <w:gridCol w:w="109"/>
        <w:gridCol w:w="109"/>
        <w:gridCol w:w="445"/>
        <w:gridCol w:w="986"/>
        <w:gridCol w:w="233"/>
        <w:gridCol w:w="109"/>
        <w:gridCol w:w="109"/>
        <w:gridCol w:w="109"/>
        <w:gridCol w:w="433"/>
        <w:gridCol w:w="433"/>
        <w:gridCol w:w="435"/>
        <w:gridCol w:w="109"/>
        <w:gridCol w:w="109"/>
        <w:gridCol w:w="109"/>
        <w:gridCol w:w="429"/>
        <w:gridCol w:w="429"/>
        <w:gridCol w:w="617"/>
      </w:tblGrid>
      <w:tr>
        <w:trPr/>
        <w:tc>
          <w:tcPr>
            <w:tcW w:w="116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Interest Rate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Maturity Date</w:t>
            </w:r>
            <w:r>
              <w:rPr>
                <w:rFonts w:ascii="Times New Roman;serif" w:hAnsi="Times New Roman;serif"/>
                <w:b/>
                <w:color w:val="000000"/>
                <w:sz w:val="13"/>
              </w:rPr>
              <w:t>(1)</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Caliber Hospitality, LP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2027</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Elliot &amp; 51st Street,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2027</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Receivable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June 30, 2026.</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During the six months ended June 30, 2026, the Company consolidated Commons Fundco, LLC (as discussed in Note 3 – VIEs), who is the lender of a promissory note with Caliber Hospitality, LP.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the consolidated fund did not earn interest in connection with the notes. Interest that accrues on certain related party notes receivable, in which the consolidated fund and respective borrower mutually agreed, is added to the principal outstanding balance, due at the respective loan maturity date and incurs interest at the respective interest rate. Interest due to the consolidated funds was $1.3 million and $0.2 million as of June 30, 2026 and December 31, 2025, respectively, which is included in due from related parties on the accompanying condensed consolidated balance sheets.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Notes Payable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the consolidated funds had a note payable outstanding to CFIF III of $2.5 million and $2.3 million, respectively. The note matured in September 2025 and remains in default as of June 30, 2026. Interest continues to accrue at a fixed rate of 13.00% per annum and is capitalized to the principal balance on a monthly basis.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consolidated funds incurred $0.1 million and $0.2 million, respectively, of interest expense in connection with the notes payable – related parties, which is included in consolidated funds - hospitality expenses and consolidated funds - other expenses on the accompanying condensed consolidated statements of operations. During each of the three and six months ended June 30, 2025, the consolidated funds incurred $0.1 million of interest expense in connection with the notes payable – related parties, which is included in consolidated funds - hospitality expenses and consolidated funds - other expenses on the accompanying condensed consolidated statements of operations. No interest was payable as of June 30, 2026 and December 31, 2025.</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At both June 30, 2026 and December 31, 2025, there were an immaterial amount of other amounts due from related parties, which is included in prepaid and other assets on the accompanying condensed consolidated balance sheets. At both June 30, 2026 and December 31, 2025, there was $0.9 million of other amounts due to related parties, which is included in due to related parties on the accompanying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 Leases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Lessor -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Rental revenue of the Company includes the revenue generated by the rental operations of one commercial office property. As of June 30, 2026, the leases have non-cancelable remaining lease terms from 0.3 years to 10.1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June 30, 2026, the Company does not have any material related party leases as a lessor. The components of rental revenue of the Company for the three and six months ended June 30, 2026 and 2025, are presented in the table below (in thousands). Variable rental revenue is primarily costs reimbursed related to common area maintenance.</w:t>
      </w:r>
    </w:p>
    <w:tbl>
      <w:tblPr>
        <w:tblW w:w="6227" w:type="dxa"/>
        <w:jc w:val="left"/>
        <w:tblInd w:w="0" w:type="dxa"/>
        <w:tblLayout w:type="fixed"/>
        <w:tblCellMar>
          <w:top w:w="28" w:type="dxa"/>
          <w:left w:w="28" w:type="dxa"/>
          <w:bottom w:w="28" w:type="dxa"/>
          <w:right w:w="28" w:type="dxa"/>
        </w:tblCellMar>
      </w:tblPr>
      <w:tblGrid>
        <w:gridCol w:w="309"/>
        <w:gridCol w:w="271"/>
        <w:gridCol w:w="275"/>
        <w:gridCol w:w="291"/>
        <w:gridCol w:w="644"/>
        <w:gridCol w:w="150"/>
        <w:gridCol w:w="150"/>
        <w:gridCol w:w="150"/>
        <w:gridCol w:w="150"/>
        <w:gridCol w:w="291"/>
        <w:gridCol w:w="644"/>
        <w:gridCol w:w="150"/>
        <w:gridCol w:w="109"/>
        <w:gridCol w:w="109"/>
        <w:gridCol w:w="109"/>
        <w:gridCol w:w="244"/>
        <w:gridCol w:w="715"/>
        <w:gridCol w:w="126"/>
        <w:gridCol w:w="126"/>
        <w:gridCol w:w="126"/>
        <w:gridCol w:w="126"/>
        <w:gridCol w:w="244"/>
        <w:gridCol w:w="540"/>
        <w:gridCol w:w="178"/>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Future minimum lease payments due to the Company under non-cancellable operating leases over the next five years and thereafter as of June 30, 2026, are as follows (in thousands): </w:t>
      </w:r>
    </w:p>
    <w:tbl>
      <w:tblPr>
        <w:tblW w:w="4157"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61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Lessor -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Rental revenue of the consolidated funds includes the revenues generated primarily by the rental operations of two multi-family residential properties and two commercial properties. As of June 30, 2026, the leases have non-cancelable remaining lease terms from 0.1 years to 30.4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June 30, 2026, the consolidated funds do not have any material related party leases as a lessor. The components of rental revenue of the consolidated funds for the three and six months ended June 30, 2026 and 2025, are presented in the table below (in thousands). Variable rental revenue is primarily costs reimbursed related to common area maintenance.</w:t>
      </w:r>
    </w:p>
    <w:tbl>
      <w:tblPr>
        <w:tblW w:w="6228" w:type="dxa"/>
        <w:jc w:val="left"/>
        <w:tblInd w:w="0" w:type="dxa"/>
        <w:tblLayout w:type="fixed"/>
        <w:tblCellMar>
          <w:top w:w="28" w:type="dxa"/>
          <w:left w:w="28" w:type="dxa"/>
          <w:bottom w:w="28" w:type="dxa"/>
          <w:right w:w="28" w:type="dxa"/>
        </w:tblCellMar>
      </w:tblPr>
      <w:tblGrid>
        <w:gridCol w:w="309"/>
        <w:gridCol w:w="271"/>
        <w:gridCol w:w="275"/>
        <w:gridCol w:w="270"/>
        <w:gridCol w:w="789"/>
        <w:gridCol w:w="139"/>
        <w:gridCol w:w="139"/>
        <w:gridCol w:w="139"/>
        <w:gridCol w:w="139"/>
        <w:gridCol w:w="270"/>
        <w:gridCol w:w="597"/>
        <w:gridCol w:w="139"/>
        <w:gridCol w:w="109"/>
        <w:gridCol w:w="109"/>
        <w:gridCol w:w="109"/>
        <w:gridCol w:w="244"/>
        <w:gridCol w:w="715"/>
        <w:gridCol w:w="126"/>
        <w:gridCol w:w="126"/>
        <w:gridCol w:w="126"/>
        <w:gridCol w:w="126"/>
        <w:gridCol w:w="244"/>
        <w:gridCol w:w="540"/>
        <w:gridCol w:w="178"/>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Future minimum lease payments due to the consolidated funds under non-cancellable operating leases over the next five years and thereafter as of June 30, 2026, are as follows (in thousands): </w:t>
      </w:r>
    </w:p>
    <w:tbl>
      <w:tblPr>
        <w:tblW w:w="4262"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Other Liabilities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Liabilities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liabilities of the Company consisted of the following as of June 30, 2026 and December 31, 2025 (in thousands):</w:t>
      </w:r>
    </w:p>
    <w:p>
      <w:pPr>
        <w:pStyle w:val="TextBody"/>
        <w:bidi w:val="0"/>
        <w:spacing w:before="0" w:after="0"/>
        <w:jc w:val="both"/>
        <w:rPr/>
      </w:pPr>
      <w:r>
        <w:rPr/>
      </w:r>
    </w:p>
    <w:tbl>
      <w:tblPr>
        <w:tblW w:w="6055" w:type="dxa"/>
        <w:jc w:val="left"/>
        <w:tblInd w:w="0" w:type="dxa"/>
        <w:tblLayout w:type="fixed"/>
        <w:tblCellMar>
          <w:top w:w="28" w:type="dxa"/>
          <w:left w:w="28" w:type="dxa"/>
          <w:bottom w:w="28" w:type="dxa"/>
          <w:right w:w="28" w:type="dxa"/>
        </w:tblCellMar>
      </w:tblPr>
      <w:tblGrid>
        <w:gridCol w:w="970"/>
        <w:gridCol w:w="854"/>
        <w:gridCol w:w="861"/>
        <w:gridCol w:w="342"/>
        <w:gridCol w:w="756"/>
        <w:gridCol w:w="176"/>
        <w:gridCol w:w="109"/>
        <w:gridCol w:w="109"/>
        <w:gridCol w:w="109"/>
        <w:gridCol w:w="448"/>
        <w:gridCol w:w="992"/>
        <w:gridCol w:w="329"/>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Deposits </w:t>
            </w:r>
            <w:r>
              <w:rPr>
                <w:rFonts w:ascii="Times New Roman;serif" w:hAnsi="Times New Roman;serif"/>
                <w:b w:val="false"/>
                <w:color w:val="000000"/>
                <w:sz w:val="13"/>
              </w:rPr>
              <w:t>(1)</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 allowance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tenant security deposits.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Other Liabilities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liabilities of the consolidated funds consisted of the following as of June 30, 2026 and December 31, 2025 (in thousands):</w:t>
      </w:r>
    </w:p>
    <w:p>
      <w:pPr>
        <w:pStyle w:val="TextBody"/>
        <w:bidi w:val="0"/>
        <w:spacing w:before="0" w:after="0"/>
        <w:jc w:val="both"/>
        <w:rPr/>
      </w:pPr>
      <w:r>
        <w:rPr/>
      </w:r>
    </w:p>
    <w:tbl>
      <w:tblPr>
        <w:tblW w:w="5215" w:type="dxa"/>
        <w:jc w:val="left"/>
        <w:tblInd w:w="0" w:type="dxa"/>
        <w:tblLayout w:type="fixed"/>
        <w:tblCellMar>
          <w:top w:w="28" w:type="dxa"/>
          <w:left w:w="28" w:type="dxa"/>
          <w:bottom w:w="28" w:type="dxa"/>
          <w:right w:w="28" w:type="dxa"/>
        </w:tblCellMar>
      </w:tblPr>
      <w:tblGrid>
        <w:gridCol w:w="668"/>
        <w:gridCol w:w="586"/>
        <w:gridCol w:w="590"/>
        <w:gridCol w:w="342"/>
        <w:gridCol w:w="756"/>
        <w:gridCol w:w="176"/>
        <w:gridCol w:w="109"/>
        <w:gridCol w:w="109"/>
        <w:gridCol w:w="109"/>
        <w:gridCol w:w="514"/>
        <w:gridCol w:w="880"/>
        <w:gridCol w:w="376"/>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Deposits </w:t>
            </w:r>
            <w:r>
              <w:rPr>
                <w:rFonts w:ascii="Times New Roman;serif" w:hAnsi="Times New Roman;serif"/>
                <w:b w:val="false"/>
                <w:color w:val="000000"/>
                <w:sz w:val="13"/>
              </w:rPr>
              <w:t>(1)</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tenant security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 Supplemental Cash Flow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consisted of the following for the six months ended June 30, 2026 and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39"/>
        <w:gridCol w:w="2362"/>
        <w:gridCol w:w="2374"/>
        <w:gridCol w:w="109"/>
        <w:gridCol w:w="109"/>
        <w:gridCol w:w="109"/>
        <w:gridCol w:w="215"/>
        <w:gridCol w:w="738"/>
        <w:gridCol w:w="111"/>
        <w:gridCol w:w="111"/>
        <w:gridCol w:w="111"/>
        <w:gridCol w:w="111"/>
        <w:gridCol w:w="215"/>
        <w:gridCol w:w="630"/>
        <w:gridCol w:w="161"/>
      </w:tblGrid>
      <w:tr>
        <w:trPr/>
        <w:tc>
          <w:tcPr>
            <w:tcW w:w="273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interest, none of which was capitalized for the six months ended June 30, 2026 and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bonus settlement via employee accounts receivable offset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capitalized interest of $1 for each of the six months ended June 30,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party eliminated in 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investments in unconsolidated entities due to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real estate investments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 for investor buy-out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note rollovers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of redeemable preferred stock,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corporate note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corporate note to preferred stock, including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note increase due to rollovers, net of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of convertible note and related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related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notes receivable - related party due to payment of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6127" w:type="dxa"/>
        <w:jc w:val="left"/>
        <w:tblInd w:w="0" w:type="dxa"/>
        <w:tblLayout w:type="fixed"/>
        <w:tblCellMar>
          <w:top w:w="28" w:type="dxa"/>
          <w:left w:w="28" w:type="dxa"/>
          <w:bottom w:w="28" w:type="dxa"/>
          <w:right w:w="28" w:type="dxa"/>
        </w:tblCellMar>
      </w:tblPr>
      <w:tblGrid>
        <w:gridCol w:w="1222"/>
        <w:gridCol w:w="1074"/>
        <w:gridCol w:w="1079"/>
        <w:gridCol w:w="109"/>
        <w:gridCol w:w="109"/>
        <w:gridCol w:w="109"/>
        <w:gridCol w:w="239"/>
        <w:gridCol w:w="461"/>
        <w:gridCol w:w="123"/>
        <w:gridCol w:w="123"/>
        <w:gridCol w:w="123"/>
        <w:gridCol w:w="123"/>
        <w:gridCol w:w="239"/>
        <w:gridCol w:w="819"/>
        <w:gridCol w:w="175"/>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11 – Commitments and Contingencies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Commitments and Contingencies of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Events of Default on Guaranteed Debt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guaranteed certain indebtedness of an investment fund it manages. As of June 30, 2026, the fund was in default under the terms of the underlying debt agreement due to (i) failure to maintain required debt service coverage ratio covenants and (ii) failure to satisfy certain financial reporting requirements. The loan remains current with respect to scheduled debt service payments. These defaults constitute Events of Default under the applicable loan documents and entitle the lender to exercise remedies including acceleration of the debt and enforcement of the related guarantee. The lender has not accelerated the debt or requested repayment from the Company under the guarantee; however, the lender has reserved all rights and remedies available under the loan documents, including the right to exercise such remedies at any time without further notice.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Management believes the fund will generate sufficient liquidity to satisfy the obligation and has concluded that the likelihood of payment by the Company under the guarantee is remote. Accordingly, no liability has been recorded related to this guarantee as of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maximum potential exposure under the guarantee was $3.7 million as of June 30, 2026.</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ownership and operation of real estate assets, the Company may potentially be liable for costs and damages related to environmental matters. The Company believes it is in material compliance with current laws and regulations and does not know of any existing environmental condition nor has the Company been notified by any governmental authority of any non-compliance, liability or other claim, in each case, that could result in a material effect on the Company’s financial condition or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Caliber Tax Advantaged Opportunity Fund LP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Caliber O-Zone Fund Manager, LLC (the “CTAF Fund Manager”) is a wholly-owned subsidiary of the Company and general partner and manager of Caliber Tax Advantaged Opportunity Fund LP (“CTAF”). In the event of a dissolution, winding-up, or termination, if the aggregate amount received by the CTAF limited partners does not equal or exceed an amount equal to a 6% IRR for the limited partners, the CTAF Fund Manager shall immediately contribute to CTAF funds in order to meet this minimum requirement for payment to the CTAF limited partners. As of June 30, 2026 and December 31, 2025, the Company estimated the fair value of CTAF was less than the 6% IRR for the limited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Caliber Tax Advantaged Opportunity Fund II LLC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Caliber O-Zone Fund II Manager, LLC (the “CTAF II Fund Manager”) is a wholly-owned subsidiary of the Company and general partner and manager of Caliber Tax Advantaged Opportunity Zone Fund II LLC (“CTAF II”). In the event of a dissolution, winding-up, or termination, if the aggregate amount received by the CTAF II investor members does not equal or exceed an amount equal to a 6% IRR for the investor members, the CTAF II Fund Manager shall immediately contribute to CTAF II funds in order to meet this minimum requirement for payment to the CTAF II investor members. As of June 30, 2026 and December 31, 2025, the Company estimated the fair value of CTAF II was less than the 6% IRR for the investor members.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Commitments and Contingencies of the Consolidated Funds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Franchise Agreements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consolidated funds were not party to any franchise agreements, therefore, the consolidated funds did not recognize any franchise fees during this period. During the three and six months ended June 30, 2025, the consolidated funds were parties to franchise agreements where the fund is required to pay monthly fees, generally consisting of royalty, program, and food and beverage fees. During the three and six months ended June 30, 2025, the consolidated funds recognized total franchise fees of $0.1 million and $0.4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12 – Net Income (Loss)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is calculated by dividing net income (loss) attributable to common stockholders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considered the two-class method in calculating the basic and diluted earnings per share; however, it was determined there was no impact to the calculation of basic and diluted net income (loss) per share attributable to common shareholders as Class A and Class B common stock share in the same earnings and profits; thus, having no impact on the calculation. On May 15, 2026, all 370,822 shares of Class B Common Stock issued and outstanding automatically converted, on a one-for-one basis, into an equivalent number of shares of Class A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share and per share amounts in the earnings per share calculation and dilutive share calculations below have been affected for the Reverse Stock Split, retroactively, for all periods presented.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calculated the basic and diluted earnings per share during the three and six months ended June 30, 2026 and 2025 as follows (in thousands, except per share data):</w:t>
      </w:r>
    </w:p>
    <w:tbl>
      <w:tblPr>
        <w:tblW w:w="10205" w:type="dxa"/>
        <w:jc w:val="left"/>
        <w:tblInd w:w="0" w:type="dxa"/>
        <w:tblLayout w:type="fixed"/>
        <w:tblCellMar>
          <w:top w:w="28" w:type="dxa"/>
          <w:left w:w="28" w:type="dxa"/>
          <w:bottom w:w="28" w:type="dxa"/>
          <w:right w:w="28" w:type="dxa"/>
        </w:tblCellMar>
      </w:tblPr>
      <w:tblGrid>
        <w:gridCol w:w="1816"/>
        <w:gridCol w:w="1562"/>
        <w:gridCol w:w="1571"/>
        <w:gridCol w:w="229"/>
        <w:gridCol w:w="741"/>
        <w:gridCol w:w="118"/>
        <w:gridCol w:w="118"/>
        <w:gridCol w:w="118"/>
        <w:gridCol w:w="118"/>
        <w:gridCol w:w="229"/>
        <w:gridCol w:w="741"/>
        <w:gridCol w:w="118"/>
        <w:gridCol w:w="109"/>
        <w:gridCol w:w="109"/>
        <w:gridCol w:w="109"/>
        <w:gridCol w:w="213"/>
        <w:gridCol w:w="685"/>
        <w:gridCol w:w="109"/>
        <w:gridCol w:w="109"/>
        <w:gridCol w:w="109"/>
        <w:gridCol w:w="109"/>
        <w:gridCol w:w="213"/>
        <w:gridCol w:w="685"/>
        <w:gridCol w:w="167"/>
      </w:tblGrid>
      <w:tr>
        <w:trPr/>
        <w:tc>
          <w:tcPr>
            <w:tcW w:w="181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8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CaliberCos Inc.</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97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6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interest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of CaliberCos Inc.</w:t>
            </w:r>
          </w:p>
        </w:tc>
        <w:tc>
          <w:tcPr>
            <w:tcW w:w="22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w:t>
            </w:r>
          </w:p>
        </w:tc>
        <w:tc>
          <w:tcPr>
            <w:tcW w:w="1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6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108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shareholders</w:t>
            </w:r>
          </w:p>
        </w:tc>
        <w:tc>
          <w:tcPr>
            <w:tcW w:w="229"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18" w:type="dxa"/>
            <w:tcBorders>
              <w:bottom w:val="double" w:sz="8" w:space="0" w:color="000000"/>
            </w:tcBorders>
            <w:shd w:fill="CCED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18" w:type="dxa"/>
            <w:tcBorders>
              <w:bottom w:val="double" w:sz="8" w:space="0" w:color="000000"/>
            </w:tcBorders>
            <w:shd w:fill="CCED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09" w:type="dxa"/>
            <w:tcBorders>
              <w:bottom w:val="double" w:sz="8" w:space="0" w:color="000000"/>
            </w:tcBorders>
            <w:shd w:fill="CCED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67" w:type="dxa"/>
            <w:tcBorders>
              <w:bottom w:val="double" w:sz="8" w:space="0" w:color="000000"/>
            </w:tcBorders>
            <w:shd w:fill="CCED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pPr>
      <w:r>
        <w:rPr>
          <w:rFonts w:ascii="Times New Roman;serif" w:hAnsi="Times New Roman;serif"/>
          <w:b w:val="false"/>
          <w:color w:val="000000"/>
          <w:sz w:val="20"/>
        </w:rPr>
        <w:t xml:space="preserve">The number of antidilutive shares </w:t>
      </w:r>
      <w:r>
        <w:rPr>
          <w:rFonts w:ascii="Times New Roman;serif" w:hAnsi="Times New Roman;serif"/>
          <w:b w:val="false"/>
          <w:color w:val="000000"/>
          <w:sz w:val="20"/>
          <w:shd w:fill="FFFFFF" w:val="clear"/>
        </w:rPr>
        <w:t xml:space="preserve">consisted of the potential exercise of stock options and warrants, as well as the potential conversion of preferred shares and convertible debt. The following table summarizes these potential exercises and conversions during the </w:t>
      </w:r>
      <w:r>
        <w:rPr>
          <w:rFonts w:ascii="Times New Roman;serif" w:hAnsi="Times New Roman;serif"/>
          <w:b w:val="false"/>
          <w:color w:val="000000"/>
          <w:sz w:val="20"/>
        </w:rPr>
        <w:t>three and six months ended June 30, 2026 and 2025</w:t>
      </w:r>
      <w:r>
        <w:rPr>
          <w:rFonts w:ascii="Times New Roman;serif" w:hAnsi="Times New Roman;serif"/>
          <w:b w:val="false"/>
          <w:color w:val="000000"/>
          <w:sz w:val="20"/>
          <w:shd w:fill="FFFFFF" w:val="clear"/>
        </w:rPr>
        <w:t>, which h</w:t>
      </w:r>
      <w:r>
        <w:rPr>
          <w:rFonts w:ascii="Times New Roman;serif" w:hAnsi="Times New Roman;serif"/>
          <w:b w:val="false"/>
          <w:color w:val="000000"/>
          <w:sz w:val="20"/>
        </w:rPr>
        <w:t>ave been excluded from the computation of diluted earnings per share attributable to common shareholders (in thousands):</w:t>
      </w:r>
    </w:p>
    <w:tbl>
      <w:tblPr>
        <w:tblW w:w="10205" w:type="dxa"/>
        <w:jc w:val="left"/>
        <w:tblInd w:w="0" w:type="dxa"/>
        <w:tblLayout w:type="fixed"/>
        <w:tblCellMar>
          <w:top w:w="28" w:type="dxa"/>
          <w:left w:w="28" w:type="dxa"/>
          <w:bottom w:w="28" w:type="dxa"/>
          <w:right w:w="28" w:type="dxa"/>
        </w:tblCellMar>
      </w:tblPr>
      <w:tblGrid>
        <w:gridCol w:w="1788"/>
        <w:gridCol w:w="1570"/>
        <w:gridCol w:w="1579"/>
        <w:gridCol w:w="291"/>
        <w:gridCol w:w="290"/>
        <w:gridCol w:w="281"/>
        <w:gridCol w:w="281"/>
        <w:gridCol w:w="281"/>
        <w:gridCol w:w="281"/>
        <w:gridCol w:w="291"/>
        <w:gridCol w:w="284"/>
        <w:gridCol w:w="281"/>
        <w:gridCol w:w="109"/>
        <w:gridCol w:w="109"/>
        <w:gridCol w:w="109"/>
        <w:gridCol w:w="258"/>
        <w:gridCol w:w="255"/>
        <w:gridCol w:w="249"/>
        <w:gridCol w:w="249"/>
        <w:gridCol w:w="249"/>
        <w:gridCol w:w="249"/>
        <w:gridCol w:w="258"/>
        <w:gridCol w:w="252"/>
        <w:gridCol w:w="361"/>
      </w:tblGrid>
      <w:tr>
        <w:trPr/>
        <w:tc>
          <w:tcPr>
            <w:tcW w:w="178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stock options were exercised</w:t>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r>
      <w:tr>
        <w:trPr/>
        <w:tc>
          <w:tcPr>
            <w:tcW w:w="4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warrants were exercised</w:t>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preferred shares were converted</w:t>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r>
      <w:tr>
        <w:trPr/>
        <w:tc>
          <w:tcPr>
            <w:tcW w:w="4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common shares, if convertible debt were converted</w:t>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Fair Value of Financial Instruments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of Financial Instruments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values of financial instruments held by the Company are estimated using available market information and established valuation methodologies. Accordingly, the estimates presented are not necessarily indicative of the amounts the Company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pPr>
      <w:r>
        <w:rPr>
          <w:rFonts w:ascii="Times New Roman;serif" w:hAnsi="Times New Roman;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carrying values of the Company’s variable rate and short-term debt as of June 30, 2026 and December 31, 2025, approximated fair value. The fair value of the Company’s fixed rate debt were measured with</w:t>
      </w:r>
      <w:r>
        <w:rPr>
          <w:color w:val="000000"/>
          <w:shd w:fill="FFFFFF" w:val="clear"/>
        </w:rPr>
        <w:t xml:space="preserve"> </w:t>
      </w:r>
      <w:r>
        <w:rPr>
          <w:rFonts w:ascii="Times New Roman;serif" w:hAnsi="Times New Roman;serif"/>
          <w:b w:val="false"/>
          <w:color w:val="000000"/>
          <w:sz w:val="20"/>
          <w:shd w:fill="FFFFFF" w:val="clear"/>
        </w:rPr>
        <w:t xml:space="preserve">Level 2 inputs. The estimated fair value of the Company’s instruments below were determined by management based on a discounted future cash-flow model (in thousands): </w:t>
      </w:r>
    </w:p>
    <w:p>
      <w:pPr>
        <w:pStyle w:val="TextBody"/>
        <w:bidi w:val="0"/>
        <w:spacing w:before="0" w:after="0"/>
        <w:jc w:val="both"/>
        <w:rPr/>
      </w:pPr>
      <w:r>
        <w:rPr/>
      </w:r>
    </w:p>
    <w:tbl>
      <w:tblPr>
        <w:tblW w:w="7616" w:type="dxa"/>
        <w:jc w:val="left"/>
        <w:tblInd w:w="0" w:type="dxa"/>
        <w:tblLayout w:type="fixed"/>
        <w:tblCellMar>
          <w:top w:w="28" w:type="dxa"/>
          <w:left w:w="28" w:type="dxa"/>
          <w:bottom w:w="28" w:type="dxa"/>
          <w:right w:w="28" w:type="dxa"/>
        </w:tblCellMar>
      </w:tblPr>
      <w:tblGrid>
        <w:gridCol w:w="761"/>
        <w:gridCol w:w="668"/>
        <w:gridCol w:w="67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Saddleback Ranch,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of Financial Instruments of the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carrying values of the consolidated funds’ variable rate and short-term debt as of June 30, 2026 and December 31, 2025, approximated fair value. The fair value of the consolidated funds’ fixed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rate debt were measured with Level 2 inputs. The estimated fair values for the consolidated funds’ instruments below were determined by management based on a discounted future cash-flow model (in thousands):</w:t>
      </w:r>
    </w:p>
    <w:tbl>
      <w:tblPr>
        <w:tblW w:w="7514" w:type="dxa"/>
        <w:jc w:val="left"/>
        <w:tblInd w:w="0" w:type="dxa"/>
        <w:tblLayout w:type="fixed"/>
        <w:tblCellMar>
          <w:top w:w="28" w:type="dxa"/>
          <w:left w:w="28" w:type="dxa"/>
          <w:bottom w:w="28" w:type="dxa"/>
          <w:right w:w="28" w:type="dxa"/>
        </w:tblCellMar>
      </w:tblPr>
      <w:tblGrid>
        <w:gridCol w:w="816"/>
        <w:gridCol w:w="716"/>
        <w:gridCol w:w="718"/>
        <w:gridCol w:w="109"/>
        <w:gridCol w:w="109"/>
        <w:gridCol w:w="109"/>
        <w:gridCol w:w="211"/>
        <w:gridCol w:w="616"/>
        <w:gridCol w:w="109"/>
        <w:gridCol w:w="109"/>
        <w:gridCol w:w="109"/>
        <w:gridCol w:w="109"/>
        <w:gridCol w:w="230"/>
        <w:gridCol w:w="671"/>
        <w:gridCol w:w="118"/>
        <w:gridCol w:w="109"/>
        <w:gridCol w:w="109"/>
        <w:gridCol w:w="109"/>
        <w:gridCol w:w="211"/>
        <w:gridCol w:w="616"/>
        <w:gridCol w:w="109"/>
        <w:gridCol w:w="109"/>
        <w:gridCol w:w="109"/>
        <w:gridCol w:w="109"/>
        <w:gridCol w:w="229"/>
        <w:gridCol w:w="669"/>
        <w:gridCol w:w="167"/>
      </w:tblGrid>
      <w:tr>
        <w:trPr/>
        <w:tc>
          <w:tcPr>
            <w:tcW w:w="8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Frontier,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14 – Common Stock and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Third Amended and Restated Certificate of Incorporation, as amended, authorizes 100,000,000 shares of Class A common stock, par value $0.001 per share (“Class A Common Stock”), and 15,000,000 shares of Class B common stock, par value $0.001 per share (“Class B Common Stock” and, together with Class A Common Stock, “Common Stock”). Class A Common Stock and Class B Common Stock are identical in all respects, except that (i) each share of Class B Common Stock entitles its holder to ten votes and each share of Class A Common Stock entitles its holder to one vote on all matters submitted to a vote of the Company's stockholders, and (ii) Class B Common Stock automatically converts into Class A Common Stock, on a one-for-one basis, upon the earliest to occur of (a) a sale of all or substantially all of the Company's stock or assets, (b) the transfer of such shares other than to a permitted transferee, or (c) the date that is three years after the date the Company's Class A Common Stock first began trading on the Nasdaq Capital Market (May 17,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15, 2026 (the “Conversion Date”), the sunset provision described above was triggered, and all 370,822 shares of Class B Common Stock then issued and outstanding automatically converted into an equivalent number of shares of Class A Common Stock, on a one-for-one basis, without any further action by the holders, the Company, or its board of directors. No consideration was paid or received by the Company or the converting holders in connection with the conversion.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conversion: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had no shares of Class B Common Stock issued or outstanding immediately following the Conversion Date, although the class remains authorized under the Company's certificate of incorporation;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reclassified $0.4 thousand (370,822 shares × $0.001 par value) from Common Stock Class B to Common Stock Class A within the Common Stock line items of stockholders' equity on the accompanying condensed consolidated balance sheet;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 gain or loss was recognized, as the conversion represented a reclassification of previously outstanding shares of the same reporting entity and did not change the aggregate number of shares of Common Stock outstanding or total stockholders' equity;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Common Stock is no longer divided into classes with disparate voting rights; each outstanding share of Class A Common Stock is entitled to one vote per share on all matters submitted to a vote of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Class A Common Stock and Class B Common Stock shared equally in the Company's earnings and dividends prior to the conversion, the two classes were combined as a single class for purposes of computing basic and diluted earnings per share. Accordingly, the conversion did not affect previously reported weighted-average shares outstanding or earnings per share, and had no effect on the Company's cash flows or results of operations for the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supplemental statement of stockholders’ equity has been provided to present the activity related solely to the Company’s preferred stock by series for the period presented.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853"/>
        <w:gridCol w:w="749"/>
        <w:gridCol w:w="752"/>
        <w:gridCol w:w="203"/>
        <w:gridCol w:w="203"/>
        <w:gridCol w:w="196"/>
        <w:gridCol w:w="109"/>
        <w:gridCol w:w="109"/>
        <w:gridCol w:w="109"/>
        <w:gridCol w:w="214"/>
        <w:gridCol w:w="445"/>
        <w:gridCol w:w="119"/>
        <w:gridCol w:w="109"/>
        <w:gridCol w:w="109"/>
        <w:gridCol w:w="109"/>
        <w:gridCol w:w="203"/>
        <w:gridCol w:w="203"/>
        <w:gridCol w:w="196"/>
        <w:gridCol w:w="109"/>
        <w:gridCol w:w="109"/>
        <w:gridCol w:w="109"/>
        <w:gridCol w:w="214"/>
        <w:gridCol w:w="445"/>
        <w:gridCol w:w="119"/>
        <w:gridCol w:w="109"/>
        <w:gridCol w:w="109"/>
        <w:gridCol w:w="109"/>
        <w:gridCol w:w="203"/>
        <w:gridCol w:w="203"/>
        <w:gridCol w:w="196"/>
        <w:gridCol w:w="109"/>
        <w:gridCol w:w="109"/>
        <w:gridCol w:w="109"/>
        <w:gridCol w:w="214"/>
        <w:gridCol w:w="445"/>
        <w:gridCol w:w="119"/>
        <w:gridCol w:w="109"/>
        <w:gridCol w:w="109"/>
        <w:gridCol w:w="109"/>
        <w:gridCol w:w="199"/>
        <w:gridCol w:w="199"/>
        <w:gridCol w:w="196"/>
        <w:gridCol w:w="109"/>
        <w:gridCol w:w="109"/>
        <w:gridCol w:w="109"/>
        <w:gridCol w:w="213"/>
        <w:gridCol w:w="442"/>
        <w:gridCol w:w="173"/>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AAA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December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Conversions of preferred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March 31, 2026</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June 30, 2026</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1"/>
        <w:gridCol w:w="747"/>
        <w:gridCol w:w="750"/>
        <w:gridCol w:w="203"/>
        <w:gridCol w:w="203"/>
        <w:gridCol w:w="196"/>
        <w:gridCol w:w="109"/>
        <w:gridCol w:w="109"/>
        <w:gridCol w:w="109"/>
        <w:gridCol w:w="214"/>
        <w:gridCol w:w="444"/>
        <w:gridCol w:w="118"/>
        <w:gridCol w:w="109"/>
        <w:gridCol w:w="109"/>
        <w:gridCol w:w="109"/>
        <w:gridCol w:w="203"/>
        <w:gridCol w:w="203"/>
        <w:gridCol w:w="196"/>
        <w:gridCol w:w="109"/>
        <w:gridCol w:w="109"/>
        <w:gridCol w:w="109"/>
        <w:gridCol w:w="214"/>
        <w:gridCol w:w="444"/>
        <w:gridCol w:w="118"/>
        <w:gridCol w:w="109"/>
        <w:gridCol w:w="109"/>
        <w:gridCol w:w="109"/>
        <w:gridCol w:w="203"/>
        <w:gridCol w:w="203"/>
        <w:gridCol w:w="196"/>
        <w:gridCol w:w="109"/>
        <w:gridCol w:w="109"/>
        <w:gridCol w:w="109"/>
        <w:gridCol w:w="214"/>
        <w:gridCol w:w="444"/>
        <w:gridCol w:w="118"/>
        <w:gridCol w:w="109"/>
        <w:gridCol w:w="109"/>
        <w:gridCol w:w="109"/>
        <w:gridCol w:w="203"/>
        <w:gridCol w:w="203"/>
        <w:gridCol w:w="196"/>
        <w:gridCol w:w="109"/>
        <w:gridCol w:w="109"/>
        <w:gridCol w:w="109"/>
        <w:gridCol w:w="213"/>
        <w:gridCol w:w="442"/>
        <w:gridCol w:w="177"/>
      </w:tblGrid>
      <w:tr>
        <w:trPr/>
        <w:tc>
          <w:tcPr>
            <w:tcW w:w="85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AAA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December 31,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March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June 30, 2025</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Series A Convertible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Company entered in to an offering agreement to issue up to 750,000 shares of Series A Convertible Preferred Stock (“Series A Preferred”), par value $0.001 per share, and warrants to purchase its Class A Common Stock, for aggregate gross proceeds of up to $15.0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share of Series A Preferred has a stated value of $400 per share and bears non-cumulative dividends at a rate of 12.0% per annum, payable annually when and if declared. Dividends are payable, at the Company’s election, in cash or in shares of Class A common stock, subject to a minimum issuance price of $20.00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9, 2026, the Company amended the Certificate of Designation for the Series A Preferred to revise the conversion provisions and certain ranking rights. Under the amended terms, holders may convert the Series A Preferred, at their option and from time to time, in three sequential tranches, each representing up to one-third of the holder’s original Series A Preferred shares. The first tranche is convertible at a conversion price of $2.50 per share of Class A common stock, the second tranche is convertible at a conversion price of $3.50 per share, and the third tranche is convertible at a conversion price of $4.50 per share. The number of shares of Class A common stock issuable upon conversion is determined based on the stated value of the preferred shares divided by the applicable conversion price for the respective tranche. The amended terms also provide customary anti-dilution protections, beneficial ownership limitations and notice provisions. In addition, the Series A Preferred Stock ranks pari passu with the Company’s Series AA Preferred and Series AAA Preferred with respect to liquidation and dividend preferences.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both June 30, 2026 and December 31, 2025, the Company had 5,875 of its Series A Preferred stock issued and outstanding, representing additional paid-in capital of $2.4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Series AA Cumulative Redeemable Preferred Stock (Reg A+) - Liability Classified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qualified its preferred stock series AA financing, registered under regulation A+, with the SEC in March 2025. The Company is authorized to issue up to 800,000 shares of the Series AA Cumulative Redeemable Preferred Stock (“Series AA Preferred”) for gross proceeds of $20.0 million. The Series AA Preferred shares have a stated value of $25 per share and a cumulative monthly cash dividend equal to 9.5% per annum. If the Company does not make an interest payment within 30 days after an unpaid month, it goes into default. In the event of default, the cash dividend rate increases to 18.0% per annum until cured.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Holders of the Series AA Preferred may elect to convert all or any portion of their preferred stock to equivalent shares of Class A Common Stock, after the third anniversary of the issuance date. The Company can redeem the Series AA Preferred at any time at no cost. The stockholder can redeem at any time as well; however, if redeemed in year one, two, or three, the redemption would be subject to a 10%, 8%, or 6% redemption fee, respectively. Redemption of the Series AA Preferred at stated value is mandatory on the third anniversary of the issuance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AA Preferred is classified as a liability on the accompanying condensed consolidated balance sheets, rather than in shareholders’ equity, due to its contractual obligation to redeem the shares for cash.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359,215 and 221,434 shares, respectively, of its Series AA Preferred issued and outstanding, representing funds raised of $8.4 million and $5.1 million, respectively, net of issuance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Series AAA Convertible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2026, the Company entered into an offering agreement to issue up to 40,000 shares of Series AAA Convertible Preferred Stock (“Series AAA Preferred”), par value $0.001 per share, for aggregate gross proceeds of up to $40.0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share of Series AAA Preferred has a stated value of $1,000 per share and bears non-cumulative dividends at a rate of 12% per annum, payable quarterly when, and if, declared by the Company. Dividends are payable, at the Company’s election, in cash or in shares of Class A common stock, subject to a minimum issuance price of $1.00 per share. The Series AAA Preferred does not contain a mandatory redemption feature and is therefore classified within stockholders’ equity on the Company’s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Series AAA Preferred are convertible, at the option of the holder, from time to time, into shares of the Company’s Class A common stock in three consecutive tranches, with each tranche permitting the holder to convert up to one-third of the total preferred shares held at issuance. The first tranche is convertible at a conversion price of $2.50 per share of Class A common stock, the second tranche is convertible at a conversion price of $3.50 per share, and the third tranche is convertible at a conversion price of $4.50 per share. The number of shares of Class A common stock issuable upon conversion is determined based on the stated value of the preferred shares divided by the applicable conversion price for the respective tranche.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Series AAA Preferred generally does not carry voting rights, except as required by applicable law. In the event of liquidation, dissolution, or winding up of the Company, the Series AAA Preferred ranks senior to the Company’s common stock and Series B Preferred, and pari passu with the Company’s Series A Preferred and Series AA Preferred.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1,529 shares of Series AAA Preferred issued and outstanding, representing additional paid-in capital of $1.5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Series B</w:t>
      </w:r>
      <w:r>
        <w:rPr>
          <w:color w:val="000000"/>
        </w:rPr>
        <w:t xml:space="preserve"> </w:t>
      </w:r>
      <w:r>
        <w:rPr>
          <w:rFonts w:ascii="Times New Roman;serif" w:hAnsi="Times New Roman;serif"/>
          <w:b/>
          <w:i/>
          <w:color w:val="000000"/>
          <w:sz w:val="20"/>
        </w:rPr>
        <w:t>Preferred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Company filed a Certificate of Designation with the Secretary of State of Delaware designating Series B Preferred Stock (“Series B Preferred”), par value $0.001 per share. Each share has a stated value of $1,000 and is convertible at the option of the holder into shares of Class A common stock at a conversion price of $250 per share, subject to adjustment as defined in the Certificate of Designation.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B Preferred do not have voting rights, except as required by law. In the event of liquidation, dissolution, or winding up of the Company, holders are entitled to receive distributions in preference to holders of common stock, but junior to Series A, Series AA, and Series AAA Preferred Stock. The Series B ranks pari passu with any preferred stock of substantially similar rights and preferences.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March 2026, an institutional investor converted 15,868 shares of Series B Preferred into 63,472 shares of the Company’s Class A common stock. No shares of Series B Preferred were outstanding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issues warrants for the purchase of its Class A Common Stock, either as stand-alone transactions or combined with other debt and/or equity instruments. The warrants may be exercised up to the fifth anniversary of their origination date and transferred independently at any time. Using the Black-Scholes model, the Company estimates the relative fair value of warrants on the date of issuance. The relative fair value of warrants is included in paid-in capital on the accompanying condensed consolidated balance sheets. At June 30, 2026 and December 31, 2025, the Company had 129,040 warrants outstanding with a weighted-average exercise price of $16.49 per share and weighted-average remaining contractual terms of 3.6 and 4.3 years,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15 – 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through one operating segment, its asset management platform which it refers to simply as “Platform”. The Company’s chief operating decision maker (“CODM”) is the Company’s Chief Executive Officer, John C. Loeffler. The Company’s CODM assesses performance and allocates resources based on the results of Platform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assesses revenue, operating costs and key operating statistics to evaluate performance and allocate resources on a basis that eliminates the impact of the consolidated funds (intercompany eliminations required by U.S. GAAP) and noncontrolling interests. Operating costs consist primarily of payroll related costs that are provided quarterly to the CODM. Platform payroll and payroll related costs were $3.2 million and $5.9 million for the three and six months ended June 30, 2026, respectively, and $3.1 million and $6.8 million for the three and six months ended June 30, 2025, respectively. Management concluded that the consolidated funds do not meet the requirements in ASC 280, Segment Reporting, of operating segments, as the Company’s CODM does not review, nor is he provided with the operating results of these consolidated funds for the purposes of allocating resources, assessing performance or determining whether additional investments or advances will be made to these funds. The consolidated funds are consolidated based on the requirement in ASC 810, Consolidation, as the Company was determined to be the primary beneficiary of each of these variable interest entities since the Company has the power to direct the activities of the entities and the right to absorb losses, generally in the form of guarantees of indebtedness that are significant to the individual investment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total Platform revenues were $3.7 million and $4.1 million, respectively, representing a period-over-period decrease of 11.3%. For the six months ended June 30, 2026 and 2025, total Platform revenues were $7.8 million and $7.7 million, respectively, representing a period-over-period increase of 1.1%. The tables below compare the revenues earned for providing services under the Company’s Platform as described in the Revenue Recognition section of Note 2 – Summary of Significant Accounting Policies for the three and six months ended June 30, 2026, to the revenues earned for the same period in 2025 (in thousands).</w:t>
      </w:r>
    </w:p>
    <w:tbl>
      <w:tblPr>
        <w:tblW w:w="8461" w:type="dxa"/>
        <w:jc w:val="left"/>
        <w:tblInd w:w="0" w:type="dxa"/>
        <w:tblLayout w:type="fixed"/>
        <w:tblCellMar>
          <w:top w:w="28" w:type="dxa"/>
          <w:left w:w="28" w:type="dxa"/>
          <w:bottom w:w="28" w:type="dxa"/>
          <w:right w:w="28" w:type="dxa"/>
        </w:tblCellMar>
      </w:tblPr>
      <w:tblGrid>
        <w:gridCol w:w="1080"/>
        <w:gridCol w:w="947"/>
        <w:gridCol w:w="958"/>
        <w:gridCol w:w="211"/>
        <w:gridCol w:w="616"/>
        <w:gridCol w:w="109"/>
        <w:gridCol w:w="109"/>
        <w:gridCol w:w="109"/>
        <w:gridCol w:w="109"/>
        <w:gridCol w:w="691"/>
        <w:gridCol w:w="1576"/>
        <w:gridCol w:w="358"/>
        <w:gridCol w:w="109"/>
        <w:gridCol w:w="109"/>
        <w:gridCol w:w="109"/>
        <w:gridCol w:w="271"/>
        <w:gridCol w:w="791"/>
        <w:gridCol w:w="19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61" w:type="dxa"/>
        <w:jc w:val="left"/>
        <w:tblInd w:w="0" w:type="dxa"/>
        <w:tblLayout w:type="fixed"/>
        <w:tblCellMar>
          <w:top w:w="28" w:type="dxa"/>
          <w:left w:w="28" w:type="dxa"/>
          <w:bottom w:w="28" w:type="dxa"/>
          <w:right w:w="28" w:type="dxa"/>
        </w:tblCellMar>
      </w:tblPr>
      <w:tblGrid>
        <w:gridCol w:w="1080"/>
        <w:gridCol w:w="947"/>
        <w:gridCol w:w="958"/>
        <w:gridCol w:w="211"/>
        <w:gridCol w:w="616"/>
        <w:gridCol w:w="109"/>
        <w:gridCol w:w="109"/>
        <w:gridCol w:w="109"/>
        <w:gridCol w:w="109"/>
        <w:gridCol w:w="691"/>
        <w:gridCol w:w="1576"/>
        <w:gridCol w:w="358"/>
        <w:gridCol w:w="109"/>
        <w:gridCol w:w="109"/>
        <w:gridCol w:w="109"/>
        <w:gridCol w:w="271"/>
        <w:gridCol w:w="791"/>
        <w:gridCol w:w="19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8461" w:type="dxa"/>
        <w:jc w:val="left"/>
        <w:tblInd w:w="0" w:type="dxa"/>
        <w:tblLayout w:type="fixed"/>
        <w:tblCellMar>
          <w:top w:w="28" w:type="dxa"/>
          <w:left w:w="28" w:type="dxa"/>
          <w:bottom w:w="28" w:type="dxa"/>
          <w:right w:w="28" w:type="dxa"/>
        </w:tblCellMar>
      </w:tblPr>
      <w:tblGrid>
        <w:gridCol w:w="1080"/>
        <w:gridCol w:w="947"/>
        <w:gridCol w:w="958"/>
        <w:gridCol w:w="211"/>
        <w:gridCol w:w="616"/>
        <w:gridCol w:w="109"/>
        <w:gridCol w:w="109"/>
        <w:gridCol w:w="109"/>
        <w:gridCol w:w="109"/>
        <w:gridCol w:w="691"/>
        <w:gridCol w:w="1576"/>
        <w:gridCol w:w="358"/>
        <w:gridCol w:w="109"/>
        <w:gridCol w:w="109"/>
        <w:gridCol w:w="109"/>
        <w:gridCol w:w="271"/>
        <w:gridCol w:w="791"/>
        <w:gridCol w:w="19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61" w:type="dxa"/>
        <w:jc w:val="left"/>
        <w:tblInd w:w="0" w:type="dxa"/>
        <w:tblLayout w:type="fixed"/>
        <w:tblCellMar>
          <w:top w:w="28" w:type="dxa"/>
          <w:left w:w="28" w:type="dxa"/>
          <w:bottom w:w="28" w:type="dxa"/>
          <w:right w:w="28" w:type="dxa"/>
        </w:tblCellMar>
      </w:tblPr>
      <w:tblGrid>
        <w:gridCol w:w="1080"/>
        <w:gridCol w:w="947"/>
        <w:gridCol w:w="958"/>
        <w:gridCol w:w="211"/>
        <w:gridCol w:w="616"/>
        <w:gridCol w:w="109"/>
        <w:gridCol w:w="109"/>
        <w:gridCol w:w="109"/>
        <w:gridCol w:w="109"/>
        <w:gridCol w:w="691"/>
        <w:gridCol w:w="1576"/>
        <w:gridCol w:w="358"/>
        <w:gridCol w:w="109"/>
        <w:gridCol w:w="109"/>
        <w:gridCol w:w="109"/>
        <w:gridCol w:w="271"/>
        <w:gridCol w:w="791"/>
        <w:gridCol w:w="199"/>
      </w:tblGrid>
      <w:tr>
        <w:trPr/>
        <w:tc>
          <w:tcPr>
            <w:tcW w:w="10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Platform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revenues, expenses and net loss to the most comparable U.S. GAAP measure for the three and six months ended June 30,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1601"/>
        <w:gridCol w:w="1388"/>
        <w:gridCol w:w="1402"/>
        <w:gridCol w:w="313"/>
        <w:gridCol w:w="936"/>
        <w:gridCol w:w="162"/>
        <w:gridCol w:w="109"/>
        <w:gridCol w:w="109"/>
        <w:gridCol w:w="109"/>
        <w:gridCol w:w="654"/>
        <w:gridCol w:w="1492"/>
        <w:gridCol w:w="339"/>
        <w:gridCol w:w="109"/>
        <w:gridCol w:w="109"/>
        <w:gridCol w:w="109"/>
        <w:gridCol w:w="267"/>
        <w:gridCol w:w="798"/>
        <w:gridCol w:w="199"/>
      </w:tblGrid>
      <w:tr>
        <w:trPr/>
        <w:tc>
          <w:tcPr>
            <w:tcW w:w="160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33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9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CaliberCos Inc.</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1601"/>
        <w:gridCol w:w="1388"/>
        <w:gridCol w:w="1402"/>
        <w:gridCol w:w="313"/>
        <w:gridCol w:w="936"/>
        <w:gridCol w:w="162"/>
        <w:gridCol w:w="109"/>
        <w:gridCol w:w="109"/>
        <w:gridCol w:w="109"/>
        <w:gridCol w:w="654"/>
        <w:gridCol w:w="1492"/>
        <w:gridCol w:w="339"/>
        <w:gridCol w:w="109"/>
        <w:gridCol w:w="109"/>
        <w:gridCol w:w="109"/>
        <w:gridCol w:w="267"/>
        <w:gridCol w:w="798"/>
        <w:gridCol w:w="199"/>
      </w:tblGrid>
      <w:tr>
        <w:trPr/>
        <w:tc>
          <w:tcPr>
            <w:tcW w:w="160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33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9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w:t>
            </w:r>
          </w:p>
        </w:tc>
        <w:tc>
          <w:tcPr>
            <w:tcW w:w="33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CaliberCos Inc.</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9911" w:type="dxa"/>
        <w:jc w:val="left"/>
        <w:tblInd w:w="0" w:type="dxa"/>
        <w:tblLayout w:type="fixed"/>
        <w:tblCellMar>
          <w:top w:w="28" w:type="dxa"/>
          <w:left w:w="28" w:type="dxa"/>
          <w:bottom w:w="28" w:type="dxa"/>
          <w:right w:w="28" w:type="dxa"/>
        </w:tblCellMar>
      </w:tblPr>
      <w:tblGrid>
        <w:gridCol w:w="1431"/>
        <w:gridCol w:w="1257"/>
        <w:gridCol w:w="1272"/>
        <w:gridCol w:w="313"/>
        <w:gridCol w:w="936"/>
        <w:gridCol w:w="162"/>
        <w:gridCol w:w="109"/>
        <w:gridCol w:w="109"/>
        <w:gridCol w:w="109"/>
        <w:gridCol w:w="691"/>
        <w:gridCol w:w="1576"/>
        <w:gridCol w:w="358"/>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31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9911" w:type="dxa"/>
        <w:jc w:val="left"/>
        <w:tblInd w:w="0" w:type="dxa"/>
        <w:tblLayout w:type="fixed"/>
        <w:tblCellMar>
          <w:top w:w="28" w:type="dxa"/>
          <w:left w:w="28" w:type="dxa"/>
          <w:bottom w:w="28" w:type="dxa"/>
          <w:right w:w="28" w:type="dxa"/>
        </w:tblCellMar>
      </w:tblPr>
      <w:tblGrid>
        <w:gridCol w:w="1431"/>
        <w:gridCol w:w="1257"/>
        <w:gridCol w:w="1272"/>
        <w:gridCol w:w="313"/>
        <w:gridCol w:w="936"/>
        <w:gridCol w:w="162"/>
        <w:gridCol w:w="109"/>
        <w:gridCol w:w="109"/>
        <w:gridCol w:w="109"/>
        <w:gridCol w:w="691"/>
        <w:gridCol w:w="1576"/>
        <w:gridCol w:w="358"/>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payroll related costs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24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31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assets to the most comparable U.S. GAAP measure as of June 30, 2026 and December 31, 2025 (in thousands):</w:t>
      </w:r>
    </w:p>
    <w:tbl>
      <w:tblPr>
        <w:tblW w:w="8834" w:type="dxa"/>
        <w:jc w:val="left"/>
        <w:tblInd w:w="0" w:type="dxa"/>
        <w:tblLayout w:type="fixed"/>
        <w:tblCellMar>
          <w:top w:w="28" w:type="dxa"/>
          <w:left w:w="28" w:type="dxa"/>
          <w:bottom w:w="28" w:type="dxa"/>
          <w:right w:w="28" w:type="dxa"/>
        </w:tblCellMar>
      </w:tblPr>
      <w:tblGrid>
        <w:gridCol w:w="1172"/>
        <w:gridCol w:w="1033"/>
        <w:gridCol w:w="1049"/>
        <w:gridCol w:w="211"/>
        <w:gridCol w:w="721"/>
        <w:gridCol w:w="109"/>
        <w:gridCol w:w="109"/>
        <w:gridCol w:w="109"/>
        <w:gridCol w:w="109"/>
        <w:gridCol w:w="580"/>
        <w:gridCol w:w="1740"/>
        <w:gridCol w:w="304"/>
        <w:gridCol w:w="109"/>
        <w:gridCol w:w="109"/>
        <w:gridCol w:w="109"/>
        <w:gridCol w:w="245"/>
        <w:gridCol w:w="837"/>
        <w:gridCol w:w="179"/>
      </w:tblGrid>
      <w:tr>
        <w:trPr/>
        <w:tc>
          <w:tcPr>
            <w:tcW w:w="117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CALIBERCOS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8834" w:type="dxa"/>
        <w:jc w:val="left"/>
        <w:tblInd w:w="0" w:type="dxa"/>
        <w:tblLayout w:type="fixed"/>
        <w:tblCellMar>
          <w:top w:w="28" w:type="dxa"/>
          <w:left w:w="28" w:type="dxa"/>
          <w:bottom w:w="28" w:type="dxa"/>
          <w:right w:w="28" w:type="dxa"/>
        </w:tblCellMar>
      </w:tblPr>
      <w:tblGrid>
        <w:gridCol w:w="1172"/>
        <w:gridCol w:w="1033"/>
        <w:gridCol w:w="1049"/>
        <w:gridCol w:w="211"/>
        <w:gridCol w:w="721"/>
        <w:gridCol w:w="109"/>
        <w:gridCol w:w="109"/>
        <w:gridCol w:w="109"/>
        <w:gridCol w:w="109"/>
        <w:gridCol w:w="580"/>
        <w:gridCol w:w="1740"/>
        <w:gridCol w:w="304"/>
        <w:gridCol w:w="109"/>
        <w:gridCol w:w="109"/>
        <w:gridCol w:w="109"/>
        <w:gridCol w:w="245"/>
        <w:gridCol w:w="837"/>
        <w:gridCol w:w="179"/>
      </w:tblGrid>
      <w:tr>
        <w:trPr/>
        <w:tc>
          <w:tcPr>
            <w:tcW w:w="117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Subsequent Events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evaluated events and transactions that occurred after June 30, 2026, the date of the condensed consolidated balance sheet, through August 13, 2026, the date these condensed consolidated financial statements were issued, for potential recognition or disclosure in these financial statements. There were no material events except for those matters discussed above in Note 1 – Organization and Liquidity, and Note 6 – Notes Payable.</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2. Management's Discussion and Analysis of Financial Condition and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(unaudited)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in our Annual Report on Form 10-K filed with the SEC on March 26, 2026. Capitalized terms used herein, but not otherwise defined, shall have the meaning ascribed to those terms in the “Part I - Financial Information,” including the related notes to the condensed consolidated financial statements contained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Over the past 16 years, we have grown into a leading diversified alternative asset management firm, with more than $2.6 billion in Managed Assets, comprised of $0.7 billion of assets under management (“AUM”) and $1.8 billion of assets under development (“AUD”). Our primary goal is to drive shareholder value by enhancing the wealth of accredited investor clients seeking to make investments in real and digital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evaluates our business based on (i) recurring fee-related earnings, (ii) growth in embedded performance allocations within our managed funds, and (iii) the strategic accumulation and yield generation from digital asset holdings. Because performance allocations are recognized under U.S. GAAP only when they are no longer probable of significant reversal (generally upon realization events), U.S. GAAP results may not reflect the economic progress of carried interest value creation within our managed portfolio at a given reporting date.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Digital Asset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August 2025, our Board of Directors approved our Treasury Reserve Policy designed to support our balance sheet strategy, liquidity profile, and long-term growth initiatives. Under this policy, we allocate a portion of our corporate treasury to digital assets that we believe demonstrate institutional utility and adoption potential, beginning with LINK.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LINK is the decentralized oracle network intended to enable smart contracts and traditional systems to securely interact with real-world data. We selected LINK as our initial digital asset holding based on management’s assessment of its core role in blockchain infrastructure supporting the growth of tokenization, decentralized finance, and real-world asset integration. Management believes that LINK’s enterprise adoption, technology maturity, and network resilience make LINK an attractive long-term holding relative to other digital assets at similar stages of adoption.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Since adoption of the policy, we have raised capital through equity issuances and deployed a portion of those proceeds to accumulate LINK tokens as a long-term treasury asset. These holdings are reflected on our accompanying condensed consolidated balance sheets at fair value as of June 30, 2026 and December 31, 2025. Changes in the fair value of our LINK tokens are reflected within our accompanying condensed consolidated statements of operations for the three and six months ended June 30, 2026 and 2025. We expect continued volatility in the fair value of our digital asset holdings, which may materially affect reported results in future periods.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announced our intention to stake a portion of our LINK holdings once operational readiness and governance requirements are completed. Staking generally involves committing tokens to participate in network security and may generate a yield in the form of additional LINK tokens. Staking is a critical part of the LINK ecosystem and provides an opportunity for us to generate passive yield on our holdings while contributing to the stability and reliability of the broader network. Management estimates it may earn a yield of 3% to 9% annualized, based upon internal estimates of the potential to stake our LINK treasury. Any staking yield is subject to protocol rules, market conditions, operational factors and regulatory consideration. Actual results may differ materially from expectations.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parallel, we are evaluating the potential to operate or participate in LINK validator-related activities, which could include third party arrangements or internal capabilities. Validator-related activities play a central role in maintaining network consensus and facilitating data integrity. Revenues generated from staking or related activities, if any, would be evaluated by management in the context of liquidity, balance sheet strategy and capital allocation within our digital asset treasury and asset management platform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consider additional products or investment offerings over time that provide exposure to digital assets or blockchain infrastructure, subject to market conditions, regulatory considerations, and investor demand. These future offerings could expand our AUM and generate recurring management and performance fees, consistent with our existing real estate fund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we are continuing our evaluation of potential applications of blockchain technology within our real estate investment platform, which could include processes intended to improve operational efficiency, investor servicing and investor accessibility. Specifically, we intend to tokenize real-world assets, including real estate projects and fund interests, to enable fractional ownership, enhance liquidity, and streamline investor reporting and fund administration. Tokenized offerings could also serve as a new fundraising channel for us, allowing us to reach a broader base of global investors through compliant, blockchain-enabled investment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we advanced our strategy to integrate blockchain-enabled infrastructure into our real estate investment platform. On July 2, 2026, we announced the next phase of our real estate fund tokenization initiative, which contemplates utilizing Chainlink's compliance and distribution infrastructure to support the administration and distribution of tokenized real estate investment products. The initiative is intended to facilitate investor verification, compliance, reporting, and distribution workflows while supporting our broader objective of modernizing how private real estate investments are financed, administered, and accessed. We are currently evaluating tokenization for a selected group of real estate offerings. Tokenization technology is generally designed to broaden investor access, support verification, transaction transparency, and reporting workflows and streamline administrative and compliance processes through a shared digital ledger.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of Directors and management team view the LINK strategy and broader blockchain initiatives as a natural evolution of our mission: to enhance the wealth of our accredited investor clients by making alternative investments more accessible, transparent, and profitable for investors. Through the integration of digital assets, blockchain infrastructure, and tokenization technology, we seek to position ourselves at the forefront of the convergence between traditional finance and decentralized finance.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Private Equity Real Estate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a Private Equity Real Estate (“PERE”) platform that creates, manages, and services middle-market investment funds, private syndications, and direct investments focused on real estate investment strategies. To build our funds, we market directly to high net worth and ultra-high net worth investors with our in-house fundraising team and to registered investment advisors and broker-dealers with our in-house wholesaling team.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 number of development, redevelopment, construction, and entitlement projects that are underway or are in the planning stages, which we define as AUD. This category includes projects to be built on undeveloped land and projects to be built and constructed on undeveloped lands, some of which are on land owned by our funds or are under contract to purchase. Completing these development activities may ultimately result in income-producing assets, assets we may sell to third parties, or both.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are actively developing 1,776 multifamily units, 497 single family units, 3.7 million square feet of commercial and industrial, and 3.6 million square feet of office and retail. If all of these projects are brought to completion, the total cost capitalized to these projects, which represents total current estimated costs to complete the development and construction of such projects by us or a third party, is $1.8 billion, which we expect would be funded through a combination of undeployed fund cash, third-party equity, project sales, tax credit financing and similar incentives, and secured debt financing.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strive to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an alternative asset manager, we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earn the following fees from providing these services under the Platform:</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Asset Management Revenues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us to provide management services, representing a performance obligation that we satisfy over time. With respect to the CHT, we earn a fund management fee of 0.7% of CHT’s enterprise value and are reimbursed for certain costs incurred on behalf of CHT.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Organizational &amp; Offering fees include fund set-up fees and are a one-time fee earned during the initial formation, administration, and set-up of fund products we distribute and manage. These fees are recognized at the point in time when the performance under the contract is complete.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Financing fees are earned for services we perform in securing third-party financing on behalf of our private equity real estate funds. These fees are recognized at the point in time when the performance under the contract is complete, which is essentially upon closing of a loan. In addition, we earn fees for guaranteeing certain loans, representing a performance obligation that we satisfy over time.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Real estate development revenues are generally based on two fee-based contracts, not to exceed 6.0%. The first, a real estate development contract that provides for up to 4.0% of the total expected costs of the development and is paid for services performed by Caliber Development, LLC as the principal developer of our projects. These services may include obtaining new entitlements or zoning changes and managing and supervising third-party developers. The second, a construction management contract that provides for up to 4.0% of the total expected costs of the construction project for services provided managing general contractors with respect to the construction of the properties owned by the funds.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construction management fee revenue is recognized over time as the performance obligations are satisfied.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Estimated Performance Allocations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foundational to our long-term economic model.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based on internal asset-level business plans and projected exit assumptions, we estimate aggregate unrealized performance allocations of approximately $95.7 million. This estimate represents our contractual share of projected profits after satisfaction of preferred returns and return of capital.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estimate is derived from:</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Asset-level discounted cash flow analyses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Underwriting models used for capital allocation decisions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Valuation methodologies consistent with fair value measurement frameworks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Independent third-party valuation work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Assets that are impaired, or where current projections do not support achieving returns above the preferred return threshold, are assigned zero carried interest value and are excluded from the $95.7 million estimate unless and until business plan revisions support a reasonable expectation of future performance allocation realization. Consistent with U.S. GAAP, the $95.7 million of estimated unrealized performance allocations is not reflected in our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believes disclosure of unrealized performance allocations provides important insight into embedded economic value and long-term earnings potential.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Sensitivity of Estimated Performance Allocations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performance allocation estimate is sensitive to changes in projected exit values of underlying assets. A 5% increase or decrease in projected exit values across the managed portfolio would result in an approximate $4.8 million increase or decrease in estimated performance allocations. Actual realized performance allocations may differ materially from current estimates based on changes in market conditions, operating performance, financing availability, or timing of realization events.</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Chief Executive Officer, John C. Loeffler. The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pPr>
      <w:r>
        <w:rPr>
          <w:rFonts w:ascii="Times New Roman;serif" w:hAnsi="Times New Roman;serif"/>
          <w:b w:val="false"/>
          <w:color w:val="000000"/>
          <w:sz w:val="20"/>
        </w:rPr>
        <w:t xml:space="preserve">operating segments, as our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w:t>
      </w:r>
      <w:r>
        <w:rPr>
          <w:rFonts w:ascii="Times New Roman;serif" w:hAnsi="Times New Roman;serif"/>
          <w:b w:val="false"/>
          <w:i/>
          <w:color w:val="000000"/>
          <w:sz w:val="20"/>
        </w:rPr>
        <w:t>Consolidation</w:t>
      </w:r>
      <w:r>
        <w:rPr>
          <w:rFonts w:ascii="Times New Roman;serif" w:hAnsi="Times New Roman;serif"/>
          <w:b w:val="false"/>
          <w:color w:val="000000"/>
          <w:sz w:val="20"/>
        </w:rPr>
        <w:t xml:space="preserve">, as we were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were originally founded as Caliber Companies, LLC, an Arizona limited liability company, organized under the laws of Arizona, and commenced operations in January 2009. In November 2014, we reorganized as a Nevada corporation and in June 2018, we reincorporated in the state of Delaware. On our website we make available, free of charge, information about us and our investments. None of the information on our website is deemed to be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Trends Affecting Our Business</w:t>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Our business is driven by trends which affect the following:</w:t>
      </w:r>
    </w:p>
    <w:p>
      <w:pPr>
        <w:pStyle w:val="TextBody"/>
        <w:bidi w:val="0"/>
        <w:spacing w:lineRule="auto" w:line="288" w:before="200" w:after="283"/>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rPr>
        <w:t>Capital formation:</w:t>
      </w:r>
      <w:r>
        <w:rPr>
          <w:color w:val="000000"/>
        </w:rPr>
        <w:t> </w:t>
      </w:r>
      <w:r>
        <w:rPr>
          <w:rFonts w:ascii="Times New Roman;serif" w:hAnsi="Times New Roman;serif"/>
          <w:b w:val="false"/>
          <w:color w:val="000000"/>
          <w:sz w:val="20"/>
        </w:rPr>
        <w:t>any trend which increases or decreases investors’ knowledge of alternative investments, desire to acquire them, access to acquire them, and knowledge and appreciation of us as a potential provider, will affect our ability to attract and raise new capital. Capital formation also drives investment acquisitions, which contributes to our revenues.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Investment acquisition:</w:t>
      </w:r>
      <w:r>
        <w:rPr>
          <w:color w:val="000000"/>
        </w:rPr>
        <w:t> </w:t>
      </w:r>
      <w:r>
        <w:rPr>
          <w:rFonts w:ascii="Times New Roman;serif" w:hAnsi="Times New Roman;serif"/>
          <w:b w:val="false"/>
          <w:color w:val="000000"/>
          <w:sz w:val="20"/>
        </w:rPr>
        <w:t>any trend which increases or decreases the supply of middle-market real estate projects or loans, the accessibility of developments or development incentives, or enhances or detracts from our ability to access those projects will affect our ability to generate revenue. Coincidentally, investment acquisitions, or the rights to acquire an investment, drive capital formation, which acts as a growth engine for the Platform.</w:t>
      </w:r>
    </w:p>
    <w:p>
      <w:pPr>
        <w:pStyle w:val="TextBody"/>
        <w:bidi w:val="0"/>
        <w:spacing w:lineRule="auto" w:line="288" w:before="200" w:after="283"/>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Project execution:</w:t>
      </w:r>
      <w:r>
        <w:rPr>
          <w:color w:val="000000"/>
        </w:rPr>
        <w:t> </w:t>
      </w:r>
      <w:r>
        <w:rPr>
          <w:rFonts w:ascii="Times New Roman;serif" w:hAnsi="Times New Roman;serif"/>
          <w:b w:val="false"/>
          <w:color w:val="000000"/>
          <w:sz w:val="20"/>
        </w:rPr>
        <w:t>any trend which increases or decreases the costs of execution on a real estate project, including materials pricing, labor pricing, access to materials, delays due to governmental action, and the general labor market, will affect our ability to generate revenues.</w:t>
      </w:r>
    </w:p>
    <w:p>
      <w:pPr>
        <w:pStyle w:val="TextBody"/>
        <w:bidi w:val="0"/>
        <w:spacing w:lineRule="auto" w:line="288" w:before="200" w:after="283"/>
        <w:jc w:val="both"/>
        <w:rPr/>
      </w:pPr>
      <w:r>
        <w:rPr>
          <w:rFonts w:ascii="Times New Roman;serif" w:hAnsi="Times New Roman;serif"/>
          <w:b w:val="false"/>
          <w:color w:val="000000"/>
          <w:sz w:val="20"/>
        </w:rPr>
        <w:t>Our business depends in large part on our ability to raise capital for our funds from investors. Since our inception, we have continued to successfully raise capital into our funds with our total capital raised through June 30, 2026 of</w:t>
      </w:r>
      <w:r>
        <w:rPr>
          <w:color w:val="000000"/>
          <w:shd w:fill="FFFFFF" w:val="clear"/>
        </w:rPr>
        <w:t xml:space="preserve"> </w:t>
      </w:r>
      <w:r>
        <w:rPr>
          <w:rFonts w:ascii="Times New Roman;serif" w:hAnsi="Times New Roman;serif"/>
          <w:b w:val="false"/>
          <w:color w:val="000000"/>
          <w:sz w:val="20"/>
        </w:rPr>
        <w:t>$786.2 million. Our success at raising new capital into our funds is impacted by the extent to which new investors see alternative assets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we manage throughout the deal cycle will continue to offer an attractive value proposition to investors.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we have had historical successes, there can be no assurance that fundraising for our new and existing funds will experience similar success. If we were unable to raise such capital, we would be unable to deploy such capital into investments, which would materially reduce our revenues and cash flow and adversely affect our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advancement of real estate investment-oriented technology, sometimes referred to as “proptech” offers us the benefit of new and innovative technologies to better execute on capital formation strategies, investment acquisition strategies, and investment management strategies. In recent years, we have added to our technology stack with systems that we believe lead the market in their specific ability to enhance execution on our projects. Several of these technologies seek to incorporate investments in artificial intelligence, which we believe will be a prevailing trend in helping us to enhance our project execution going forward.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Regional conflicts and instability, such as those in Israel, Ukraine and Iran, can have significant impacts on global markets and economies and investor perception and tolerance for risk. These conflicts could lead to increased volatility in financial markets, disrupt supply chains, and change investor appetite for investments in alternative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Business Environment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Global markets are experiencing significant volatility driven by concerns over inflation, elevated interest rates, global tariffs, slowing economic growth and geopolitical uncertainty. The annual inflation rate in the United States increased to 9.1% in June 2022, the highest rate since November 1981, but decreased to 3.5% in June 2026. As a result, from January 1, 2022 through September 18, 2024, the Federal Reserve increased the federal funds rate by 525 basis points. Subsequently, the Federal Reserve decreased the federal funds rate by 170 basis points through June 2026, resulting in a target rate range of 3.50% to 3.75% at June 30, 2026.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our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our early years of operations. In both a buyer’s market and a stressed or distressed market, we expect our business model to outperform, as our direct access to investor capital and our ability to invest in a variety of asset classes allows us to move with the market and take advantage of potentially attractive prices. For project execution, inflation has increased the cost of nearly all building materials and labor types, increasing the cost of construction and renovation of our funds’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resulting in significant and lasting changes to the Qualified Opportunity Zone (“QOZ”) program. Most notably, the OBBBA eliminates the program’s original sunset date of December 31, 2026, and extends the QOZ program indefinitely. This legislative change could potentially impact our real estate investment strategy, particularly for our funds with existing or future exposure to QOZ-designated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actively evaluating the potential long-term implications of the OBBBA, including increased investor demand for QOZ-aligned strategies and shifts in capital deployment across target markets. However, the full scope and operational impact of these changes remain subject to further guidance. Accordingly, there can be no assurance that the legislative changes will lead to improved fund performance or investor outcomes. We will continue to monitor developments and adjust our strategies as appropriate to align with the evolving QOZ landscape.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Nasdaq Market Value of Listed Securities Requirement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22, 2026, the SEC approved a new Nasdaq continued listing standard (File No. SR-NASDAQ-2026-004, as amended) under Listing Rules 5450(a)(3) and 5550(a)(6) requiring a Market Value of Listed Securities ("MVLS") of at least $5.0 million (closing bid price times shares outstanding). The MVLS Rule has no automatic cure period. A company whose MVLS remains below $5.0 million for 30 consecutive business days triggers an immediate Staff Delisting Determination and delisting proceedings, subject to a hearing before a Nasdaq Hearings Panel, which may grant up to 180 days only to meet Nasdaq's higher initial listing standards, not merely to cure the deficiency.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29, 2026, the SEC stayed the rule's effectiveness under Rule of Practice 431(e), as a result the MVLS Rule is not currently in effect.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29, 2026, our market capitalization was $4.5 million ($0.51 times 8,840,224 Class A shares), below the $5.0 million threshold. Because the rule is stayed, we have not received a deficiency notice and are not subject to any compliance period or delisting proceeding. If the stay is lifted, we would be at near-term risk of falling below the threshold and, absent a sustained increase in market value, could face a Staff Delisting Determination within 30 business days.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monitor our MVLS, together with our other Nasdaq listing requirements and our potential capital raising and other measures to increase the market value of our listed securities. There is no assurance we will maintain compliance or avoid suspension or delisting.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Key Financial Measures and Indicators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condensed consolidated financial statements included herein.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Total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the majority of our revenue in the form of asset management fee revenues and performance allocations. Included within our consolidated results, are the related revenues of certain consolidated VIEs.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Total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Total expenses include operating costs, general and administrative, marketing and advertising and depreciation and amortization. Included within our consolidated results, are the related expenses of consolidated VIEs.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(Loss)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(loss) income includes interest expense, interest income, and change in fair value of digital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Consolidated Results of Operations for the Three Months Ended June 30, 2026 and 2025</w:t>
      </w:r>
    </w:p>
    <w:p>
      <w:pPr>
        <w:pStyle w:val="TextBody"/>
        <w:bidi w:val="0"/>
        <w:spacing w:lineRule="auto" w:line="288" w:before="200" w:after="283"/>
        <w:jc w:val="both"/>
        <w:rPr/>
      </w:pPr>
      <w:r>
        <w:rPr>
          <w:rFonts w:ascii="Times New Roman;serif" w:hAnsi="Times New Roman;serif"/>
          <w:b w:val="false"/>
          <w:color w:val="000000"/>
          <w:sz w:val="20"/>
        </w:rPr>
        <w:t>Our consolidated results of operations are impacted by the timing of consolidation, deconsolidation, and operating performance of our consolidated and previously consolidated funds. Periods presented may not be comparable due to the consolidation or deconsolidation of certain funds. In particular, Commons Fundco, LLC (“Commons”) was consolidated during the three months ended March 31, 2026, Riverwalk</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consolidated during the three months ended December 31, 2025 and DoubleTree by Hilton Tucson Convention Center (“TCC”) was deconsolidated during the three months ended June 30, 2025. The following table and discussion provide insight into our consolidated results of operations for the three months ended June 30, 2026 and 2025 (in thousands):</w:t>
      </w:r>
    </w:p>
    <w:tbl>
      <w:tblPr>
        <w:tblW w:w="9473" w:type="dxa"/>
        <w:jc w:val="left"/>
        <w:tblInd w:w="0" w:type="dxa"/>
        <w:tblLayout w:type="fixed"/>
        <w:tblCellMar>
          <w:top w:w="28" w:type="dxa"/>
          <w:left w:w="28" w:type="dxa"/>
          <w:bottom w:w="28" w:type="dxa"/>
          <w:right w:w="28" w:type="dxa"/>
        </w:tblCellMar>
      </w:tblPr>
      <w:tblGrid>
        <w:gridCol w:w="1432"/>
        <w:gridCol w:w="1258"/>
        <w:gridCol w:w="1270"/>
        <w:gridCol w:w="235"/>
        <w:gridCol w:w="772"/>
        <w:gridCol w:w="121"/>
        <w:gridCol w:w="121"/>
        <w:gridCol w:w="121"/>
        <w:gridCol w:w="121"/>
        <w:gridCol w:w="235"/>
        <w:gridCol w:w="772"/>
        <w:gridCol w:w="121"/>
        <w:gridCol w:w="109"/>
        <w:gridCol w:w="109"/>
        <w:gridCol w:w="109"/>
        <w:gridCol w:w="211"/>
        <w:gridCol w:w="616"/>
        <w:gridCol w:w="109"/>
        <w:gridCol w:w="109"/>
        <w:gridCol w:w="109"/>
        <w:gridCol w:w="109"/>
        <w:gridCol w:w="344"/>
        <w:gridCol w:w="346"/>
        <w:gridCol w:w="614"/>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3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6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total revenues were $4.2 million and $5.1 million, respectively, representing a period-over-period decrease of 17.3%, which was primarily due to a decrease in asset management revenues and a decrease in consolidated fund - hospitality revenues resulting from the deconsolidation of TCC, which was deconsolidated during the three months ended June 30, 2025, partially offset by an increase in consolidated fund - other revenue resulting from the consolidation of Riverwalk, which was consolidated during the three months ended December 31, 2025, and the consolidation of Commons, which was consolidated during the three months ended March 31, 2026. See the Segment Analysis section below in which revenues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following entities were consolidated as part of the 2025 Riverwalk consolidation: Riverwalk 1 HoldCo, LLC; Riverwalk 2 HoldCo, LLC; Riverwalk 3 HoldCo, LLC; Riverwalk 4 HoldCo, LLC; Riverwalk 5 HoldCo, LLC; Riverwalk 6 HoldCo, LLC; and Riverwalk 7 HoldCo,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total expenses were $8.3 million and $6.9 million, respectively, representing a period-over-period increase of 20.9%. The increase was primarily due to an increase in operating costs related to bad debt expense and an increase in consolidated fund - other expenses resulting from the consolidation of Riverwalk, which was consolidated during the three months ended December 31, 2025, and the consolidation of Commons, which was consolidated during the three months ended March 31, 2026, partially offset by a decrease in consolidated fund - hospitality expenses resulting from the deconsolidation TCC, which was deconsolidated during the three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other loss, net decreased $2.1 million, primarily due to investment impairment charges recognized during the three months ended June 30, 2025, with no comparable impairments recorded during the three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change in fair value of digital assets was $0.3 million. During the three months ended June 30, 2026, we had investments in digital assets resulting in a net loss related to the fair value of digital assets. There was no comparable activity during the same period in 2025.</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Platform (Unconsolidated) Results of Operations for the Three Months Ended June 30, 2026 and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and discussion provide insight into our unconsolidated results of operations of the Platform for the three months ended June 30, 2026 and 2025 (in thousands). </w:t>
      </w:r>
    </w:p>
    <w:tbl>
      <w:tblPr>
        <w:tblW w:w="8782" w:type="dxa"/>
        <w:jc w:val="left"/>
        <w:tblInd w:w="0" w:type="dxa"/>
        <w:tblLayout w:type="fixed"/>
        <w:tblCellMar>
          <w:top w:w="28" w:type="dxa"/>
          <w:left w:w="28" w:type="dxa"/>
          <w:bottom w:w="28" w:type="dxa"/>
          <w:right w:w="28" w:type="dxa"/>
        </w:tblCellMar>
      </w:tblPr>
      <w:tblGrid>
        <w:gridCol w:w="1182"/>
        <w:gridCol w:w="1039"/>
        <w:gridCol w:w="1048"/>
        <w:gridCol w:w="235"/>
        <w:gridCol w:w="772"/>
        <w:gridCol w:w="121"/>
        <w:gridCol w:w="121"/>
        <w:gridCol w:w="121"/>
        <w:gridCol w:w="121"/>
        <w:gridCol w:w="235"/>
        <w:gridCol w:w="772"/>
        <w:gridCol w:w="121"/>
        <w:gridCol w:w="109"/>
        <w:gridCol w:w="109"/>
        <w:gridCol w:w="109"/>
        <w:gridCol w:w="211"/>
        <w:gridCol w:w="616"/>
        <w:gridCol w:w="109"/>
        <w:gridCol w:w="109"/>
        <w:gridCol w:w="109"/>
        <w:gridCol w:w="109"/>
        <w:gridCol w:w="344"/>
        <w:gridCol w:w="346"/>
        <w:gridCol w:w="614"/>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before income taxes</w:t>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3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6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total revenues were $3.7 million and $4.1 million, respectively, representing a period-over-period decrease of 11.3%. The table below (in thousands) compares the revenues earned for providing services under our asset management Platform as described in the Revenue Recognition section of Note 2 – Summary of Significant Accounting Policies for the three months ended June 30, 2026, to the revenues earned for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242" w:type="dxa"/>
        <w:jc w:val="left"/>
        <w:tblInd w:w="0" w:type="dxa"/>
        <w:tblLayout w:type="fixed"/>
        <w:tblCellMar>
          <w:top w:w="28" w:type="dxa"/>
          <w:left w:w="28" w:type="dxa"/>
          <w:bottom w:w="28" w:type="dxa"/>
          <w:right w:w="28" w:type="dxa"/>
        </w:tblCellMar>
      </w:tblPr>
      <w:tblGrid>
        <w:gridCol w:w="1245"/>
        <w:gridCol w:w="1093"/>
        <w:gridCol w:w="1096"/>
        <w:gridCol w:w="109"/>
        <w:gridCol w:w="109"/>
        <w:gridCol w:w="109"/>
        <w:gridCol w:w="251"/>
        <w:gridCol w:w="735"/>
        <w:gridCol w:w="130"/>
        <w:gridCol w:w="130"/>
        <w:gridCol w:w="130"/>
        <w:gridCol w:w="130"/>
        <w:gridCol w:w="251"/>
        <w:gridCol w:w="735"/>
        <w:gridCol w:w="130"/>
        <w:gridCol w:w="109"/>
        <w:gridCol w:w="109"/>
        <w:gridCol w:w="109"/>
        <w:gridCol w:w="237"/>
        <w:gridCol w:w="541"/>
        <w:gridCol w:w="123"/>
        <w:gridCol w:w="109"/>
        <w:gridCol w:w="109"/>
        <w:gridCol w:w="109"/>
        <w:gridCol w:w="343"/>
        <w:gridCol w:w="347"/>
        <w:gridCol w:w="61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unconsolidated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construction fees decreased $0.7 million during the three months ended June 30, 2026, as compared to the same period in 2025. The decrease was primarily due to a decrease in pre-construction development milestones completed during the three months ended June 30, 2026 as compared to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total expenses were $5.9 million and $5.3 million, respectively, representing a period-over-period increase of 10.7%. The increase was primarily due to an increase in bad debt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other income, net was $0.2 million, compared to other loss, net of $2.0 million during the same period in 2025. The change was primarily related to investment impairment charges recognized during the three months ended June 30, 2025, with no comparable impairments recorded during the three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change in fair value of digital assets resulted in losses of $0.3 million, consisting of $0.4 million of unrealized losses offset by minimal realized gains. There was no comparable activity during the corresponding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Consolidated Results of Operations for the Six Months Ended June 30, 2026 and 2025</w:t>
      </w:r>
    </w:p>
    <w:p>
      <w:pPr>
        <w:pStyle w:val="TextBody"/>
        <w:bidi w:val="0"/>
        <w:spacing w:lineRule="auto" w:line="288" w:before="200" w:after="283"/>
        <w:jc w:val="both"/>
        <w:rPr/>
      </w:pPr>
      <w:r>
        <w:rPr>
          <w:rFonts w:ascii="Times New Roman;serif" w:hAnsi="Times New Roman;serif"/>
          <w:b w:val="false"/>
          <w:color w:val="000000"/>
          <w:sz w:val="20"/>
        </w:rPr>
        <w:t>Our consolidated results of operations are impacted by the timing of consolidation, deconsolidation, and operating performance of our consolidated and previously consolidated funds. Periods presented may not be comparable due to the consolidation or deconsolidation of certain funds. In particular, Commons Fundco, LLC (“Commons”) was consolidated during the three months ended March 31, 2026, Riverwalk</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consolidated during the three months ended December 31, 2025 and DoubleTree by Hilton Tucson Convention Center (“TCC”) was deconsolidated during the three months ended June 30, 2025. The following table and discussion provide insight into our consolidated results of operations for the six months ended June 30, 2026 and 2025 (in thousands):</w:t>
      </w:r>
    </w:p>
    <w:tbl>
      <w:tblPr>
        <w:tblW w:w="9234" w:type="dxa"/>
        <w:jc w:val="left"/>
        <w:tblInd w:w="0" w:type="dxa"/>
        <w:tblLayout w:type="fixed"/>
        <w:tblCellMar>
          <w:top w:w="28" w:type="dxa"/>
          <w:left w:w="28" w:type="dxa"/>
          <w:bottom w:w="28" w:type="dxa"/>
          <w:right w:w="28" w:type="dxa"/>
        </w:tblCellMar>
      </w:tblPr>
      <w:tblGrid>
        <w:gridCol w:w="1432"/>
        <w:gridCol w:w="1258"/>
        <w:gridCol w:w="1270"/>
        <w:gridCol w:w="214"/>
        <w:gridCol w:w="701"/>
        <w:gridCol w:w="110"/>
        <w:gridCol w:w="110"/>
        <w:gridCol w:w="110"/>
        <w:gridCol w:w="110"/>
        <w:gridCol w:w="214"/>
        <w:gridCol w:w="701"/>
        <w:gridCol w:w="110"/>
        <w:gridCol w:w="109"/>
        <w:gridCol w:w="109"/>
        <w:gridCol w:w="109"/>
        <w:gridCol w:w="211"/>
        <w:gridCol w:w="616"/>
        <w:gridCol w:w="109"/>
        <w:gridCol w:w="109"/>
        <w:gridCol w:w="109"/>
        <w:gridCol w:w="109"/>
        <w:gridCol w:w="344"/>
        <w:gridCol w:w="346"/>
        <w:gridCol w:w="614"/>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15,384 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w:t>
            </w:r>
          </w:p>
        </w:tc>
        <w:tc>
          <w:tcPr>
            <w:tcW w:w="11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1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6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total revenues were $8.5 million and $12.3 million, respectively, representing a period-over-period decrease of 31.2%, which was primarily due to a decrease in consolidated fund revenues resulting from the deconsolidation of TCC, which was deconsolidated during the three months ended June 30, 2025, partially offset by an increase in consolidated fund - other revenue resulting from the consolidation of Riverwalk during the three months ended December 31, 2025 and the consolidation of Commons during the three months ended March 31, 2026. See the Segment Analysis section below in which revenues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following entities were consolidated as part of the 2025 Riverwalk consolidation: Riverwalk 1 HoldCo, LLC; Riverwalk 2 HoldCo, LLC; Riverwalk 3 HoldCo, LLC; Riverwalk 4 HoldCo, LLC; Riverwalk 5 HoldCo, LLC; Riverwalk 6 HoldCo, LLC; and Riverwalk 7 HoldCo,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total expenses were $15.4 million and $16.8 million, respectively, representing a period-over-period decrease of 8.3%. The decrease was primarily due to the decrease in consolidated fund expenses resulting from the deconsolidation TCC, which was deconsolidated during the three months ended June 30, 2025, partially offset by an increase in consolidated funds - other expenses resulting from the consolidation of Riverwalk during the three months ended December 31, 2025 and the consolidation of Commons during the three months ended March, 31,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other loss, net was $0.2 million and $2.5 million, respectively, representing a period-over-period decrease of 93.3%. The decrease was primarily due to investment impairment charges recognized during the six months ended June 30, 2025, with no comparable impairments recorded during the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unrealized loss on digital assets was $2.2 million. During the six months ended June 30, 2025, we had investments in digital assets resulting in an unrealized loss. There was no comparable activity during the same period in 2025.</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Platform (Unconsolidated) Results of Operations for the Six Months Ended June 30, 2026 and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and discussion provide insight into our unconsolidated results of operations of the Platform for the six months ended June 30, 2026 and 2025 (in thousands). </w:t>
      </w:r>
    </w:p>
    <w:tbl>
      <w:tblPr>
        <w:tblW w:w="8543" w:type="dxa"/>
        <w:jc w:val="left"/>
        <w:tblInd w:w="0" w:type="dxa"/>
        <w:tblLayout w:type="fixed"/>
        <w:tblCellMar>
          <w:top w:w="28" w:type="dxa"/>
          <w:left w:w="28" w:type="dxa"/>
          <w:bottom w:w="28" w:type="dxa"/>
          <w:right w:w="28" w:type="dxa"/>
        </w:tblCellMar>
      </w:tblPr>
      <w:tblGrid>
        <w:gridCol w:w="1182"/>
        <w:gridCol w:w="1039"/>
        <w:gridCol w:w="1048"/>
        <w:gridCol w:w="214"/>
        <w:gridCol w:w="701"/>
        <w:gridCol w:w="110"/>
        <w:gridCol w:w="110"/>
        <w:gridCol w:w="110"/>
        <w:gridCol w:w="110"/>
        <w:gridCol w:w="214"/>
        <w:gridCol w:w="701"/>
        <w:gridCol w:w="110"/>
        <w:gridCol w:w="109"/>
        <w:gridCol w:w="109"/>
        <w:gridCol w:w="109"/>
        <w:gridCol w:w="211"/>
        <w:gridCol w:w="616"/>
        <w:gridCol w:w="109"/>
        <w:gridCol w:w="109"/>
        <w:gridCol w:w="109"/>
        <w:gridCol w:w="109"/>
        <w:gridCol w:w="344"/>
        <w:gridCol w:w="346"/>
        <w:gridCol w:w="614"/>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11,432 </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before income taxes</w:t>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1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26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w:t>
            </w:r>
          </w:p>
        </w:tc>
        <w:tc>
          <w:tcPr>
            <w:tcW w:w="11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1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6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total revenues remained relatively constant, $7.8 million and $7.7 million, respectively. The table below (in thousands) compares the revenues earned for providing services under our asset management Platform as described in the Revenue Recognition section of Note 2 – Summary of Significant Accounting Policies for the six months ended June 30, 2026, to the revenues earned for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002" w:type="dxa"/>
        <w:jc w:val="left"/>
        <w:tblInd w:w="0" w:type="dxa"/>
        <w:tblLayout w:type="fixed"/>
        <w:tblCellMar>
          <w:top w:w="28" w:type="dxa"/>
          <w:left w:w="28" w:type="dxa"/>
          <w:bottom w:w="28" w:type="dxa"/>
          <w:right w:w="28" w:type="dxa"/>
        </w:tblCellMar>
      </w:tblPr>
      <w:tblGrid>
        <w:gridCol w:w="1245"/>
        <w:gridCol w:w="1093"/>
        <w:gridCol w:w="1096"/>
        <w:gridCol w:w="109"/>
        <w:gridCol w:w="109"/>
        <w:gridCol w:w="109"/>
        <w:gridCol w:w="228"/>
        <w:gridCol w:w="668"/>
        <w:gridCol w:w="118"/>
        <w:gridCol w:w="118"/>
        <w:gridCol w:w="118"/>
        <w:gridCol w:w="118"/>
        <w:gridCol w:w="228"/>
        <w:gridCol w:w="668"/>
        <w:gridCol w:w="118"/>
        <w:gridCol w:w="109"/>
        <w:gridCol w:w="109"/>
        <w:gridCol w:w="109"/>
        <w:gridCol w:w="241"/>
        <w:gridCol w:w="534"/>
        <w:gridCol w:w="126"/>
        <w:gridCol w:w="109"/>
        <w:gridCol w:w="109"/>
        <w:gridCol w:w="109"/>
        <w:gridCol w:w="343"/>
        <w:gridCol w:w="347"/>
        <w:gridCol w:w="61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unconsolidated Platform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construction fees decreased $0.8 million during the six months ended June 30, 2026, as compared to the same period in 2025. The decrease was primarily due to a decrease in pre-construction development milestones completed during the six months ended June 30, 2026 as compared to the same period in 2025.</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total expenses remained relatively constant, and were $11.3 million and $11.4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other income, net was $0.2 million, compared to other loss, net of $2.0 million for the same period during 2025. The change was primarily due to investment impairment charges recognized during the six months ended June 30, 2025, with no comparable impairments recorded during the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change in fair value of digital assets resulted in losses of $2.2 million, consisting of $2.1 million of unrealized losses and $0.1 million of realized losses. There was no comparable activity during the corresponding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pPr>
      <w:r>
        <w:rPr>
          <w:rFonts w:ascii="Times New Roman;serif" w:hAnsi="Times New Roman;serif"/>
          <w:b/>
          <w:color w:val="231F20"/>
          <w:sz w:val="20"/>
        </w:rPr>
        <w:t xml:space="preserve">Balance Sheets - </w:t>
      </w:r>
      <w:r>
        <w:rPr>
          <w:rFonts w:ascii="Times New Roman;serif" w:hAnsi="Times New Roman;serif"/>
          <w:b/>
          <w:i/>
          <w:color w:val="000000"/>
          <w:sz w:val="20"/>
        </w:rPr>
        <w:t>Platform (Unconsolidated)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discussion provide insight into our unconsolidated balance sheets of the asset management Platform as of June 30, 2026 and December 31, 2025. Unconsolidated assets, liabilities and stockholders’ equity are presented on a basis that deconsolidates our consolidated funds (intercompany eliminations). Total assets, total liabilities, and total stockholders’ equity are different than those presented on a consolidated basis in accordance with U.S. GAAP, because certain accounts (including notes receivable, due from/to related parties, and investments in unconsolidated entities) are eliminated in consolidation when they are due from/to consolidated funds. Furthermore, we are required to add to this balance sheet, assets and liabilities and equity of the consolidated funds which are items that are not available to a shareholder of CWD. See the Non-GAAP Measures section below for reconciliations of the unconsolidated results to the most comparable U.S. GAAP measure.</w:t>
      </w:r>
    </w:p>
    <w:tbl>
      <w:tblPr>
        <w:tblW w:w="7132" w:type="dxa"/>
        <w:jc w:val="left"/>
        <w:tblInd w:w="0" w:type="dxa"/>
        <w:tblLayout w:type="fixed"/>
        <w:tblCellMar>
          <w:top w:w="28" w:type="dxa"/>
          <w:left w:w="28" w:type="dxa"/>
          <w:bottom w:w="28" w:type="dxa"/>
          <w:right w:w="28" w:type="dxa"/>
        </w:tblCellMar>
      </w:tblPr>
      <w:tblGrid>
        <w:gridCol w:w="1244"/>
        <w:gridCol w:w="1094"/>
        <w:gridCol w:w="1096"/>
        <w:gridCol w:w="109"/>
        <w:gridCol w:w="109"/>
        <w:gridCol w:w="109"/>
        <w:gridCol w:w="258"/>
        <w:gridCol w:w="883"/>
        <w:gridCol w:w="133"/>
        <w:gridCol w:w="109"/>
        <w:gridCol w:w="109"/>
        <w:gridCol w:w="109"/>
        <w:gridCol w:w="344"/>
        <w:gridCol w:w="1175"/>
        <w:gridCol w:w="251"/>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11,042 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right of use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66,137 </w:t>
            </w:r>
          </w:p>
        </w:tc>
        <w:tc>
          <w:tcPr>
            <w:tcW w:w="13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69,987 </w:t>
            </w:r>
          </w:p>
        </w:tc>
        <w:tc>
          <w:tcPr>
            <w:tcW w:w="25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Series A</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Series AAA</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84,210 </w:t>
            </w:r>
          </w:p>
        </w:tc>
        <w:tc>
          <w:tcPr>
            <w:tcW w:w="13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77,263 </w:t>
            </w:r>
          </w:p>
        </w:tc>
        <w:tc>
          <w:tcPr>
            <w:tcW w:w="25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3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25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Investment Valuations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several inputs built within forecasting models.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Most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the underlying factors that led to the change in fair value in the current year, we identify assets that are undervalued and/or underperforming as part of our acquisition strategy. Such assets generally undergo some form of repositioning soon after our acquisition to help drive increased appreciation and operating performance. Once the repositioning is complete, we focus on increasing the asset’s net operating income, thereby further increasing the value of the asset. By making these below-market acquisitions, adding value through development activities, and increasing free cash flow with proper management all represent a material component to our core business model.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unique feature of our funds is the discretion given to our management team to decide when to sell assets and when to hold them. We believe this discretion allows us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Assets Under Management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AUM refers to the assets we manage or sponsor. We monitor two types of information with regard to our AUM:</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our management to further calculate and predict future earnings.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ii.Fair Value (“FV”) AUM – we define this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June 30, 2026, we had total FV AUM of approximately $737.2 million.</w:t>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Although we believe we are utilizing generally accepted methodologies for our calculation of Managed Capital and FV AUM, it may differ from our competitors, thereby making these metrics non-comparable to our competitors.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Managed Capital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activity of the managed capital for the six months ended June 30, 2026 (in thousands):</w:t>
      </w:r>
    </w:p>
    <w:tbl>
      <w:tblPr>
        <w:tblW w:w="4766"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87"/>
        <w:gridCol w:w="1124"/>
        <w:gridCol w:w="209"/>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Managed Capital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517,186 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write-offs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489,584 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write-offs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495,606 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4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Decrease driven by the sale of assets by our investment funds, as well as the recording of an impairment reserve related to an investment held by one of our diversified funds while recoverability is being evaluated.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activity of the managed capital for the six months ended June 30, 2025 (in thousands):</w:t>
      </w:r>
    </w:p>
    <w:tbl>
      <w:tblPr>
        <w:tblW w:w="4766"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87"/>
        <w:gridCol w:w="1124"/>
        <w:gridCol w:w="209"/>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Managed Capital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492,542 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495,217 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498,567 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managed capital for our investment fund portfolios as of June 30, 2026 and December 31, 2025 (in thousands):</w:t>
      </w:r>
    </w:p>
    <w:tbl>
      <w:tblPr>
        <w:tblW w:w="5679" w:type="dxa"/>
        <w:jc w:val="left"/>
        <w:tblInd w:w="0" w:type="dxa"/>
        <w:tblLayout w:type="fixed"/>
        <w:tblCellMar>
          <w:top w:w="28" w:type="dxa"/>
          <w:left w:w="28" w:type="dxa"/>
          <w:bottom w:w="28" w:type="dxa"/>
          <w:right w:w="28" w:type="dxa"/>
        </w:tblCellMar>
      </w:tblPr>
      <w:tblGrid>
        <w:gridCol w:w="836"/>
        <w:gridCol w:w="733"/>
        <w:gridCol w:w="740"/>
        <w:gridCol w:w="234"/>
        <w:gridCol w:w="919"/>
        <w:gridCol w:w="121"/>
        <w:gridCol w:w="109"/>
        <w:gridCol w:w="109"/>
        <w:gridCol w:w="109"/>
        <w:gridCol w:w="313"/>
        <w:gridCol w:w="1228"/>
        <w:gridCol w:w="228"/>
      </w:tblGrid>
      <w:tr>
        <w:trPr/>
        <w:tc>
          <w:tcPr>
            <w:tcW w:w="8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Caliber Hospitality Trust</w:t>
            </w:r>
            <w:r>
              <w:rPr>
                <w:rFonts w:ascii="Times New Roman;serif" w:hAnsi="Times New Roman;serif"/>
                <w:b w:val="false"/>
                <w:color w:val="000000"/>
                <w:sz w:val="13"/>
              </w:rPr>
              <w:t>(1)</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Real Estate</w:t>
            </w:r>
            <w:r>
              <w:rPr>
                <w:rFonts w:ascii="Times New Roman;serif" w:hAnsi="Times New Roman;serif"/>
                <w:b w:val="false"/>
                <w:color w:val="000000"/>
                <w:sz w:val="13"/>
              </w:rPr>
              <w:t>(2)</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439,917 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430,856 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(3)</w:t>
            </w:r>
            <w:r>
              <w:rPr>
                <w:color w:val="000000"/>
              </w:rPr>
              <w:t> </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r>
              <w:rPr>
                <w:color w:val="000000"/>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495,606 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517,186 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We earn a fund management fee of 0.70% of CHT’s enterprise value and are reimbursed for certain costs incurred on behalf of CHT.</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We include capital raised from our investors through corporate note issuances that was further invested in our funds in Managed Capital. At June 30, 2026, and December 31, 2025, we had invested $11.4 million and $11.6 million, respectively, in our funds.</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Credit managed capital represents loans made to our investment funds by us and our diversified funds. At June 30, 2026 and December 31, 2025, we had loaned $11.3 million and $8.5 million, respectively, to our funds. </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Other managed capital represents undeployed capital held in our diversified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activity for our hospitality investment funds and CHT was effectively flat for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for our residential investment funds increased by $4.5 million during the six months ended June 30, 2026, due to: (i) $1.4 million in capital raised into our residential assets, and (ii) $3.1 million contributed by our diversified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Managed capital for our commercial investment funds increased by $4.5 million during the six months ended June 30, 2026, due to: (i) $1.9 million in capital raised into our commercial assets, and (ii) $2.6 million contributed by our diversified funds. The scope of investments included tenant improvements, land development, and acquiring existing operating commercial properties.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decrease in credit managed capital was driven by the sale of assets by our investment funds, as well as the recording of impairment reserves related to investments held by one of our diversified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FV AUM</w:t>
      </w:r>
    </w:p>
    <w:p>
      <w:pPr>
        <w:pStyle w:val="TextBody"/>
        <w:bidi w:val="0"/>
        <w:spacing w:lineRule="auto" w:line="288" w:before="200" w:after="283"/>
        <w:jc w:val="both"/>
        <w:rPr/>
      </w:pPr>
      <w:r>
        <w:rPr>
          <w:rFonts w:ascii="Times New Roman;serif" w:hAnsi="Times New Roman;serif"/>
          <w:b w:val="false"/>
          <w:color w:val="231F20"/>
          <w:sz w:val="20"/>
          <w:shd w:fill="FFFFFF" w:val="clear"/>
        </w:rPr>
        <w:t>T</w:t>
      </w:r>
      <w:r>
        <w:rPr>
          <w:rFonts w:ascii="Times New Roman;serif" w:hAnsi="Times New Roman;serif"/>
          <w:b w:val="false"/>
          <w:color w:val="231F20"/>
          <w:sz w:val="20"/>
        </w:rPr>
        <w:t>he table below details the activities that had an impact on our FV AUM, during the six months ended June 30, 2026 (in thousands):</w:t>
      </w:r>
    </w:p>
    <w:tbl>
      <w:tblPr>
        <w:tblW w:w="4686" w:type="dxa"/>
        <w:jc w:val="left"/>
        <w:tblInd w:w="0" w:type="dxa"/>
        <w:tblLayout w:type="fixed"/>
        <w:tblCellMar>
          <w:top w:w="28" w:type="dxa"/>
          <w:left w:w="28" w:type="dxa"/>
          <w:bottom w:w="28" w:type="dxa"/>
          <w:right w:w="28" w:type="dxa"/>
        </w:tblCellMar>
      </w:tblPr>
      <w:tblGrid>
        <w:gridCol w:w="1266"/>
        <w:gridCol w:w="1111"/>
        <w:gridCol w:w="1118"/>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FV AUM</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Assets acquired</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net of market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sold</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Assets sold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30, 2026</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231F20"/>
          <w:sz w:val="20"/>
          <w:shd w:fill="FFFFFF" w:val="clear"/>
        </w:rPr>
        <w:t>T</w:t>
      </w:r>
      <w:r>
        <w:rPr>
          <w:rFonts w:ascii="Times New Roman;serif" w:hAnsi="Times New Roman;serif"/>
          <w:b w:val="false"/>
          <w:color w:val="231F20"/>
          <w:sz w:val="20"/>
        </w:rPr>
        <w:t xml:space="preserve">he table below details the activities that had an impact on our FV AUM, during the </w:t>
      </w:r>
      <w:r>
        <w:rPr>
          <w:rFonts w:ascii="Times New Roman;serif" w:hAnsi="Times New Roman;serif"/>
          <w:b w:val="false"/>
          <w:color w:val="000000"/>
          <w:sz w:val="20"/>
        </w:rPr>
        <w:t>six months ended June 30, 2025</w:t>
      </w:r>
      <w:r>
        <w:rPr>
          <w:color w:val="231F20"/>
        </w:rPr>
        <w:t xml:space="preserve"> </w:t>
      </w:r>
      <w:r>
        <w:rPr>
          <w:rFonts w:ascii="Times New Roman;serif" w:hAnsi="Times New Roman;serif"/>
          <w:b w:val="false"/>
          <w:color w:val="231F20"/>
          <w:sz w:val="20"/>
        </w:rPr>
        <w:t>(in thousands):</w:t>
      </w:r>
    </w:p>
    <w:tbl>
      <w:tblPr>
        <w:tblW w:w="4686" w:type="dxa"/>
        <w:jc w:val="left"/>
        <w:tblInd w:w="0" w:type="dxa"/>
        <w:tblLayout w:type="fixed"/>
        <w:tblCellMar>
          <w:top w:w="28" w:type="dxa"/>
          <w:left w:w="28" w:type="dxa"/>
          <w:bottom w:w="28" w:type="dxa"/>
          <w:right w:w="28" w:type="dxa"/>
        </w:tblCellMar>
      </w:tblPr>
      <w:tblGrid>
        <w:gridCol w:w="1266"/>
        <w:gridCol w:w="1111"/>
        <w:gridCol w:w="1118"/>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FV AUM</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CHT contribution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March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net market appreciation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sold or disposed</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June 30, 2025</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FV AUM of our investment fund portfolios as of June 30, 2026 and December 31, 2025 (in thousands):</w:t>
      </w:r>
    </w:p>
    <w:tbl>
      <w:tblPr>
        <w:tblW w:w="5514" w:type="dxa"/>
        <w:jc w:val="left"/>
        <w:tblInd w:w="0" w:type="dxa"/>
        <w:tblLayout w:type="fixed"/>
        <w:tblCellMar>
          <w:top w:w="28" w:type="dxa"/>
          <w:left w:w="28" w:type="dxa"/>
          <w:bottom w:w="28" w:type="dxa"/>
          <w:right w:w="28" w:type="dxa"/>
        </w:tblCellMar>
      </w:tblPr>
      <w:tblGrid>
        <w:gridCol w:w="776"/>
        <w:gridCol w:w="681"/>
        <w:gridCol w:w="687"/>
        <w:gridCol w:w="234"/>
        <w:gridCol w:w="919"/>
        <w:gridCol w:w="121"/>
        <w:gridCol w:w="109"/>
        <w:gridCol w:w="109"/>
        <w:gridCol w:w="109"/>
        <w:gridCol w:w="313"/>
        <w:gridCol w:w="1228"/>
        <w:gridCol w:w="228"/>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Caliber Hospitality Trust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681,500 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w:t>
            </w:r>
            <w:r>
              <w:rPr>
                <w:rFonts w:ascii="Times New Roman;serif" w:hAnsi="Times New Roman;serif"/>
                <w:b w:val="false"/>
                <w:color w:val="000000"/>
                <w:sz w:val="13"/>
              </w:rPr>
              <w:t>(3)</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737,189 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779,730 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Assets acquired during the six months ended June 30, 2026 include one land parcel intended for hotel development in Colorado.</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Assets sold during the six months ended June 30, 2026 include one multi-family residential asset and a portion of a land asset.</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Credit FV AUM represents loans made to our investment funds by our diversified credit fund.</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Other FV AUM represents undeployed capital held in our diversified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Assets Under Development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several development, redevelopment, construction, and entitlement projects that are underway or are in the planning stages, which we define as AUD. This category includes projects to be built on undeveloped land and projects to be built and constructed on undeveloped lands, which are not yet owned by our funds. Completing these development activities may ultimately result in income-producing assets, assets we may sell to third parties, or both. If we complete all AUD at June 30, 2026, up through sale, we estimate we could earn up to $95.7 million in performance allocations. As of June 30, 2026, we are actively developing 1,776 multifamily units, 497 single family units, 3.7 million square feet of commercial and industrial, and 3.6 million square feet of office and retail. If all of these projects are brought to completion, the total cost capitalized to these projects, which represents total current estimated costs to complete the development and construction of such projects by us or a third party, is $1.8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AUD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00" w:after="283"/>
        <w:jc w:val="both"/>
        <w:rPr/>
      </w:pPr>
      <w:r>
        <w:rPr>
          <w:rFonts w:ascii="Times New Roman;serif" w:hAnsi="Times New Roman;serif"/>
          <w:b w:val="false"/>
          <w:color w:val="231F20"/>
          <w:sz w:val="20"/>
        </w:rPr>
        <w:t>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w:t>
      </w:r>
      <w:r>
        <w:rPr>
          <w:color w:val="000000"/>
        </w:rPr>
        <w:t xml:space="preserve"> </w:t>
      </w:r>
      <w:r>
        <w:rPr>
          <w:rFonts w:ascii="Times New Roman;serif" w:hAnsi="Times New Roman;serif"/>
          <w:b w:val="false"/>
          <w:color w:val="000000"/>
          <w:sz w:val="20"/>
        </w:rPr>
        <w:t>provide investors a view of the performance attributable to us</w:t>
      </w:r>
      <w:r>
        <w:rPr>
          <w:rFonts w:ascii="Times New Roman;serif" w:hAnsi="Times New Roman;serif"/>
          <w:b w:val="false"/>
          <w:color w:val="231F20"/>
          <w:sz w:val="20"/>
        </w:rPr>
        <w:t>. When analyzing our operating performance, investors should use these measures in addition to, and not as an alternative for, 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Asset Management Platform or Platform</w:t>
      </w:r>
    </w:p>
    <w:p>
      <w:pPr>
        <w:pStyle w:val="TextBody"/>
        <w:bidi w:val="0"/>
        <w:spacing w:lineRule="auto" w:line="288" w:before="200" w:after="283"/>
        <w:jc w:val="both"/>
        <w:rPr>
          <w:rFonts w:ascii="Times New Roman;serif" w:hAnsi="Times New Roman;serif"/>
          <w:b w:val="false"/>
          <w:color w:val="252525"/>
          <w:sz w:val="20"/>
        </w:rPr>
      </w:pPr>
      <w:r>
        <w:rPr>
          <w:rFonts w:ascii="Times New Roman;serif" w:hAnsi="Times New Roman;serif"/>
          <w:b w:val="false"/>
          <w:color w:val="252525"/>
          <w:sz w:val="20"/>
        </w:rPr>
        <w:t xml:space="preserve">Platform refers to the performance of our asset management platform segment, which generates revenues and expenses from managing our investment portfolio, which does not include any consolidated assets or funds. These activities include asset management, transaction services, and performance allocations. Management believes that this is an important view of us because it communicates performance of us that would be most useful for understanding the value of CWD.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Fee-Related Earnings and Related Components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Fee-Related Earnings is a supplemental non-GAAP performance measure used to assess our ability to generate profits from fee-based revenues focusing on whether our core revenue streams are sufficient to cover our core operating expenses. Fee-Related Earnings represents our net income (loss) before income taxes adjusted to exclude depreciation and amortization, stock-based compensation, interest expense and extraordinary or non-recurring revenue and expenses, including performance allocation revenue and change in fair value of digital assets, public registration direct costs related to aborted or delayed offerings and our Reg A+ offering,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Distributable Earnings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U.S. GAAP results assessing the amount of earnings available for distribution.</w:t>
      </w:r>
    </w:p>
    <w:p>
      <w:pPr>
        <w:pStyle w:val="TextBody"/>
        <w:bidi w:val="0"/>
        <w:spacing w:lineRule="auto" w:line="288" w:before="200" w:after="283"/>
        <w:jc w:val="both"/>
        <w:rPr/>
      </w:pPr>
      <w:r>
        <w:rPr>
          <w:rFonts w:ascii="Times New Roman;serif" w:hAnsi="Times New Roman;serif"/>
          <w:b/>
          <w:i/>
          <w:color w:val="252525"/>
          <w:sz w:val="20"/>
        </w:rPr>
        <w:t>P</w:t>
      </w:r>
      <w:r>
        <w:rPr>
          <w:rFonts w:ascii="Times New Roman;serif" w:hAnsi="Times New Roman;serif"/>
          <w:b/>
          <w:i/>
          <w:color w:val="000000"/>
          <w:sz w:val="20"/>
        </w:rPr>
        <w:t>latform Earnings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Platform Earnings represents the performance of our asset management platform segment, which generates revenues and expenses from managing our investment portfolio, excluding any consolidated assets or funds. We evaluate recurring earnings capacity through fee-related earnings, defined as fund management fees, financing fees, development and construction fees, organizational and offering fees, and brokerage fees, less direct operating expenses. We believe this measure provides investors with insight into the recurring operating profile of our asset management platform independent of performance allocation timing.</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Platform Earnings per Share</w:t>
      </w:r>
    </w:p>
    <w:p>
      <w:pPr>
        <w:pStyle w:val="TextBody"/>
        <w:bidi w:val="0"/>
        <w:spacing w:lineRule="auto" w:line="288" w:before="200" w:after="283"/>
        <w:jc w:val="both"/>
        <w:rPr>
          <w:rFonts w:ascii="Times New Roman;serif" w:hAnsi="Times New Roman;serif"/>
          <w:b w:val="false"/>
          <w:color w:val="252525"/>
          <w:sz w:val="20"/>
        </w:rPr>
      </w:pPr>
      <w:r>
        <w:rPr>
          <w:rFonts w:ascii="Times New Roman;serif" w:hAnsi="Times New Roman;serif"/>
          <w:b w:val="false"/>
          <w:color w:val="252525"/>
          <w:sz w:val="20"/>
        </w:rPr>
        <w:t>Platform Earnings per Share is calculated as Platform Earnings divided by weighted average CWD common shares outstanding.</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Adjusted EBITDA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Platform Adjusted EBITDA represents our Distributable Earnings adjusted for interest expense,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the Platform and is consistent with performance models and analysis used by management.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Adjusted EBITDA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Adjusted EBITDA represents our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litigation settlements, expenses recorded to earnings relating to investment deals which were abandoned or closed, any other non-cash expenses or losses, as further adjusted for extraordinary or non-recurring items.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Platform Basic and Diluted Earnings Per Share (“EPS”)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Platform Basic and Diluted EPS represents earnings per share generated by the Platform, without reflecting the impact of consolidation. Eliminating the impact of consolidated funds and noncontrolling interest provides investors a view of the performance attributable to the Platform and is consistent with performance models and analysis used by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pPr>
      <w:r>
        <w:rPr>
          <w:rFonts w:ascii="Times New Roman;serif" w:hAnsi="Times New Roman;serif"/>
          <w:b w:val="false"/>
          <w:color w:val="000000"/>
          <w:sz w:val="20"/>
        </w:rPr>
        <w:t xml:space="preserve">The following table presents a reconciliation of net loss attributable to CaliberCos Inc. to Fee-Related Earnings, Distributable Earnings, Platform </w:t>
      </w:r>
      <w:r>
        <w:rPr>
          <w:rFonts w:ascii="Times New Roman;serif" w:hAnsi="Times New Roman;serif"/>
          <w:b w:val="false"/>
          <w:color w:val="231F20"/>
          <w:sz w:val="20"/>
        </w:rPr>
        <w:t>Adjusted EBITDA, and Consolidated Adjusted EBITDA</w:t>
      </w:r>
      <w:r>
        <w:rPr>
          <w:color w:val="000000"/>
        </w:rPr>
        <w:t xml:space="preserve"> </w:t>
      </w:r>
      <w:r>
        <w:rPr>
          <w:rFonts w:ascii="Times New Roman;serif" w:hAnsi="Times New Roman;serif"/>
          <w:b w:val="false"/>
          <w:color w:val="000000"/>
          <w:sz w:val="20"/>
        </w:rPr>
        <w:t>for the three and six months ended June 30, 2026 and 2025 (in thousands):</w:t>
      </w:r>
    </w:p>
    <w:tbl>
      <w:tblPr>
        <w:tblW w:w="10171" w:type="dxa"/>
        <w:jc w:val="left"/>
        <w:tblInd w:w="0" w:type="dxa"/>
        <w:tblLayout w:type="fixed"/>
        <w:tblCellMar>
          <w:top w:w="28" w:type="dxa"/>
          <w:left w:w="28" w:type="dxa"/>
          <w:bottom w:w="28" w:type="dxa"/>
          <w:right w:w="28" w:type="dxa"/>
        </w:tblCellMar>
      </w:tblPr>
      <w:tblGrid>
        <w:gridCol w:w="1738"/>
        <w:gridCol w:w="1527"/>
        <w:gridCol w:w="1534"/>
        <w:gridCol w:w="235"/>
        <w:gridCol w:w="772"/>
        <w:gridCol w:w="121"/>
        <w:gridCol w:w="121"/>
        <w:gridCol w:w="121"/>
        <w:gridCol w:w="121"/>
        <w:gridCol w:w="235"/>
        <w:gridCol w:w="772"/>
        <w:gridCol w:w="121"/>
        <w:gridCol w:w="109"/>
        <w:gridCol w:w="109"/>
        <w:gridCol w:w="109"/>
        <w:gridCol w:w="214"/>
        <w:gridCol w:w="701"/>
        <w:gridCol w:w="110"/>
        <w:gridCol w:w="110"/>
        <w:gridCol w:w="110"/>
        <w:gridCol w:w="110"/>
        <w:gridCol w:w="214"/>
        <w:gridCol w:w="701"/>
        <w:gridCol w:w="156"/>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impact on fee-related earnings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Fee-Related Earnings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Distributable Earnings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impact on Caliber Adjusted EBITDA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 Adjusted 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EBITDA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share and per share amounts in the Platform and Consolidated, basic and diluted earnings per share calculations below have been affected for the Reverse Stock Split, retroactively, for all periods presented.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Platform revenues, expenses and net income to the most comparable U.S. GAAP measure for the three and six months ended June 30, 2026 and 2025 (in thousands):</w:t>
      </w:r>
    </w:p>
    <w:tbl>
      <w:tblPr>
        <w:tblW w:w="9510" w:type="dxa"/>
        <w:jc w:val="left"/>
        <w:tblInd w:w="0" w:type="dxa"/>
        <w:tblLayout w:type="fixed"/>
        <w:tblCellMar>
          <w:top w:w="28" w:type="dxa"/>
          <w:left w:w="28" w:type="dxa"/>
          <w:bottom w:w="28" w:type="dxa"/>
          <w:right w:w="28" w:type="dxa"/>
        </w:tblCellMar>
      </w:tblPr>
      <w:tblGrid>
        <w:gridCol w:w="1432"/>
        <w:gridCol w:w="1257"/>
        <w:gridCol w:w="1270"/>
        <w:gridCol w:w="211"/>
        <w:gridCol w:w="691"/>
        <w:gridCol w:w="109"/>
        <w:gridCol w:w="109"/>
        <w:gridCol w:w="109"/>
        <w:gridCol w:w="109"/>
        <w:gridCol w:w="691"/>
        <w:gridCol w:w="1576"/>
        <w:gridCol w:w="358"/>
        <w:gridCol w:w="109"/>
        <w:gridCol w:w="109"/>
        <w:gridCol w:w="109"/>
        <w:gridCol w:w="267"/>
        <w:gridCol w:w="798"/>
        <w:gridCol w:w="196"/>
      </w:tblGrid>
      <w:tr>
        <w:trPr/>
        <w:tc>
          <w:tcPr>
            <w:tcW w:w="143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11"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1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510" w:type="dxa"/>
        <w:jc w:val="left"/>
        <w:tblInd w:w="0" w:type="dxa"/>
        <w:tblLayout w:type="fixed"/>
        <w:tblCellMar>
          <w:top w:w="28" w:type="dxa"/>
          <w:left w:w="28" w:type="dxa"/>
          <w:bottom w:w="28" w:type="dxa"/>
          <w:right w:w="28" w:type="dxa"/>
        </w:tblCellMar>
      </w:tblPr>
      <w:tblGrid>
        <w:gridCol w:w="1432"/>
        <w:gridCol w:w="1257"/>
        <w:gridCol w:w="1270"/>
        <w:gridCol w:w="211"/>
        <w:gridCol w:w="691"/>
        <w:gridCol w:w="109"/>
        <w:gridCol w:w="109"/>
        <w:gridCol w:w="109"/>
        <w:gridCol w:w="109"/>
        <w:gridCol w:w="691"/>
        <w:gridCol w:w="1576"/>
        <w:gridCol w:w="358"/>
        <w:gridCol w:w="109"/>
        <w:gridCol w:w="109"/>
        <w:gridCol w:w="109"/>
        <w:gridCol w:w="267"/>
        <w:gridCol w:w="798"/>
        <w:gridCol w:w="196"/>
      </w:tblGrid>
      <w:tr>
        <w:trPr/>
        <w:tc>
          <w:tcPr>
            <w:tcW w:w="143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15,384 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11"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1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511"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691"/>
        <w:gridCol w:w="1576"/>
        <w:gridCol w:w="358"/>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96"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1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511" w:type="dxa"/>
        <w:jc w:val="left"/>
        <w:tblInd w:w="0" w:type="dxa"/>
        <w:tblLayout w:type="fixed"/>
        <w:tblCellMar>
          <w:top w:w="28" w:type="dxa"/>
          <w:left w:w="28" w:type="dxa"/>
          <w:bottom w:w="28" w:type="dxa"/>
          <w:right w:w="28" w:type="dxa"/>
        </w:tblCellMar>
      </w:tblPr>
      <w:tblGrid>
        <w:gridCol w:w="1431"/>
        <w:gridCol w:w="1257"/>
        <w:gridCol w:w="1272"/>
        <w:gridCol w:w="211"/>
        <w:gridCol w:w="691"/>
        <w:gridCol w:w="109"/>
        <w:gridCol w:w="109"/>
        <w:gridCol w:w="109"/>
        <w:gridCol w:w="109"/>
        <w:gridCol w:w="691"/>
        <w:gridCol w:w="1576"/>
        <w:gridCol w:w="358"/>
        <w:gridCol w:w="109"/>
        <w:gridCol w:w="109"/>
        <w:gridCol w:w="109"/>
        <w:gridCol w:w="267"/>
        <w:gridCol w:w="798"/>
        <w:gridCol w:w="196"/>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revenue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hospitality expenses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funds –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3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5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9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CaliberCos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1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96" w:type="dxa"/>
            <w:tcBorders>
              <w:top w:val="doub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1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double" w:sz="8" w:space="0" w:color="000000"/>
            </w:tcBorders>
            <w:shd w:fill="CCED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Company’s corporate note portfolio consisted of 148 unsecured notes with an aggregate principal balance of $26.2 million, compared to 178 unsecured notes with an aggregate principal balance of $29.6 million at December 31, 2025 and 195 unsecured notes with an aggregate principal balance of $33.0 million at June 30, 2025, a 20.6% decrease year over year. The notes generally have either a 12-month or 36-month term, with the 12-month note holders having the option to extend for an additional 12-month term. As of August 13, 2026, an aggregate of $21.0 million of corporate and convertible notes mature within the 12-month period subsequent to when these condensed consolidated financial statements were issued.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incurred recurring operating losses and negative cash flow from operations, and may experience additional operating losses and negative cash flow in the near term. The Company does not have sufficient cash and other liquid assets on-hand to satisfy these maturities in full. These conditions and events raise substantial doubt about the Company’s ability to continue as a going concern. In response to these conditions, management considered the impact of the Company’s near-term maturities and the status of related plans intended to address them.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evaluated the impact a default of one or many of these notes might have on the Company. As these notes are unsecured, the terms in the agreements do not afford the note holder avenues of recourse in a default that could or would impact the Company adversely in the normal course of business, as the terms lack provisions for rights or claims against the Company’s assets, nor is there a scenario where a default could force liquidation of the Company. Management believes that even in the event of default of one or many of these notes, the Company would be able to negotiate a waiver of the default either through an extension of the maturity or principal repayment schedule.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satisfy the maturity of these corporate notes, the Company intends to continue executing on the following strategies, which the Company has been actively pursuing during 2025 and the first half of 2026:</w:t>
      </w:r>
    </w:p>
    <w:p>
      <w:pPr>
        <w:pStyle w:val="TextBody"/>
        <w:bidi w:val="0"/>
        <w:spacing w:lineRule="auto" w:line="288" w:before="200" w:after="283"/>
        <w:ind w:left="0" w:right="0" w:hanging="360"/>
        <w:jc w:val="both"/>
        <w:rPr/>
      </w:pPr>
      <w:r>
        <w:rPr>
          <w:rFonts w:ascii="Times New Roman;serif" w:hAnsi="Times New Roman;serif"/>
          <w:b/>
          <w:color w:val="000000"/>
          <w:sz w:val="20"/>
        </w:rPr>
        <w:t xml:space="preserve">i.Reg A+ Series AA Preferred Stock Offering. </w:t>
      </w:r>
      <w:r>
        <w:rPr>
          <w:rFonts w:ascii="Times New Roman;serif" w:hAnsi="Times New Roman;serif"/>
          <w:b w:val="false"/>
          <w:color w:val="000000"/>
          <w:sz w:val="20"/>
        </w:rPr>
        <w:t>Raise up to $20.0 million of Series AA Preferred Stock through the Company’s Reg A+ offering, which was qualified on March 12, 2025. From program inception through August 13, 2026, the Company has raised $8.1 million in proceeds from its Series AA Preferred Stock.</w:t>
      </w:r>
    </w:p>
    <w:p>
      <w:pPr>
        <w:pStyle w:val="TextBody"/>
        <w:bidi w:val="0"/>
        <w:spacing w:lineRule="auto" w:line="288" w:before="200" w:after="283"/>
        <w:ind w:left="0" w:right="0" w:hanging="360"/>
        <w:jc w:val="both"/>
        <w:rPr/>
      </w:pPr>
      <w:r>
        <w:rPr>
          <w:rFonts w:ascii="Times New Roman;serif" w:hAnsi="Times New Roman;serif"/>
          <w:b/>
          <w:color w:val="000000"/>
          <w:sz w:val="20"/>
        </w:rPr>
        <w:t xml:space="preserve">ii.Note Refinancing into 36-Month Term Program. </w:t>
      </w:r>
      <w:r>
        <w:rPr>
          <w:rFonts w:ascii="Times New Roman;serif" w:hAnsi="Times New Roman;serif"/>
          <w:b w:val="false"/>
          <w:color w:val="000000"/>
          <w:sz w:val="20"/>
        </w:rPr>
        <w:t xml:space="preserve">Refinance existing 12-month term corporate notes into the Company’s 36-month term corporate note program. From program inception through August 13, 2026, the Company has refinanced $6.7 million of 12-month term corporate notes into the 36-month term program. </w:t>
      </w:r>
    </w:p>
    <w:p>
      <w:pPr>
        <w:pStyle w:val="TextBody"/>
        <w:bidi w:val="0"/>
        <w:spacing w:lineRule="auto" w:line="288" w:before="200" w:after="283"/>
        <w:ind w:left="0" w:right="0" w:hanging="360"/>
        <w:jc w:val="both"/>
        <w:rPr/>
      </w:pPr>
      <w:r>
        <w:rPr>
          <w:rFonts w:ascii="Times New Roman;serif" w:hAnsi="Times New Roman;serif"/>
          <w:b/>
          <w:color w:val="000000"/>
          <w:sz w:val="20"/>
        </w:rPr>
        <w:t xml:space="preserve">iii.Note Conversion Program. </w:t>
      </w:r>
      <w:r>
        <w:rPr>
          <w:rFonts w:ascii="Times New Roman;serif" w:hAnsi="Times New Roman;serif"/>
          <w:b w:val="false"/>
          <w:color w:val="000000"/>
          <w:sz w:val="20"/>
        </w:rPr>
        <w:t>Convert corporate notes into shares of Caliber Class A common stock or Series AAA Convertible Preferred Stock through the Company’s note conversion program (the “Program”), launched in October 2025. Under the Program, holders of outstanding promissory notes may elect to convert all or part of their notes into Class A common stock at a per share conversion price equaling the lower of (i) the average closing price of the Company’s Class A common stock over the five trading days prior to the execution, or (ii) the closing bid price of the Company’s Class A common stock the business day preceding execution, or, alternatively into shares of Series AAA Convertible Preferred Stock. From program inception through August 13, 2026, the Company has successfully converted $3.8 million of corporate notes into 2,269,677 shares of Class A common stock at conversion prices ranging from $1.06 to $3.72 per share, and an additional $1.5 million of corporate notes into 1,529 shares of Series AAA Convertible Preferred Stock subsequent to June 30, 2026.</w:t>
      </w:r>
    </w:p>
    <w:p>
      <w:pPr>
        <w:pStyle w:val="TextBody"/>
        <w:bidi w:val="0"/>
        <w:spacing w:lineRule="auto" w:line="288" w:before="200" w:after="283"/>
        <w:ind w:left="0" w:right="0" w:hanging="360"/>
        <w:jc w:val="both"/>
        <w:rPr/>
      </w:pPr>
      <w:r>
        <w:rPr>
          <w:rFonts w:ascii="Times New Roman;serif" w:hAnsi="Times New Roman;serif"/>
          <w:b/>
          <w:color w:val="000000"/>
          <w:sz w:val="20"/>
        </w:rPr>
        <w:t>iv.Equity Issuances Through ELOC and ATM Facilities.</w:t>
      </w:r>
      <w:r>
        <w:rPr>
          <w:color w:val="000000"/>
        </w:rPr>
        <w:t xml:space="preserve"> </w:t>
      </w:r>
      <w:r>
        <w:rPr>
          <w:rFonts w:ascii="Times New Roman;serif" w:hAnsi="Times New Roman;serif"/>
          <w:b w:val="false"/>
          <w:color w:val="000000"/>
          <w:sz w:val="20"/>
        </w:rPr>
        <w:t>Raise additional equity through the Company’s existing equity line of credit (“ELOC”) and at-the-market (“ATM”) facilities, with a portion of the proceeds allocated to general corporate purposes. From program inception through August 13, 2026, the Company generated $41.1 million in net cash from equity issuances across all 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financing actions noted, management continues to execute various plans implemented to address operating losses and near-term maturities or demands for repayment of its notes. Consistent with actions taken in prior reporting periods, these plans include: i) further reducing operating costs, including the workforce reductions implemented in 2025 that are expected to generate annualized cost savings of $3.9 million in compensation and employee benefit expenses in 2026; ii) collecting all or part of the Company’s $11.2 million in accounts receivable; iii) collecting all or part of its $11.4 million in investments from its managed funds, iv) continuing to expand fundraising channels and managed capital; v) selling or accepting outside investment into the Company’s corporate headquarters; vi) placing debt on unencumbered assets; and vii) generating planned cash flow from operations through the execution of the Company’s existing project pipeline.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executed against these plans and, among other things: (i) collected $4.9 million in notes receivable from related parties; (ii) collected $7.4 million in accounts receivable; (iii) issued $3.4 million of Series AA Preferred Stock under its Regulation A+ offering; and (iv) converted $3.5 million of corporate notes into Class A common stock and Series AAA Convertible Preferred Stock. As a result of these and prior period actions, the Company’s aggregate corporate note balance decreased from $29.6 million at December 31, 2025 to $26.2 million at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After consideration of the implemented and planned actions, management concluded these plans depend on actions of third parties; including noteholders, investors, lenders, and counterparties, and accordingly cannot be deemed probable of being effectively implemented under ASC 205-40. As a result, the Company has concluded that management’s plans do not alleviate substantial doubt about the Company’s ability to continue as a going concern.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continues to pursue these plans and advance its existing project pipeline to address the near-term funding gap; however, no assurance can be provided that such plans will be successful or implemented in a timely manner sufficient to alleviate substantial doubt about the Company’s ability to continue as a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 except as payment to us for services performed by us.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Corporate Debt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have issued and outstanding unsecured promissory notes of $26.2 million with an average outstanding principal balance of $0.2 million, a weighted average interest rate of 10.91%, and maturity dates ranging from January 2024 to March 2028. The purpose of this financing program is to provide us with flexible, short-term capital to be used to grow its assets under management and assist funds in a fast-moving acquisition or investment, as well as general corporate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program provides customers of our funds access to a short-term lending opportunity. Management actively manages each relationship to determine if the respective customer would like to redeem upon maturity or extend for an additional period of time. This outstanding debt resulted in interest expense of $0.7 million and $1.6 million for the three and six months ended June 30, 2026, respectively and $0.9 million and $1.8 million for the three and six months ended June 30, 2025,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Flows Analysis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section below discusses in more detail our primary sources and uses of cash and primary drivers of cash flows within our condensed consolidated statements of cash flows (in thousands):</w:t>
      </w:r>
    </w:p>
    <w:tbl>
      <w:tblPr>
        <w:tblW w:w="7555" w:type="dxa"/>
        <w:jc w:val="left"/>
        <w:tblInd w:w="0" w:type="dxa"/>
        <w:tblLayout w:type="fixed"/>
        <w:tblCellMar>
          <w:top w:w="28" w:type="dxa"/>
          <w:left w:w="28" w:type="dxa"/>
          <w:bottom w:w="28" w:type="dxa"/>
          <w:right w:w="28" w:type="dxa"/>
        </w:tblCellMar>
      </w:tblPr>
      <w:tblGrid>
        <w:gridCol w:w="1255"/>
        <w:gridCol w:w="1100"/>
        <w:gridCol w:w="1110"/>
        <w:gridCol w:w="109"/>
        <w:gridCol w:w="109"/>
        <w:gridCol w:w="109"/>
        <w:gridCol w:w="214"/>
        <w:gridCol w:w="701"/>
        <w:gridCol w:w="110"/>
        <w:gridCol w:w="110"/>
        <w:gridCol w:w="110"/>
        <w:gridCol w:w="110"/>
        <w:gridCol w:w="214"/>
        <w:gridCol w:w="701"/>
        <w:gridCol w:w="110"/>
        <w:gridCol w:w="109"/>
        <w:gridCol w:w="109"/>
        <w:gridCol w:w="109"/>
        <w:gridCol w:w="211"/>
        <w:gridCol w:w="69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assets of our consolidated funds, on a gross basis, can be substantially larger than the assets of our core business and, accordingly could have a substantial effect on the accompanying statements of cash flows. The table below summarizes our condensed consolidated statements of cash flow by activity attributable to us and to our consolidated funds (in thousands):</w:t>
      </w:r>
    </w:p>
    <w:tbl>
      <w:tblPr>
        <w:tblW w:w="10150" w:type="dxa"/>
        <w:jc w:val="left"/>
        <w:tblInd w:w="0" w:type="dxa"/>
        <w:tblLayout w:type="fixed"/>
        <w:tblCellMar>
          <w:top w:w="28" w:type="dxa"/>
          <w:left w:w="28" w:type="dxa"/>
          <w:bottom w:w="28" w:type="dxa"/>
          <w:right w:w="28" w:type="dxa"/>
        </w:tblCellMar>
      </w:tblPr>
      <w:tblGrid>
        <w:gridCol w:w="2224"/>
        <w:gridCol w:w="1953"/>
        <w:gridCol w:w="1958"/>
        <w:gridCol w:w="109"/>
        <w:gridCol w:w="109"/>
        <w:gridCol w:w="109"/>
        <w:gridCol w:w="214"/>
        <w:gridCol w:w="701"/>
        <w:gridCol w:w="110"/>
        <w:gridCol w:w="110"/>
        <w:gridCol w:w="110"/>
        <w:gridCol w:w="110"/>
        <w:gridCol w:w="214"/>
        <w:gridCol w:w="701"/>
        <w:gridCol w:w="110"/>
        <w:gridCol w:w="109"/>
        <w:gridCol w:w="109"/>
        <w:gridCol w:w="109"/>
        <w:gridCol w:w="211"/>
        <w:gridCol w:w="616"/>
        <w:gridCol w:w="154"/>
      </w:tblGrid>
      <w:tr>
        <w:trPr/>
        <w:tc>
          <w:tcPr>
            <w:tcW w:w="2224"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the consolidated funds'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the consolidated funds'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consolidated funds'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net cash flows from operating activities are generally comprised of asset management revenues and performance allocations, less cash used for operating expenses, including interest paid on our debt obligations. Net cash flows used in operating activities of the Company decreased during the six months ended June 30, 2026 as compared to the same period in 2025, which was primarily related to decreases in interest expense paid. Net cash flows used in operating activities of the consolidated funds increased during the six months ended June 30, 2026, as compared to net cash flows provided by operating activities during the same period in 2025, which was primarily related to the consolidation of VIEs.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of the Company increased during the six months ended June 30, 2026, as compared to net cash flows provided by investing activities during the same period in 2025, which was primarily related to an increase in net funding of related party notes receivable, offset by cash received from the sale of digital assets. The increase in net cash flows provided by investing activities of the consolidated funds during the six months ended June 30, 2026, as compared to net cash flows used in investing activities during the same period in 2025, is primarily due to the consolidation of VIEs during the six months ended June 30, 2026 compared to the deconsolidation of VIEs during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flows provided by financing activities of the Company remained relatively constant during the six months ended June 30, 2026 as compared to the same period in 2025. The decrease in net cash flows provided by financing activities of the consolidated funds during the six months ended June 30, 2026, as compared to the same period in 2025, is primarily due to a decrease in net proceeds from notes payable, offset by an increase in contributions from noncontrolling interest holders and a decrease in distributions to noncontrolling interest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Policies and Estimates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the following critical accounting policies affect our more significant estimates and judgments used in the preparation of our condensed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both"/>
        <w:rPr/>
      </w:pPr>
      <w:r>
        <w:rPr>
          <w:rFonts w:ascii="Times New Roman;serif" w:hAnsi="Times New Roman;serif"/>
          <w:b w:val="false"/>
          <w:color w:val="000000"/>
          <w:sz w:val="20"/>
        </w:rPr>
        <w:t>In accordance with the Accounting Standards Codification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our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its anticipated performance and all information that is reasonably available to us. Revenues are recognized when control of the promised services is transferred to customers in an amount that reflects the consideration we expect to be entitled to in exchange for those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describes revenue recognition for the fees we earn from providing services under our asset management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 statements of operations. Fund set-up fees replaced fund formation fees that are earned at a point in time at a fixed rate based on the amount of capital raised into certain managed funds.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Fund management fees are generally based on 1.0% to 1.5% of the unreturned capital contributions in a particular fund and include reimbursement for costs incurred on behalf of the fund, including an allocation of certain overhead costs. These customer contracts require us to provide management services, representing a performance obligation that we satisfy over time. With respect to CHT, we earn a fund management fee of 0.7% of CHT’s enterprise value and are reimbursed for certain costs incurred on behalf of CHT. These revenues are included in asset management revenues in the accompanying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Financing fees are earned for services we perform in securing third-party financing on behalf of our private equity real estate funds. These fees are recognized at the point in time when the performance under the contract is complete, which is essentially upon closing of a loan. In addition, we earn fees for guaranteeing certain loans, representing a performance obligation that we satisfy over time.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condensed consolidated statements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Brokerage fees are earned at a point in time at fixed rates for services performed related to acquisitions, dispositions, leasing, and financing transaction, and are included in asset management revenues in the accompanying condensed consolidated statements of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condensed consolidated statements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Digital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account for our digital assets in accordance with ASU 2023-08, </w:t>
      </w:r>
      <w:r>
        <w:rPr>
          <w:rFonts w:ascii="Times New Roman;serif" w:hAnsi="Times New Roman;serif"/>
          <w:b w:val="false"/>
          <w:i/>
          <w:color w:val="000000"/>
          <w:sz w:val="20"/>
        </w:rPr>
        <w:t>Accounting for and Disclosure of Crypto Assets</w:t>
      </w:r>
      <w:r>
        <w:rPr>
          <w:rFonts w:ascii="Times New Roman;serif" w:hAnsi="Times New Roman;serif"/>
          <w:b w:val="false"/>
          <w:color w:val="000000"/>
          <w:sz w:val="20"/>
        </w:rPr>
        <w:t xml:space="preserve">. ASU 2023-08 requires in-scope crypto assets (including our LINK holdings) to be measured at fair value in the statement of financial position, with gains and losses from changes in the fair value of such crypto assets recognized in net income (loss) each reporting period. ASU 2023-08 also requires certain interim and annual disclosures for crypto assets within the scope of the standard. We adopted this guidance effective September 9, 2025, upon the completion of our initial purchase of LINK as part of the inauguration of our digital asset treasury strategy.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initially record our LINK purchases at cost, with any subsequent changes in fair value recognized as incurred in the accompanying condensed consolidated statements of operations. The fair value of our LINK is adjusted and disclosed within the accompanying condensed consolidated balance sheets at the end of each reporting period. We determine the fair value of our LINK holdings in accordance with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xml:space="preserve">, based on quoted (unadjusted) prices on the Coinbase exchange, the active exchange that we have determined is our principal market for LINK (Level 1 inputs). A deferred tax asset or liability is recorded for subsequent changes in fair value of our digital assets, representing the temporary difference between the carrying amount and tax basis of the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our digital asset treasury strategy, our intent is to make consistent purchases of LINK over time, establishing a material position in LINK holdings within our treasury. In the event we opt to sell all or a portion of our LINK holdings, it will calculate the realized gain or loss recognized in the condensed consolidated statements of operations as the difference between the gross sales price and the carrying value of the LINK sold immediately prior to sale. We use the first-in, first-out method to identify which LINK tokens are deemed sold for purposes of determining cost basis, which is used for disclosure and tax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both"/>
        <w:rPr/>
      </w:pPr>
      <w:r>
        <w:rPr>
          <w:rFonts w:ascii="Times New Roman;serif" w:hAnsi="Times New Roman;serif"/>
          <w:b w:val="false"/>
          <w:color w:val="000000"/>
          <w:sz w:val="20"/>
        </w:rPr>
        <w:t xml:space="preserve">We account for income taxes under the asset and liability method in accordance with ASC 740, </w:t>
      </w:r>
      <w:r>
        <w:rPr>
          <w:rFonts w:ascii="Times New Roman;serif" w:hAnsi="Times New Roman;serif"/>
          <w:b w:val="false"/>
          <w:i/>
          <w:color w:val="000000"/>
          <w:sz w:val="20"/>
        </w:rPr>
        <w:t>Accounting for Income Taxes</w:t>
      </w:r>
      <w:r>
        <w:rPr>
          <w:rFonts w:ascii="Times New Roman;serif" w:hAnsi="Times New Roman;serif"/>
          <w:b w:val="false"/>
          <w:color w:val="000000"/>
          <w:sz w:val="20"/>
        </w:rPr>
        <w:t xml:space="preserve">.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valuation allowance is required to reduce the balance of a deferred tax asset if it is determined that it is more-likely-than-not that all or some portion of the deferred tax asset will not be realized due to the lack of sufficient taxable income or other limitation on our ability to utilize the loss carryforward.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the impact of an income tax position, if that position is more-likely-than-not of being sustained on audit, based on the technical merits of the position. Related interest and penalties are classified as income taxes in the financial statements.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Accounting Estimates of Consolidated Funds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the following critical accounting policies affect the consolidated funds’ more significant estimates and judgments used in the preparation of our consolidated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hospitality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May 2025, the Company deconsolidated DoubleTree by Hilton Tucson Convention Center (“TCC”), which was the only consolidated fund with hospitality revenues. Accordingly, following the deconsolidation of TCC, the Company no longer has hospitality revenue. The below policy applies to hospitality revenue recognized prior to the deconsolidation of TCC.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funds receive deposits for events and rooms. Such deposits are deferred and included in other liabilities on the accompanying consolidated balance sheets. The deposits are credited to consolidated funds – hospitality revenue when the specific event takes place.</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funds – other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funds - other revenue primarily consists of rental revenue of $1.1 million and $1.7 million for the three and six months ended June 30, 2026, respectively, and $0.2 million and $0.3 million for the three and six months ended June 30, 2025, respectively. Rental revenue includes the revenues generated primarily by the rental operations of the residential and commercial properties of our consolidated funds.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Consolidated Fund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Consolidated fund expenses consist primarily of costs, expenses and fees that are incurred by, or arise out of the operation and activities of or otherwise related to, the consolidated funds, including, without limitation, operating costs, depreciation and amortization, interest expense on debt held by the consolidated funds, insurance expenses, professional fees and other costs associated with administering and supporting those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jc w:val="both"/>
        <w:rPr/>
      </w:pPr>
      <w:r>
        <w:rPr>
          <w:rFonts w:ascii="Times New Roman;serif" w:hAnsi="Times New Roman;serif"/>
          <w:b w:val="false"/>
          <w:color w:val="000000"/>
          <w:sz w:val="20"/>
        </w:rPr>
        <w:t>The fair value of financial instruments is disclosed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The fair value of the consolidated funds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3. Quantitative and Qualitative Disclosures About Market Risk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Market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risk associated with financial instruments and derivative financial instruments is the risk of loss from adverse changes in market prices or interest rates. Our market risk arises primarily from volatility in the digital asset market relating to LINK tokens and interest rate risk relating to variable-rate borrowings.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Digital Asset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digital asset markets have experienced significant price volatility, limited liquidity and trading volumes relative to sovereign currency markets, a developing regulatory environment, and risks related to market abuse, manipulation, and compliance or internal control failures at exchanges. These risks are heightened by the electronic and decentralized nature of digital assets. During periods of market instability, we may be unable to sell our LINK tokens at favorable prices,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LINK held with custodians or transacted through trading partners are not subject to the protections available for cash or securities held with institutions regulated by the FDIC or the Securities Investor Protection Corporation. We may also be unable to obtain term loans or complete other capital-raising transactions using our unencumbered LINK holdings as collateral, particularly during periods of market stress or following significant declines in the price of LINK. If we are unable to transact in LINK, raise capital using LINK as collateral, or otherwise generate liquidity from our LINK holdings—and especially if we are required to sell LINK at a substantial loss to meet working capital requirements—our business and financial condition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LINK digital asset treasury strategy,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time-to-time,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debt included fixed-rate debt with a fair value and carrying value of $56.9 million and $61.9 million,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our debt included variable-rate debt with a fair value and carrying value of $48.8 million. The sensitivity analysis related to our variable-rate debt assumes an immediate 100 basis point move in interest rates from their June 30, 2026 levels, with all other variables held constant. A 100 basis point increase or decrease in variable interest rates on our variable-rate debt would increase or decrease our interest expense by $0.5 million annually.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of our revenues are generated from the management, ownership and/or operations of real estate assets located across the United States. We mitigate the associated risk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asset types, including hospitality, multi-family, and multi-tenant industrial;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multiple geographic locations including different markets and sub-markets in which our real estate assets are located;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maintaining financing relationships with a diversified mix of lenders (differing size and type), including large national banks, local community banks, private equity lenders, and insurance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4. Controls and Procedures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Acting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Rules 13a-15(b) and 15d-15(b) of the Exchange Act, management, under the supervision and with the participation of our Chief Executive Officer and Acting Chief Financial Officer, carried out an evaluation of the effectiveness of our disclosure controls and procedures as of June 30, 2026 and determined that the disclosure controls and procedures were effective at a reasonable assurance level as of that date.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 change occurred in our internal control over financial reporting (as defined in Rules 13a-15(f) and 15d-15(f) of the Exchange Act) during the three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1. Legal Proceedings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1A. Risk Factors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You should carefully consider the risk factors previously disclosed in the Risk Factors section in our annual report on Form 10-K filed with the SEC on March 26, 2026. In addition to the risks set forth in our Annual Report on Form 10-K for the year ended December 31, 2025, additional risks and uncertainties not currently known to us or that we currently deem to be immaterial may also materially and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April 14, 2026, the Company issued 1,707,930 shares of common stock in satisfaction of $1.9 million of outstanding unsecured corporate notes. The issuance of the common stock was not registered under the Securities Act of 1933, as amended, or any state securities laws, and was effected in reliance on the exemption from registration provided by Section 4(a)(2) of the Securities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20, 2026, the Company issued 63,472 shares of Class A common stock to an institutional investor upon the investor’s exercise of its option to convert 15,868 shares of Series B Preferred Stock into common stock. In September 2025, the Company entered into a securities purchase agreement with the investor, pursuant to which the Company issued 15,868 shares of Series B Preferred Stock to the investor. The shares of Series B Preferred Stock are convertible, at the holder’s option, at the conversion rate set forth in the securities purchase agreement. The issuance of the Series B Preferred Stock was not registered under the Securities Act of 1933, as amended, or any state securities laws, and was effected in reliance on the exemption from registration provided by Section 4(a)(2)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3. Defaults Upon Senior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1D1C1D"/>
          <w:sz w:val="20"/>
        </w:rPr>
      </w:pPr>
      <w:r>
        <w:rPr>
          <w:rFonts w:ascii="Times New Roman;serif" w:hAnsi="Times New Roman;serif"/>
          <w:b/>
          <w:color w:val="1D1C1D"/>
          <w:sz w:val="20"/>
        </w:rPr>
        <w:t>Item 4. Mine Safety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1D1C1D"/>
          <w:sz w:val="20"/>
        </w:rPr>
      </w:pPr>
      <w:r>
        <w:rPr>
          <w:rFonts w:ascii="Times New Roman;serif" w:hAnsi="Times New Roman;serif"/>
          <w:b/>
          <w:color w:val="1D1C1D"/>
          <w:sz w:val="20"/>
        </w:rPr>
        <w:t>Item 5. Other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 Trading Plans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officer (as defined in Rule 16a-1(f) of the Exchange Act)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Item 6. Exhibit Index</w:t>
      </w:r>
    </w:p>
    <w:tbl>
      <w:tblPr>
        <w:tblW w:w="10205" w:type="dxa"/>
        <w:jc w:val="left"/>
        <w:tblInd w:w="0" w:type="dxa"/>
        <w:tblLayout w:type="fixed"/>
        <w:tblCellMar>
          <w:top w:w="28" w:type="dxa"/>
          <w:left w:w="28" w:type="dxa"/>
          <w:bottom w:w="28" w:type="dxa"/>
          <w:right w:w="28" w:type="dxa"/>
        </w:tblCellMar>
      </w:tblPr>
      <w:tblGrid>
        <w:gridCol w:w="367"/>
        <w:gridCol w:w="322"/>
        <w:gridCol w:w="323"/>
        <w:gridCol w:w="109"/>
        <w:gridCol w:w="109"/>
        <w:gridCol w:w="109"/>
        <w:gridCol w:w="2706"/>
        <w:gridCol w:w="2537"/>
        <w:gridCol w:w="362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Certificate of Incorporation of CaliberCos Inc. (incorporated by reference to Exhibit 3.1 of CaliberCos Inc.’s Form 8-K filed with the SEC on May 19, 2023</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CaliberCos Inc. (incorporated by reference to Exhibit 3.2 of CaliberCos Inc.’s Form 8-K filed with the SEC on May 19, 2023)</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Designation, Preferences and Rights relating to the Series A Convertible Preferred Stock, dated November 26, 2024 (incorporated by reference to Exhibit 3.1 of CaliberCos Inc.’s Form 8-K filed with the SEC on December 4, 2024)</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Designation, Preferences and Rights relating to the Series AA Cumulative Redeemable Preferred Stock, dated March 5, 20245 (incorporated by reference to Exhibit 3.1 of CaliberCos Inc.’s Form 8-K filed with the SEC on March 11,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Certificate of Amendment to the Third Amended and Restated Certificate of Incorporation filed on April 23, 2025 (incorporated by reference to Exhibit 3.1 of CaliberCos Inc.’s Form 8-K filed with the SEC on April 25,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Certificate of Adoption of Bylaw Amendment (incorporated by reference to Exhibit 3.1 of CaliberCos Inc.’s Form 8-K filed with the SEC on June 20,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Certificate of Designation, Preferences and Rights relating to the Series B Convertible Preferred Stock, dated September 11, 2025 (incorporated by reference to Exhibit 3.1 of CaliberCos Inc.’s Form 8-K filed with the SEC on September 17,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Certificate of Amendment of Certificate of Incorporation (incorporated by reference to Exhibit 3.1 of CaliberCos Inc.’s Form 8-K filed with the SEC on February 5, 2026)</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Certificate of Amendment to the Certificate of Designation for the Company’s Series A Convertible Preferred Stock (incorporated by reference to Exhibit 3.1 of CaliberCos Inc.’s Form 8-K filed with the SEC on April 14, 2026)</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3.10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Certificate of Designation, Preferences and Rights relating to the Series AAA Convertible Preferred Stock, dated April 9, 2026 (incorporated by reference to Exhibit 3.2 of CaliberCos Inc.’s Form 8-K filed with the SEC on April 14, 2026)</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Description of Securities (incorporated by reference to Exhibit 4.1 of CaliberCos Inc.’s Form 10-K filed with the SEC on March 31,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Class A common stock Certificate (incorporated by reference to Exhibit 4.1 to the Registrant’s Registration Statement on Form S-1/A, filed with the SEC on October 28, 2022 (File No. 333-267657))</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Amended and Restated Stockholders’ Agreement dated March 22, 2023, by and among the Company, John C. Loeffler, Jennifer Schrader and Donnie Schrader (incorporated by reference to Exhibit 4.2 to the Registrant’s Registration Statement on Form S-1/A, filed with the SEC on March 22, 2023 (File No. 333-267657))</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4.3.1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Stock Purchase Agreement dated September 21, 2018, by and among the Company and Donnie Schrader (incorporated by reference to Exhibit 3.2 of CaliberCos Inc.’s offering statement on Form 1-A (File No.024-11016), filed with the SEC on June 13, 2019)</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Form of Warrant (incorporated by reference to Exhibit 4.1 of CaliberCos Inc.’s Form 8-K filed with the SEC on April 14,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Note (incorporated by reference to Exhibit 4.2 of CaliberCos Inc.’s Form 8-K filed with the SEC on April 14,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Representative’s Warrants (incorporated by reference to Exhibit 4.1 of CaliberCos Inc.’s Form 8-K filed with the SEC on April 17,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Rights Agreement, dated April 17, 2025, between the Company and Continental Stock Transfer &amp; Trust Company, as rights agent (incorporated by reference to Exhibit 4.2 of CaliberCos Inc.’s Form 8-K filed with the SEC on April 17, 2025)</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Subscription Agreement for Class A common stock (incorporated by reference to Exhibit 10.1 of CaliberCos Inc.’s Form 8-K filed with the SEC on April 14, 2026)</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Subscription Agreement for Series AAA Convertible Preferred Stock (incorporated by reference to Exhibit 10.2 of CaliberCos Inc.’s Form 8-K filed with the SEC on April 14, 2026)</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22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22026.htm">
              <w:r>
                <w:rPr>
                  <w:rStyle w:val="InternetLink"/>
                  <w:rFonts w:ascii="Times New Roman;serif" w:hAnsi="Times New Roman;serif"/>
                  <w:b w:val="false"/>
                  <w:color w:val="0000FF"/>
                  <w:sz w:val="20"/>
                  <w:u w:val="single"/>
                </w:rPr>
                <w:t>Certification of Principal Executive Officer Pursuant to Rules 13a-14(a) and 15d-14(a)</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2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22026.htm">
              <w:r>
                <w:rPr>
                  <w:rStyle w:val="InternetLink"/>
                  <w:rFonts w:ascii="Times New Roman;serif" w:hAnsi="Times New Roman;serif"/>
                  <w:b w:val="false"/>
                  <w:color w:val="0000FF"/>
                  <w:sz w:val="20"/>
                  <w:u w:val="single"/>
                </w:rPr>
                <w:t>Certification of Principal Financial Officer Pursuant to Rules 13a-14(a) and 15d-14(a)</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220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22026.htm">
              <w:r>
                <w:rPr>
                  <w:rStyle w:val="InternetLink"/>
                  <w:rFonts w:ascii="Times New Roman;serif" w:hAnsi="Times New Roman;serif"/>
                  <w:b w:val="false"/>
                  <w:color w:val="0000FF"/>
                  <w:sz w:val="20"/>
                  <w:u w:val="single"/>
                </w:rPr>
                <w:t>Certification of Principal Executive Officer Pursuant to 18 U.S.C. Section 1350</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22026.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22026.htm">
              <w:r>
                <w:rPr>
                  <w:rStyle w:val="InternetLink"/>
                  <w:rFonts w:ascii="Times New Roman;serif" w:hAnsi="Times New Roman;serif"/>
                  <w:b w:val="false"/>
                  <w:color w:val="0000FF"/>
                  <w:sz w:val="20"/>
                  <w:u w:val="single"/>
                </w:rPr>
                <w:t>Certification of Principal Financial Officer Pursuant to 18 U.S.C. Section 1350</w:t>
              </w:r>
            </w:hyperlink>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tbl>
      <w:tblPr>
        <w:tblW w:w="9446" w:type="dxa"/>
        <w:jc w:val="left"/>
        <w:tblInd w:w="0" w:type="dxa"/>
        <w:tblLayout w:type="fixed"/>
        <w:tblCellMar>
          <w:top w:w="28" w:type="dxa"/>
          <w:left w:w="28" w:type="dxa"/>
          <w:bottom w:w="28" w:type="dxa"/>
          <w:right w:w="28" w:type="dxa"/>
        </w:tblCellMar>
      </w:tblPr>
      <w:tblGrid>
        <w:gridCol w:w="342"/>
        <w:gridCol w:w="300"/>
        <w:gridCol w:w="302"/>
        <w:gridCol w:w="109"/>
        <w:gridCol w:w="109"/>
        <w:gridCol w:w="109"/>
        <w:gridCol w:w="2390"/>
        <w:gridCol w:w="2390"/>
        <w:gridCol w:w="339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and contained in Exhibit 101)</w:t>
            </w:r>
          </w:p>
        </w:tc>
      </w:tr>
    </w:tbl>
    <w:p>
      <w:pPr>
        <w:pStyle w:val="TextBody"/>
        <w:bidi w:val="0"/>
        <w:spacing w:before="0" w:after="0"/>
        <w:jc w:val="center"/>
        <w:rPr/>
      </w:pPr>
      <w:r>
        <w:rPr/>
      </w:r>
    </w:p>
    <w:tbl>
      <w:tblPr>
        <w:tblW w:w="4857" w:type="dxa"/>
        <w:jc w:val="center"/>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Pursuant to the requirements of the Securities Act of 1934, the registrant has duly caused this Quarterly Report on Form 10-Q to be signed on its behalf by the undersigned, thereunto duly authorized, in Scottsdale, Arizona, </w:t>
      </w:r>
      <w:r>
        <w:rPr>
          <w:rFonts w:ascii="Times New Roman;serif" w:hAnsi="Times New Roman;serif"/>
          <w:b w:val="false"/>
          <w:color w:val="000000"/>
          <w:sz w:val="20"/>
        </w:rPr>
        <w:t>on August 13, 2026.</w:t>
      </w:r>
    </w:p>
    <w:tbl>
      <w:tblPr>
        <w:tblW w:w="4463" w:type="dxa"/>
        <w:jc w:val="left"/>
        <w:tblInd w:w="0" w:type="dxa"/>
        <w:tblLayout w:type="fixed"/>
        <w:tblCellMar>
          <w:top w:w="28" w:type="dxa"/>
          <w:left w:w="28" w:type="dxa"/>
          <w:bottom w:w="28" w:type="dxa"/>
          <w:right w:w="28" w:type="dxa"/>
        </w:tblCellMar>
      </w:tblPr>
      <w:tblGrid>
        <w:gridCol w:w="124"/>
        <w:gridCol w:w="109"/>
        <w:gridCol w:w="109"/>
        <w:gridCol w:w="289"/>
        <w:gridCol w:w="289"/>
        <w:gridCol w:w="289"/>
        <w:gridCol w:w="948"/>
        <w:gridCol w:w="948"/>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required under the Securities Act of 1934, this Quarterly Report on Form 10-Q has been signed below by the following persons in the capacities and on the dates indicated:</w:t>
      </w:r>
    </w:p>
    <w:tbl>
      <w:tblPr>
        <w:tblW w:w="9008" w:type="dxa"/>
        <w:jc w:val="left"/>
        <w:tblInd w:w="0" w:type="dxa"/>
        <w:tblLayout w:type="fixed"/>
        <w:tblCellMar>
          <w:top w:w="28" w:type="dxa"/>
          <w:left w:w="28" w:type="dxa"/>
          <w:bottom w:w="28" w:type="dxa"/>
          <w:right w:w="28" w:type="dxa"/>
        </w:tblCellMar>
      </w:tblPr>
      <w:tblGrid>
        <w:gridCol w:w="676"/>
        <w:gridCol w:w="595"/>
        <w:gridCol w:w="603"/>
        <w:gridCol w:w="109"/>
        <w:gridCol w:w="109"/>
        <w:gridCol w:w="109"/>
        <w:gridCol w:w="1653"/>
        <w:gridCol w:w="1653"/>
        <w:gridCol w:w="1674"/>
        <w:gridCol w:w="109"/>
        <w:gridCol w:w="109"/>
        <w:gridCol w:w="109"/>
        <w:gridCol w:w="436"/>
        <w:gridCol w:w="436"/>
        <w:gridCol w:w="628"/>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Rosales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Acting Chief Financial Officer (</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Rosales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Vice-Chairperson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John C. Loeffler, II,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Rosales,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350"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62"/>
        <w:gridCol w:w="762"/>
        <w:gridCol w:w="108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Michael Rosales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Rosales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CaliberCos Inc. (the “Company”) on Form 10-Q, for the fiscal quarter ended June 30, 2026,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CaliberCos Inc. (the “Company”) on Form 10-Q, for the fiscal quarter ended June 30, 2026, as filed with the Securities and Exchange Commission on the date hereof (the “Report”), I, Michael Rosales, Acting Chief Financial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350"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62"/>
        <w:gridCol w:w="762"/>
        <w:gridCol w:w="108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Michael Rosales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Rosales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7282/000110465923062737/tm2316200d1_ex3-1.htm" TargetMode="External"/><Relationship Id="rId3" Type="http://schemas.openxmlformats.org/officeDocument/2006/relationships/hyperlink" Target="https://www.sec.gov/Archives/edgar/data/1627282/000110465923062737/tm2316200d1_ex3-1.htm" TargetMode="External"/><Relationship Id="rId4" Type="http://schemas.openxmlformats.org/officeDocument/2006/relationships/hyperlink" Target="https://www.sec.gov/Archives/edgar/data/1627282/000110465923062737/tm2316200d1_ex3-2.htm" TargetMode="External"/><Relationship Id="rId5" Type="http://schemas.openxmlformats.org/officeDocument/2006/relationships/hyperlink" Target="https://www.sec.gov/Archives/edgar/data/1627282/000110465923062737/tm2316200d1_ex3-2.htm" TargetMode="External"/><Relationship Id="rId6" Type="http://schemas.openxmlformats.org/officeDocument/2006/relationships/hyperlink" Target="https://www.sec.gov/ix?doc=/Archives/edgar/data/0001627282/000162728224000136/cwd-20241126.htm" TargetMode="External"/><Relationship Id="rId7" Type="http://schemas.openxmlformats.org/officeDocument/2006/relationships/hyperlink" Target="https://www.sec.gov/ix?doc=/Archives/edgar/data/0001627282/000162728224000136/cwd-20241126.htm" TargetMode="External"/><Relationship Id="rId8" Type="http://schemas.openxmlformats.org/officeDocument/2006/relationships/hyperlink" Target="https://www.sec.gov/ix?doc=/Archives/edgar/data/0001627282/000162728225000007/cwd-20250305.htm" TargetMode="External"/><Relationship Id="rId9" Type="http://schemas.openxmlformats.org/officeDocument/2006/relationships/hyperlink" Target="https://www.sec.gov/ix?doc=/Archives/edgar/data/0001627282/000162728225000007/cwd-20250305.htm" TargetMode="External"/><Relationship Id="rId10" Type="http://schemas.openxmlformats.org/officeDocument/2006/relationships/hyperlink" Target="https://www.sec.gov/Archives/edgar/data/1627282/000162728225000048/cert_ofxamendmentxrevers.htm" TargetMode="External"/><Relationship Id="rId11" Type="http://schemas.openxmlformats.org/officeDocument/2006/relationships/hyperlink" Target="https://www.sec.gov/Archives/edgar/data/1627282/000162728225000048/cert_ofxamendmentxrevers.htm" TargetMode="External"/><Relationship Id="rId12" Type="http://schemas.openxmlformats.org/officeDocument/2006/relationships/hyperlink" Target="https://www.sec.gov/Archives/edgar/data/1627282/000162728225000079/ex_31x061625certificateofa.htm" TargetMode="External"/><Relationship Id="rId13" Type="http://schemas.openxmlformats.org/officeDocument/2006/relationships/hyperlink" Target="https://www.sec.gov/Archives/edgar/data/1627282/000162728225000079/ex_31x061625certificateofa.htm" TargetMode="External"/><Relationship Id="rId14" Type="http://schemas.openxmlformats.org/officeDocument/2006/relationships/hyperlink" Target="https://www.sec.gov/Archives/edgar/data/1627282/000110465925090624/tm2526187d1_ex3-1.htm" TargetMode="External"/><Relationship Id="rId15" Type="http://schemas.openxmlformats.org/officeDocument/2006/relationships/hyperlink" Target="https://www.sec.gov/Archives/edgar/data/1627282/000110465925090624/tm2526187d1_ex3-1.htm" TargetMode="External"/><Relationship Id="rId16" Type="http://schemas.openxmlformats.org/officeDocument/2006/relationships/hyperlink" Target="https://www.sec.gov/Archives/edgar/data/1627282/000110465926011049/tm265412d1_ex3-1.htm" TargetMode="External"/><Relationship Id="rId17" Type="http://schemas.openxmlformats.org/officeDocument/2006/relationships/hyperlink" Target="https://www.sec.gov/Archives/edgar/data/1627282/000110465926011049/tm265412d1_ex3-1.htm" TargetMode="External"/><Relationship Id="rId18" Type="http://schemas.openxmlformats.org/officeDocument/2006/relationships/hyperlink" Target="https://www.sec.gov/Archives/edgar/data/1627282/000121390026043618/ea028624201ex3-1.htm" TargetMode="External"/><Relationship Id="rId19" Type="http://schemas.openxmlformats.org/officeDocument/2006/relationships/hyperlink" Target="https://www.sec.gov/Archives/edgar/data/1627282/000121390026043618/ea028624201ex3-1.htm" TargetMode="External"/><Relationship Id="rId20" Type="http://schemas.openxmlformats.org/officeDocument/2006/relationships/hyperlink" Target="https://www.sec.gov/Archives/edgar/data/1627282/000121390026043618/ea028624201ex3-2.htm" TargetMode="External"/><Relationship Id="rId21" Type="http://schemas.openxmlformats.org/officeDocument/2006/relationships/hyperlink" Target="https://www.sec.gov/Archives/edgar/data/1627282/000121390026043618/ea028624201ex3-2.htm" TargetMode="External"/><Relationship Id="rId22" Type="http://schemas.openxmlformats.org/officeDocument/2006/relationships/hyperlink" Target="https://www.sec.gov/Archives/edgar/data/1627282/000162728225000028/exhibit41-descriptionofsec.htm" TargetMode="External"/><Relationship Id="rId23" Type="http://schemas.openxmlformats.org/officeDocument/2006/relationships/hyperlink" Target="https://www.sec.gov/Archives/edgar/data/1627282/000162728225000028/exhibit41-descriptionofsec.htm" TargetMode="External"/><Relationship Id="rId24" Type="http://schemas.openxmlformats.org/officeDocument/2006/relationships/hyperlink" Target="https://www.sec.gov/Archives/edgar/data/1627282/000110465922112555/tm2228946d1_ex4-1.htm" TargetMode="External"/><Relationship Id="rId25" Type="http://schemas.openxmlformats.org/officeDocument/2006/relationships/hyperlink" Target="https://www.sec.gov/Archives/edgar/data/1627282/000110465922112555/tm2228946d1_ex4-1.htm" TargetMode="External"/><Relationship Id="rId26" Type="http://schemas.openxmlformats.org/officeDocument/2006/relationships/hyperlink" Target="https://www.sec.gov/Archives/edgar/data/1627282/000110465923035668/tm2230806d13_ex4-2.htm" TargetMode="External"/><Relationship Id="rId27" Type="http://schemas.openxmlformats.org/officeDocument/2006/relationships/hyperlink" Target="https://www.sec.gov/Archives/edgar/data/1627282/000110465923035668/tm2230806d13_ex4-2.htm" TargetMode="External"/><Relationship Id="rId28" Type="http://schemas.openxmlformats.org/officeDocument/2006/relationships/hyperlink" Target="https://www.sec.gov/Archives/edgar/data/1627282/000114420419030743/tv515450_ex3-2.htm" TargetMode="External"/><Relationship Id="rId29" Type="http://schemas.openxmlformats.org/officeDocument/2006/relationships/hyperlink" Target="https://www.sec.gov/Archives/edgar/data/1627282/000114420419030743/tv515450_ex3-2.htm" TargetMode="External"/><Relationship Id="rId30" Type="http://schemas.openxmlformats.org/officeDocument/2006/relationships/hyperlink" Target="https://www.sec.gov/Archives/edgar/data/1627282/000110465925034317/tm2512134d1_ex4-1.htm" TargetMode="External"/><Relationship Id="rId31" Type="http://schemas.openxmlformats.org/officeDocument/2006/relationships/hyperlink" Target="https://www.sec.gov/Archives/edgar/data/1627282/000110465925034317/tm2512134d1_ex4-1.htm" TargetMode="External"/><Relationship Id="rId32" Type="http://schemas.openxmlformats.org/officeDocument/2006/relationships/hyperlink" Target="https://www.sec.gov/Archives/edgar/data/1627282/000110465925034317/tm2512134d1_ex4-2.htm" TargetMode="External"/><Relationship Id="rId33" Type="http://schemas.openxmlformats.org/officeDocument/2006/relationships/hyperlink" Target="https://www.sec.gov/Archives/edgar/data/1627282/000110465925034317/tm2512134d1_ex4-2.htm" TargetMode="External"/><Relationship Id="rId34" Type="http://schemas.openxmlformats.org/officeDocument/2006/relationships/hyperlink" Target="https://www.sec.gov/Archives/edgar/data/1627282/000110465925035972/tm2512544d2_ex4-1.htm" TargetMode="External"/><Relationship Id="rId35" Type="http://schemas.openxmlformats.org/officeDocument/2006/relationships/hyperlink" Target="https://www.sec.gov/Archives/edgar/data/1627282/000110465925035972/tm2512544d2_ex4-1.htm" TargetMode="External"/><Relationship Id="rId36" Type="http://schemas.openxmlformats.org/officeDocument/2006/relationships/hyperlink" Target="https://www.sec.gov/Archives/edgar/data/1627282/000110465925035972/tm2512544d2_ex4-2.htm" TargetMode="External"/><Relationship Id="rId37" Type="http://schemas.openxmlformats.org/officeDocument/2006/relationships/hyperlink" Target="https://www.sec.gov/Archives/edgar/data/1627282/000110465925035972/tm2512544d2_ex4-2.htm" TargetMode="External"/><Relationship Id="rId38" Type="http://schemas.openxmlformats.org/officeDocument/2006/relationships/hyperlink" Target="https://www.sec.gov/Archives/edgar/data/1627282/000121390026043618/ea028624201ex10-1.htm" TargetMode="External"/><Relationship Id="rId39" Type="http://schemas.openxmlformats.org/officeDocument/2006/relationships/hyperlink" Target="https://www.sec.gov/Archives/edgar/data/1627282/000121390026043618/ea028624201ex10-1.htm" TargetMode="External"/><Relationship Id="rId40" Type="http://schemas.openxmlformats.org/officeDocument/2006/relationships/hyperlink" Target="https://www.sec.gov/Archives/edgar/data/1627282/000121390026043618/ea028624201ex10-2.htm" TargetMode="External"/><Relationship Id="rId41" Type="http://schemas.openxmlformats.org/officeDocument/2006/relationships/hyperlink" Target="https://www.sec.gov/Archives/edgar/data/1627282/000121390026043618/ea028624201ex10-2.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41186</Words>
  <Characters>229018</Characters>
  <CharactersWithSpaces>267466</CharactersWithSpaces>
  <Paragraphs>5089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