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001-41703</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CALIBERCOS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19"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471"/>
        <w:gridCol w:w="471"/>
        <w:gridCol w:w="471"/>
        <w:gridCol w:w="471"/>
        <w:gridCol w:w="471"/>
        <w:gridCol w:w="675"/>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83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295-7600 </w:t>
            </w:r>
          </w:p>
        </w:tc>
      </w:tr>
      <w:tr>
        <w:trPr/>
        <w:tc>
          <w:tcPr>
            <w:tcW w:w="83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72" w:type="dxa"/>
        <w:jc w:val="center"/>
        <w:tblInd w:w="0" w:type="dxa"/>
        <w:tblLayout w:type="fixed"/>
        <w:tblCellMar>
          <w:top w:w="28" w:type="dxa"/>
          <w:left w:w="28" w:type="dxa"/>
          <w:bottom w:w="28" w:type="dxa"/>
          <w:right w:w="28" w:type="dxa"/>
        </w:tblCellMar>
      </w:tblPr>
      <w:tblGrid>
        <w:gridCol w:w="1531"/>
        <w:gridCol w:w="1340"/>
        <w:gridCol w:w="1358"/>
        <w:gridCol w:w="559"/>
        <w:gridCol w:w="559"/>
        <w:gridCol w:w="561"/>
        <w:gridCol w:w="1102"/>
        <w:gridCol w:w="1102"/>
        <w:gridCol w:w="1560"/>
      </w:tblGrid>
      <w:tr>
        <w:trPr/>
        <w:tc>
          <w:tcPr>
            <w:tcW w:w="15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$0.001 par value per share </w:t>
            </w:r>
          </w:p>
        </w:tc>
        <w:tc>
          <w:tcPr>
            <w:tcW w:w="16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7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if the registrant is a well-known seasoned issuer, as defined in Rule 405 of the Securities Act.Yes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120" w:after="283"/>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w:t>
      </w:r>
      <w:r>
        <w:rPr>
          <w:color w:val="FFFFFF"/>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based on the closing price of the Class A Common Stock on The Nasdaq Capital Market on June 30, 2025, was approximately $2.4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7,053,062 shares of common stock, comprised of 6,682,240 shares of Class A Common Stock and 370,822 shares of Class B Common Stock of CaliberCos Inc. as of March 23, 2026.</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1"/>
        <w:gridCol w:w="3083"/>
        <w:gridCol w:w="3099"/>
        <w:gridCol w:w="149"/>
        <w:gridCol w:w="149"/>
        <w:gridCol w:w="214"/>
      </w:tblGrid>
      <w:tr>
        <w:trPr/>
        <w:tc>
          <w:tcPr>
            <w:tcW w:w="3511"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9">
              <w:r>
                <w:rPr>
                  <w:rStyle w:val="InternetLink"/>
                  <w:rFonts w:ascii="Times New Roman;serif" w:hAnsi="Times New Roman;serif"/>
                  <w:b w:val="false"/>
                  <w:color w:val="0000FF"/>
                  <w:sz w:val="20"/>
                  <w:u w:val="single"/>
                </w:rPr>
                <w:t>Forward-Looking Statements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9">
              <w:r>
                <w:rPr>
                  <w:rStyle w:val="InternetLink"/>
                  <w:rFonts w:ascii="Times New Roman;serif" w:hAnsi="Times New Roman;serif"/>
                  <w:b w:val="false"/>
                  <w:color w:val="0000FF"/>
                  <w:sz w:val="20"/>
                  <w:u w:val="single"/>
                </w:rPr>
                <w:t>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25">
              <w:r>
                <w:rPr>
                  <w:rStyle w:val="InternetLink"/>
                  <w:rFonts w:ascii="Times New Roman;serif" w:hAnsi="Times New Roman;serif"/>
                  <w:b w:val="false"/>
                  <w:color w:val="0000FF"/>
                  <w:sz w:val="20"/>
                  <w:u w:val="single"/>
                </w:rPr>
                <w:t>Item 1. Business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25">
              <w:r>
                <w:rPr>
                  <w:rStyle w:val="InternetLink"/>
                  <w:rFonts w:ascii="Times New Roman;serif" w:hAnsi="Times New Roman;serif"/>
                  <w:b w:val="false"/>
                  <w:color w:val="0000FF"/>
                  <w:sz w:val="20"/>
                  <w:u w:val="single"/>
                </w:rPr>
                <w:t>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28">
              <w:r>
                <w:rPr>
                  <w:rStyle w:val="InternetLink"/>
                  <w:rFonts w:ascii="Times New Roman;serif" w:hAnsi="Times New Roman;serif"/>
                  <w:b w:val="false"/>
                  <w:color w:val="0000FF"/>
                  <w:sz w:val="20"/>
                  <w:u w:val="single"/>
                </w:rPr>
                <w:t>Item 1A. Risk Factors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28">
              <w:r>
                <w:rPr>
                  <w:rStyle w:val="InternetLink"/>
                  <w:rFonts w:ascii="Times New Roman;serif" w:hAnsi="Times New Roman;serif"/>
                  <w:b w:val="false"/>
                  <w:color w:val="0000FF"/>
                  <w:sz w:val="20"/>
                  <w:u w:val="single"/>
                </w:rPr>
                <w:t>11</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31">
              <w:r>
                <w:rPr>
                  <w:rStyle w:val="InternetLink"/>
                  <w:rFonts w:ascii="Times New Roman;serif" w:hAnsi="Times New Roman;serif"/>
                  <w:b w:val="false"/>
                  <w:color w:val="0000FF"/>
                  <w:sz w:val="20"/>
                  <w:u w:val="single"/>
                </w:rPr>
                <w:t>Item 1B. Unresolved Staff Comments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31">
              <w:r>
                <w:rPr>
                  <w:rStyle w:val="InternetLink"/>
                  <w:rFonts w:ascii="Times New Roman;serif" w:hAnsi="Times New Roman;serif"/>
                  <w:b w:val="false"/>
                  <w:color w:val="0000FF"/>
                  <w:sz w:val="20"/>
                  <w:u w:val="single"/>
                </w:rPr>
                <w:t>35</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34">
              <w:r>
                <w:rPr>
                  <w:rStyle w:val="InternetLink"/>
                  <w:rFonts w:ascii="Times New Roman;serif" w:hAnsi="Times New Roman;serif"/>
                  <w:b w:val="false"/>
                  <w:color w:val="0000FF"/>
                  <w:sz w:val="20"/>
                  <w:u w:val="single"/>
                </w:rPr>
                <w:t>Item 1C. Cybersecurity</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34">
              <w:r>
                <w:rPr>
                  <w:rStyle w:val="InternetLink"/>
                  <w:rFonts w:ascii="Times New Roman;serif" w:hAnsi="Times New Roman;serif"/>
                  <w:b w:val="false"/>
                  <w:color w:val="0000FF"/>
                  <w:sz w:val="20"/>
                  <w:u w:val="single"/>
                </w:rPr>
                <w:t>35</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37">
              <w:r>
                <w:rPr>
                  <w:rStyle w:val="InternetLink"/>
                  <w:rFonts w:ascii="Times New Roman;serif" w:hAnsi="Times New Roman;serif"/>
                  <w:b w:val="false"/>
                  <w:color w:val="0000FF"/>
                  <w:sz w:val="20"/>
                  <w:u w:val="single"/>
                </w:rPr>
                <w:t>Item 2. Properties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37">
              <w:r>
                <w:rPr>
                  <w:rStyle w:val="InternetLink"/>
                  <w:rFonts w:ascii="Times New Roman;serif" w:hAnsi="Times New Roman;serif"/>
                  <w:b w:val="false"/>
                  <w:color w:val="0000FF"/>
                  <w:sz w:val="20"/>
                  <w:u w:val="single"/>
                </w:rPr>
                <w:t>37</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40">
              <w:r>
                <w:rPr>
                  <w:rStyle w:val="InternetLink"/>
                  <w:rFonts w:ascii="Times New Roman;serif" w:hAnsi="Times New Roman;serif"/>
                  <w:b w:val="false"/>
                  <w:color w:val="0000FF"/>
                  <w:sz w:val="20"/>
                  <w:u w:val="single"/>
                </w:rPr>
                <w:t>Item 3. Legal Proceedings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40">
              <w:r>
                <w:rPr>
                  <w:rStyle w:val="InternetLink"/>
                  <w:rFonts w:ascii="Times New Roman;serif" w:hAnsi="Times New Roman;serif"/>
                  <w:b w:val="false"/>
                  <w:color w:val="0000FF"/>
                  <w:sz w:val="20"/>
                  <w:u w:val="single"/>
                </w:rPr>
                <w:t>37</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43">
              <w:r>
                <w:rPr>
                  <w:rStyle w:val="InternetLink"/>
                  <w:rFonts w:ascii="Times New Roman;serif" w:hAnsi="Times New Roman;serif"/>
                  <w:b w:val="false"/>
                  <w:color w:val="0000FF"/>
                  <w:sz w:val="20"/>
                  <w:u w:val="single"/>
                </w:rPr>
                <w:t>Item 4. Mine Safety Disclosures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43">
              <w:r>
                <w:rPr>
                  <w:rStyle w:val="InternetLink"/>
                  <w:rFonts w:ascii="Times New Roman;serif" w:hAnsi="Times New Roman;serif"/>
                  <w:b w:val="false"/>
                  <w:color w:val="0000FF"/>
                  <w:sz w:val="20"/>
                  <w:u w:val="single"/>
                </w:rPr>
                <w:t>37</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49">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49">
              <w:r>
                <w:rPr>
                  <w:rStyle w:val="InternetLink"/>
                  <w:rFonts w:ascii="Times New Roman;serif" w:hAnsi="Times New Roman;serif"/>
                  <w:b w:val="false"/>
                  <w:color w:val="0000FF"/>
                  <w:sz w:val="20"/>
                  <w:u w:val="single"/>
                </w:rPr>
                <w:t>38</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52">
              <w:r>
                <w:rPr>
                  <w:rStyle w:val="InternetLink"/>
                  <w:rFonts w:ascii="Times New Roman;serif" w:hAnsi="Times New Roman;serif"/>
                  <w:b w:val="false"/>
                  <w:color w:val="0000FF"/>
                  <w:sz w:val="20"/>
                  <w:u w:val="single"/>
                </w:rPr>
                <w:t>Item 6. Reserved</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52">
              <w:r>
                <w:rPr>
                  <w:rStyle w:val="InternetLink"/>
                  <w:rFonts w:ascii="Times New Roman;serif" w:hAnsi="Times New Roman;serif"/>
                  <w:b w:val="false"/>
                  <w:color w:val="0000FF"/>
                  <w:sz w:val="20"/>
                  <w:u w:val="single"/>
                </w:rPr>
                <w:t>38</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55">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55">
              <w:r>
                <w:rPr>
                  <w:rStyle w:val="InternetLink"/>
                  <w:rFonts w:ascii="Times New Roman;serif" w:hAnsi="Times New Roman;serif"/>
                  <w:b w:val="false"/>
                  <w:color w:val="0000FF"/>
                  <w:sz w:val="20"/>
                  <w:u w:val="single"/>
                </w:rPr>
                <w:t>39</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00">
              <w:r>
                <w:rPr>
                  <w:rStyle w:val="InternetLink"/>
                  <w:rFonts w:ascii="Times New Roman;serif" w:hAnsi="Times New Roman;serif"/>
                  <w:b w:val="false"/>
                  <w:color w:val="0000FF"/>
                  <w:sz w:val="20"/>
                  <w:u w:val="single"/>
                </w:rPr>
                <w:t>Item 7A. Quantitative and Qualitative Disclosures About Market Risk</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00">
              <w:r>
                <w:rPr>
                  <w:rStyle w:val="InternetLink"/>
                  <w:rFonts w:ascii="Times New Roman;serif" w:hAnsi="Times New Roman;serif"/>
                  <w:b w:val="false"/>
                  <w:color w:val="0000FF"/>
                  <w:sz w:val="20"/>
                  <w:u w:val="single"/>
                </w:rPr>
                <w:t>60</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03">
              <w:r>
                <w:rPr>
                  <w:rStyle w:val="InternetLink"/>
                  <w:rFonts w:ascii="Times New Roman;serif" w:hAnsi="Times New Roman;serif"/>
                  <w:b w:val="false"/>
                  <w:color w:val="0000FF"/>
                  <w:sz w:val="20"/>
                  <w:u w:val="single"/>
                </w:rPr>
                <w:t>Item 8. Financial Statements and Supplementary Data</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03">
              <w:r>
                <w:rPr>
                  <w:rStyle w:val="InternetLink"/>
                  <w:rFonts w:ascii="Times New Roman;serif" w:hAnsi="Times New Roman;serif"/>
                  <w:b w:val="false"/>
                  <w:color w:val="0000FF"/>
                  <w:sz w:val="20"/>
                  <w:u w:val="single"/>
                </w:rPr>
                <w:t>61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06">
              <w:r>
                <w:rPr>
                  <w:rStyle w:val="InternetLink"/>
                  <w:rFonts w:ascii="Times New Roman;serif" w:hAnsi="Times New Roman;serif"/>
                  <w:b w:val="false"/>
                  <w:color w:val="0000FF"/>
                  <w:sz w:val="20"/>
                  <w:u w:val="single"/>
                </w:rPr>
                <w:t>Item 9. Changes in and Disagreements With Accountants on Accounting and Financial Disclosures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06">
              <w:r>
                <w:rPr>
                  <w:rStyle w:val="InternetLink"/>
                  <w:rFonts w:ascii="Times New Roman;serif" w:hAnsi="Times New Roman;serif"/>
                  <w:b w:val="false"/>
                  <w:color w:val="0000FF"/>
                  <w:sz w:val="20"/>
                  <w:u w:val="single"/>
                </w:rPr>
                <w:t>61</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09">
              <w:r>
                <w:rPr>
                  <w:rStyle w:val="InternetLink"/>
                  <w:rFonts w:ascii="Times New Roman;serif" w:hAnsi="Times New Roman;serif"/>
                  <w:b w:val="false"/>
                  <w:color w:val="0000FF"/>
                  <w:sz w:val="20"/>
                  <w:u w:val="single"/>
                </w:rPr>
                <w:t>Item 9A. Controls and Procedures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09">
              <w:r>
                <w:rPr>
                  <w:rStyle w:val="InternetLink"/>
                  <w:rFonts w:ascii="Times New Roman;serif" w:hAnsi="Times New Roman;serif"/>
                  <w:b w:val="false"/>
                  <w:color w:val="0000FF"/>
                  <w:sz w:val="20"/>
                  <w:u w:val="single"/>
                </w:rPr>
                <w:t>61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12">
              <w:r>
                <w:rPr>
                  <w:rStyle w:val="InternetLink"/>
                  <w:rFonts w:ascii="Times New Roman;serif" w:hAnsi="Times New Roman;serif"/>
                  <w:b w:val="false"/>
                  <w:color w:val="0000FF"/>
                  <w:sz w:val="20"/>
                  <w:u w:val="single"/>
                </w:rPr>
                <w:t>Item 9B. Other Information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12">
              <w:r>
                <w:rPr>
                  <w:rStyle w:val="InternetLink"/>
                  <w:rFonts w:ascii="Times New Roman;serif" w:hAnsi="Times New Roman;serif"/>
                  <w:b w:val="false"/>
                  <w:color w:val="0000FF"/>
                  <w:sz w:val="20"/>
                  <w:u w:val="single"/>
                </w:rPr>
                <w:t>61</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15">
              <w:r>
                <w:rPr>
                  <w:rStyle w:val="InternetLink"/>
                  <w:rFonts w:ascii="Times New Roman;serif" w:hAnsi="Times New Roman;serif"/>
                  <w:b w:val="false"/>
                  <w:color w:val="0000FF"/>
                  <w:sz w:val="20"/>
                  <w:u w:val="single"/>
                </w:rPr>
                <w:t>Item 9C. Disclosure Regarding Foreign Jurisdiction That Prevent Inspections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15">
              <w:r>
                <w:rPr>
                  <w:rStyle w:val="InternetLink"/>
                  <w:rFonts w:ascii="Times New Roman;serif" w:hAnsi="Times New Roman;serif"/>
                  <w:b w:val="false"/>
                  <w:color w:val="0000FF"/>
                  <w:sz w:val="20"/>
                  <w:u w:val="single"/>
                </w:rPr>
                <w:t>62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21">
              <w:r>
                <w:rPr>
                  <w:rStyle w:val="InternetLink"/>
                  <w:rFonts w:ascii="Times New Roman;serif" w:hAnsi="Times New Roman;serif"/>
                  <w:b w:val="false"/>
                  <w:color w:val="0000FF"/>
                  <w:sz w:val="20"/>
                  <w:u w:val="single"/>
                </w:rPr>
                <w:t>Item 10. Directors, Executive Officers and Corporate Governance</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21">
              <w:r>
                <w:rPr>
                  <w:rStyle w:val="InternetLink"/>
                  <w:rFonts w:ascii="Times New Roman;serif" w:hAnsi="Times New Roman;serif"/>
                  <w:b w:val="false"/>
                  <w:color w:val="0000FF"/>
                  <w:sz w:val="20"/>
                  <w:u w:val="single"/>
                </w:rPr>
                <w:t>63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24">
              <w:r>
                <w:rPr>
                  <w:rStyle w:val="InternetLink"/>
                  <w:rFonts w:ascii="Times New Roman;serif" w:hAnsi="Times New Roman;serif"/>
                  <w:b w:val="false"/>
                  <w:color w:val="0000FF"/>
                  <w:sz w:val="20"/>
                  <w:u w:val="single"/>
                </w:rPr>
                <w:t>Item 11. Executive Compensation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24">
              <w:r>
                <w:rPr>
                  <w:rStyle w:val="InternetLink"/>
                  <w:rFonts w:ascii="Times New Roman;serif" w:hAnsi="Times New Roman;serif"/>
                  <w:b w:val="false"/>
                  <w:color w:val="0000FF"/>
                  <w:sz w:val="20"/>
                  <w:u w:val="single"/>
                </w:rPr>
                <w:t>63</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27">
              <w:r>
                <w:rPr>
                  <w:rStyle w:val="InternetLink"/>
                  <w:rFonts w:ascii="Times New Roman;serif" w:hAnsi="Times New Roman;serif"/>
                  <w:b w:val="false"/>
                  <w:color w:val="0000FF"/>
                  <w:sz w:val="20"/>
                  <w:u w:val="single"/>
                </w:rPr>
                <w:t>Item 12. Security Ownership of Certain Beneficial Owner and Management and Related Stockholder Matters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27">
              <w:r>
                <w:rPr>
                  <w:rStyle w:val="InternetLink"/>
                  <w:rFonts w:ascii="Times New Roman;serif" w:hAnsi="Times New Roman;serif"/>
                  <w:b w:val="false"/>
                  <w:color w:val="0000FF"/>
                  <w:sz w:val="20"/>
                  <w:u w:val="single"/>
                </w:rPr>
                <w:t>63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30">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30">
              <w:r>
                <w:rPr>
                  <w:rStyle w:val="InternetLink"/>
                  <w:rFonts w:ascii="Times New Roman;serif" w:hAnsi="Times New Roman;serif"/>
                  <w:b w:val="false"/>
                  <w:color w:val="0000FF"/>
                  <w:sz w:val="20"/>
                  <w:u w:val="single"/>
                </w:rPr>
                <w:t>63</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33">
              <w:r>
                <w:rPr>
                  <w:rStyle w:val="InternetLink"/>
                  <w:rFonts w:ascii="Times New Roman;serif" w:hAnsi="Times New Roman;serif"/>
                  <w:b w:val="false"/>
                  <w:color w:val="0000FF"/>
                  <w:sz w:val="20"/>
                  <w:u w:val="single"/>
                </w:rPr>
                <w:t>Item 14. Principal Accounting Fees and Services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33">
              <w:r>
                <w:rPr>
                  <w:rStyle w:val="InternetLink"/>
                  <w:rFonts w:ascii="Times New Roman;serif" w:hAnsi="Times New Roman;serif"/>
                  <w:b w:val="false"/>
                  <w:color w:val="0000FF"/>
                  <w:sz w:val="20"/>
                  <w:u w:val="single"/>
                </w:rPr>
                <w:t>63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39">
              <w:r>
                <w:rPr>
                  <w:rStyle w:val="InternetLink"/>
                  <w:rFonts w:ascii="Times New Roman;serif" w:hAnsi="Times New Roman;serif"/>
                  <w:b w:val="false"/>
                  <w:color w:val="0000FF"/>
                  <w:sz w:val="20"/>
                  <w:u w:val="single"/>
                </w:rPr>
                <w:t>Item 15. Exhibits, Financial Statement Schedules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39">
              <w:r>
                <w:rPr>
                  <w:rStyle w:val="InternetLink"/>
                  <w:rFonts w:ascii="Times New Roman;serif" w:hAnsi="Times New Roman;serif"/>
                  <w:b w:val="false"/>
                  <w:color w:val="0000FF"/>
                  <w:sz w:val="20"/>
                  <w:u w:val="single"/>
                </w:rPr>
                <w:t>64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42">
              <w:r>
                <w:rPr>
                  <w:rStyle w:val="InternetLink"/>
                  <w:rFonts w:ascii="Times New Roman;serif" w:hAnsi="Times New Roman;serif"/>
                  <w:b w:val="false"/>
                  <w:color w:val="0000FF"/>
                  <w:sz w:val="20"/>
                  <w:u w:val="single"/>
                </w:rPr>
                <w:t>Item 16. Form 10-K Summary</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42">
              <w:r>
                <w:rPr>
                  <w:rStyle w:val="InternetLink"/>
                  <w:rFonts w:ascii="Times New Roman;serif" w:hAnsi="Times New Roman;serif"/>
                  <w:b w:val="false"/>
                  <w:color w:val="0000FF"/>
                  <w:sz w:val="20"/>
                  <w:u w:val="single"/>
                </w:rPr>
                <w:t>67</w:t>
              </w:r>
            </w:hyperlink>
          </w:p>
        </w:tc>
      </w:tr>
      <w:tr>
        <w:trPr/>
        <w:tc>
          <w:tcPr>
            <w:tcW w:w="969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45">
              <w:r>
                <w:rPr>
                  <w:rStyle w:val="InternetLink"/>
                  <w:rFonts w:ascii="Times New Roman;serif" w:hAnsi="Times New Roman;serif"/>
                  <w:b w:val="false"/>
                  <w:color w:val="0000FF"/>
                  <w:sz w:val="20"/>
                  <w:u w:val="single"/>
                </w:rPr>
                <w:t>Signatures</w:t>
              </w:r>
            </w:hyperlink>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hyperlink w:anchor="id7a0a8ff96e74680b49ca273e8b89a22_145">
              <w:r>
                <w:rPr>
                  <w:rStyle w:val="InternetLink"/>
                  <w:rFonts w:ascii="Times New Roman;serif" w:hAnsi="Times New Roman;serif"/>
                  <w:b w:val="false"/>
                  <w:color w:val="0000FF"/>
                  <w:sz w:val="20"/>
                  <w:u w:val="single"/>
                </w:rPr>
                <w:t>68</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48">
              <w:r>
                <w:rPr>
                  <w:rStyle w:val="InternetLink"/>
                  <w:rFonts w:ascii="Times New Roman;serif" w:hAnsi="Times New Roman;serif"/>
                  <w:b w:val="false"/>
                  <w:color w:val="0000FF"/>
                  <w:sz w:val="20"/>
                  <w:u w:val="single"/>
                </w:rPr>
                <w:t>Index to Consolidated Financial Statements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48">
              <w:r>
                <w:rPr>
                  <w:rStyle w:val="InternetLink"/>
                  <w:rFonts w:ascii="Times New Roman;serif" w:hAnsi="Times New Roman;serif"/>
                  <w:b w:val="false"/>
                  <w:color w:val="000080"/>
                  <w:sz w:val="20"/>
                  <w:u w:val="singl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report, the term “Company” refers to CaliberCos Inc. and its wholly-owned subsidiaries. The “Consolidated Funds” refers to the Companies consolidated variable interest entities. The “Consolidated Company”, “Caliber”, “we”, “us”, and “our” refers to the Company and the Consolidated Funds collectively.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1D1C1D"/>
          <w:sz w:val="20"/>
        </w:rPr>
      </w:pPr>
      <w:r>
        <w:rPr>
          <w:rFonts w:ascii="Times New Roman;serif" w:hAnsi="Times New Roman;serif"/>
          <w:b/>
          <w:color w:val="1D1C1D"/>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00" w:after="283"/>
        <w:jc w:val="both"/>
        <w:rPr/>
      </w:pPr>
      <w:r>
        <w:rPr>
          <w:rFonts w:ascii="Times New Roman;serif" w:hAnsi="Times New Roman;serif"/>
          <w:b w:val="false"/>
          <w:color w:val="000000"/>
          <w:sz w:val="20"/>
        </w:rPr>
        <w:t>Over the past 16 years, we have grown into a leading diversified alternative asset management firm, with more than $2.6 billion in Managed Assets, comprised of $0.8 billion of assets under management (“AUM”) and $1.9 billion of assets under development (“AUD”).</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an alternative asset manager investing across real and digital assets. We sponsor and manage private real estate investment funds and maintain a digital asset treasury strategy focused on blockchain infrastructure assets. Our primary goal is to drive shareholder value by enhancing the wealth of accredited investor clients seeking to make investments in real and digital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we formally adopted a Board-approved digital asset treasury policy (the “Treasury Reserve Policy”) under which we accumulate and manage digital infrastructure assets, starting with Chainlink tokens (“LINK”). The digital asset treasury strategy is designed to complement our core real estate investment platform by providing exposure to blockchain-based financial infrastructure and generating yield through staking activities. Digital asset treasury income may consist of staking rewards and other income derived from treasury digital asset holdings. While our real estate platform remains our core business, we believe exposure to digital infrastructure assets positions us for the long-term evolution of tokenized real-world asset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multi-family residential and multi-tenant industrial assets, we are regionally focused on growth-oriented markets, namely Arizona, Colorado and Texas. For our hospitality platform, we invest throughout the United States with a specific focus on markets that have experienced population and job growth in recent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competitive advantage is driven by several elements of our platform: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combination of an institutional-grade investment management platform with boutique, middle-market fund sizes and real estate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in-house shared services group, which offers greater operational control and visibility into investment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in-house fundraising infrastructure, allowing us to serve a broad range of investors and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middle-market in two ways. First, by the size of investments. We typically pursue projects between $5.0 million and $50.0 million per asset. Second, by the size of the investment funds. We typically offer approximately $200.0 million for a multi-asset discretionary fund and $5.0 million to $20.0 million for a single asset syndication. In addition, we are building the Caliber Hospitality Trust (“CHT”), a middle-market hotel investment company utilizing the UPREIT strategy, with expectations that CHT may seek a public listing if its assets under management exceed $1.0 billion.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an alternative asset manager, we offer a full suite of support services and employ a vertically integrated approach to investment management. Our asset management activities are complemented by transaction and advisory services, including development and construction management, acquisition and disposition services, brokerage activities, and fund formation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 Management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earn the following fees from providing these services under our asset management platform (the “Platform”):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Organizational and offering fees include fund set-up fees earned during the initial formation, administration, and set-up of fund products we distribute and manage. These fees are recognized at a point in time when performance obligations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Fund management fees are generally based on 1.0% to 1.5% of the unreturned capital contributions in a particular fund and include reimbursement for certain costs incurred on behalf of the fund. These customer contracts require us to provide management services, that represent performance obligations satisfied over time. With respect to CHT, we earn a fund management fee of 0.7% of CHT’s enterprise value and are reimbursed for certain costs incurred on its behalf.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Financing fees are earned for securing third-party financing on behalf of our private equity real estate funds and are recognized at a point in time upon loan closing. We may also earn fees for guaranteeing certain loans, which are recognized over time.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Real estate development revenues are generally based on two fee-based contracts, not to exceed an aggregate of 6%.</w:t>
      </w:r>
      <w:r>
        <w:rPr>
          <w:color w:val="000000"/>
        </w:rPr>
        <w:t xml:space="preserve"> </w:t>
      </w:r>
      <w:r>
        <w:rPr>
          <w:rFonts w:ascii="Times New Roman;serif" w:hAnsi="Times New Roman;serif"/>
          <w:b w:val="false"/>
          <w:color w:val="000000"/>
          <w:sz w:val="20"/>
        </w:rPr>
        <w:t>The first, a real estate development contract that provides for up to 4.0% of the total expected costs of the development and is paid for services performed by Caliber Development, LLC as the principal developer of our projects.</w:t>
      </w:r>
      <w:r>
        <w:rPr>
          <w:color w:val="000000"/>
        </w:rPr>
        <w:t xml:space="preserve"> </w:t>
      </w:r>
      <w:r>
        <w:rPr>
          <w:rFonts w:ascii="Times New Roman;serif" w:hAnsi="Times New Roman;serif"/>
          <w:b w:val="false"/>
          <w:color w:val="000000"/>
          <w:sz w:val="20"/>
        </w:rPr>
        <w:t>These services may include obtaining new entitlements or zoning changes and managing and supervising third-party developers.</w:t>
      </w:r>
      <w:r>
        <w:rPr>
          <w:color w:val="000000"/>
        </w:rPr>
        <w:t xml:space="preserve"> </w:t>
      </w:r>
      <w:r>
        <w:rPr>
          <w:rFonts w:ascii="Times New Roman;serif" w:hAnsi="Times New Roman;serif"/>
          <w:b w:val="false"/>
          <w:color w:val="000000"/>
          <w:sz w:val="20"/>
        </w:rPr>
        <w:t>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Brokerage fees are earned at fixed rates for services related to acquisitions, dispositions, leasing and financing transactions and are recognized at a point in time when services are completed.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Performance Allocations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allocations represent our contractual share of investment returns generated within the investment funds we manage. We typically receive 15.0% to 35.0% of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Preferred returns across our funds generally range from 6.0% to 12.0%.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recognized in accordance with generally accepted accounting principles in the United States of America (“U.S. GAAP”) when it is determined that they are no longer probable of significant reversal, which generally occurs upon close of asset sales or refinancings. Many alternative asset managers qualify for investment company accounting which renders comparability to our financial performance difficult. Annually, we re-evaluate our conclusions regarding the application of investment company accounting. Under investment company accounting, among other adjustments, we would recognize the portion of any performance allocations earned in the year as unrealized gains and losses. Given the vertical nature of our business and the significant activities we generate revenue on, we do not qualify for investment company accounting. However, if we were to qualify, we would have recognized approximately $16.3 million in unrealized gains in the current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inherently variable and depend on asset-level performance and realization events. There can be no assurance that projected performance allocations will be realized.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$2.6 billion in Managed Assets, comprised of AUM and AUD. AUD includes development, redevelopment, construction, and entitlement projects that are underway or in planning stages. This category includes projects to be built on undeveloped land, including projects under contract for purchase by our 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are actively developing 1,796 multifamily units, 697 single family units, 3.7 million square feet of commercial and industrial space, and 3.5 million square feet of office and retail space. If these projects are completed, total capitalized costs are currently estimated to be $1.9 billion, and are expected to be funded through a combination of undeployed fund cash, third-party equity, project sales, tax credit financing and secured debt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Completing these development activities may ultimately result in income-producing assets, assets we may sell to third parties, or both. If we complete all AUD at December 31, 2025, up through sale, we estimate the Company could earn $104.2 million in performance allocations.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The development of these assets requires significant additional financing and are subject to market conditions, entitlement risks, construction risks and access to capital. Similarly, total costs to complete a project could change or the future selling price could be different than projected, thus there is no assurance that performance allocations will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Digital Asset Treasury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digital asset treasury strategy is governed by formal policies adopted by our Board of Directors. The strategy is intended to: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exposure to blockchain infrastructure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Generate staking yield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Align our treasury strategy with technological infrastructure supporting tokenized asset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Complement our real asset investment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evaluating potential applications of blockchain technology within our real estate investment platform, including initiatives designed to improve operational efficiency, investor servicing, and accessibility. These efforts may include the tokenization of real-world assets, such as real estate projects and fund interests, to facilitate fractional ownership, enhance liquidity, and streamline investor reporting and fund administration. We also believe that tokenized offerings may represent an additional capital formation channel, enabling us to reach a broader base of global investors through compliant, blockchain-enabled investment structures.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are subject to significant market volatility, regulatory uncertainty, technological risk and custodial considerations. We maintain internal controls and governance procedures designed to manage these risks; however, there can be no assurance that digital asset holdings will not experience material fluctuations in value.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i/>
          <w:color w:val="000000"/>
          <w:sz w:val="20"/>
        </w:rPr>
      </w:pPr>
      <w:r>
        <w:rPr>
          <w:rFonts w:ascii="Times New Roman;serif" w:hAnsi="Times New Roman;serif"/>
          <w:b w:val="false"/>
          <w:i/>
          <w:color w:val="000000"/>
          <w:sz w:val="20"/>
        </w:rPr>
        <w:t>Digital Asset Treasury Holdings</w:t>
      </w:r>
    </w:p>
    <w:p>
      <w:pPr>
        <w:pStyle w:val="TextBody"/>
        <w:bidi w:val="0"/>
        <w:spacing w:before="0" w:after="0"/>
        <w:ind w:left="0" w:right="0" w:firstLine="18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digital asset treasury is currently comprised of only LINK. We currently do not have a specific target for the amount or type of digital asset holdings we intend to acquire and hold.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further discussed below, our digital asset treasury holds LINK solely on the Ethereum blockchain.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Chainlink and LINK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Chainlink enables smart contracts to interact with external data, offchain computation, and systems across blockchains through decentralized oracle infrastructure. Chainlink services are powered by Decentralized Oracle Networks (“DONs”), which consist of multiple independent node operators that aggregate data, computations, and reports before delivering results onchain. Different DONs can perform different predefined tasks, including providing attestations regarding offchain data or real-world events.</w:t>
      </w:r>
    </w:p>
    <w:p>
      <w:pPr>
        <w:pStyle w:val="TextBody"/>
        <w:bidi w:val="0"/>
        <w:spacing w:before="0" w:after="0"/>
        <w:ind w:left="0" w:right="0" w:firstLine="18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LINK is the native token of the Chainlink network. It is used to pay for Chainlink services, including oracle and related network services, and it is also used in Chainlink Staking to support security and enable eligible participants to earn rewards. LINK is an ERC-677 compatible token originally deployed on Ethereum. LINK may also be transferred across supported chains using the Chainlink Cross-Chain Interoperability Protocol (“CCIP”) and CCIP-powered applications.</w:t>
      </w:r>
    </w:p>
    <w:p>
      <w:pPr>
        <w:pStyle w:val="TextBody"/>
        <w:bidi w:val="0"/>
        <w:spacing w:before="0" w:after="0"/>
        <w:ind w:left="0" w:right="0" w:firstLine="18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Chainlink Staking Activities and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generate staking and other revenue from participating in the Chainlink ecosystem through being Community Stakers (as discussed below). We intend to allocate a significant portion of our LINK holdings to be staked through certain limited node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operators. Management estimates it may earn a net yield of approximately 3% to 9% annualized, based upon internal estimates of the potential to stake our LINK treasury.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Chainlink Staking is a security mechanism designed to enhance the security and reliability of Chainlink’s oracle services. In Chainlink Staking, node operators (“Node Operator Stakers”) and community members (“Community Stakers”) stake (i.e., lock up) LINK in exchange for receiving staking rewards.</w:t>
      </w:r>
    </w:p>
    <w:p>
      <w:pPr>
        <w:pStyle w:val="TextBody"/>
        <w:bidi w:val="0"/>
        <w:spacing w:before="0" w:after="0"/>
        <w:ind w:left="0" w:right="0" w:firstLine="18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Staking reward rates vary because a fixed amount of rewards are made available to the staking protocol (currently v0.2) per unit of time, regardless of how much aggregate LINK is staked in the protocol.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Community Stakers earn base rewards for securing the network by staking LINK, and they can earn additional rewards through additional activities, including by providing timely and valid alerts about DON performance. Automatically, Community Stakers have their stake delegated to Node Operator Stakers (without the operators taking control of such staked LINK), and 4% of Community Staker rewards are directed to the operators as a Delegation Reward in exchange for performing oracle computation on behalf of Community Stakers.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Node Operator Stakers also earn base rewards for securing the network and performing oracle computation, with their rewards supplemented by the Delegation Rewards as discussed above, which are made available to Node Operator Stakers proportionally based on the amount each operator stakes.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Attributed Rewards are earned by stakers during their participation in staking, which are composed of “Claimable Rewards” and “Locked Rewards”. Claimable Rewards can be claimed by stakers at any time without penalty. Locked Rewards turn into Claimable Rewards over a period of time known as the ramp-up period. The ramp-up period is a 90-day period, tracked individually for each staker, that starts at 0% when a staker first stakes and linearly increases to 100% of the possible reward rate. The percentage of claimable Attributed Rewards is proportional to the amount of time spent in the ramp-up period. When unstaking LINK before the full ramp-up period has been completed, any Locked Rewards turn into “Forfeited Rewards”, which are forfeited and become available for all stakers in the same category.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Chainlink Staking v0.2 offers increased security by supporting the ability to slash (forfeit) a portion of staked LINK by Node Operator Stakers who help power oracle services secured by staking. Community Stakers, and Node Operator Stakers only serving oracle services not secured by staking, will not be at risk of slashing.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Coinbase Prime, the institutional product of Coinbase Custody Trust Company, LLC (“Coinbase Custody”), to trade, custody, stake and manage our digital assets. Of our LINK, Coinbase Prime holds approximately 100% in hot wallets. Coinbase Custody is chartered as a limited purpose trust company by the New York State Department of Financial Services. 100% of our LINK holdings are custodied by Coinbase Custody, and none of our LINK were staked as of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and Expected Digital Asset Treasury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held 562,535 LINK with a cost basis of $12.6 million and a fair value of $6.8 million. All LINK were acquired during the year ended December 31, 2025, and the Company has not sold any of its LINK holdings as of that date.</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Investment Process and Risk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 rigorous investment process across all our funds. Each fund has investment policies and procedures that generally contain investment parameters and requirements, such as limitations relating to the types of assets, industries or geographic regions in which the fund will invest. An investment committee reviews and evaluates investment opportunities in a framework that includes a qualitative and quantitative assessment of the key opportunities and risks of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professionals are responsible for the full life cycle of an investment, from evaluation, through execution, to exit. Investment professionals generally submit investment opportunities for review and approval by our investment committee. The investment committee is comprised of members of our executive and senior leadership teams. When evaluating investment opportunities, the investment committee may consider, without limitation and depending on the nature of the investment and its strategy, the quality of the asset in which the fund proposes to invest, likely exit strategies, factors that could reduce the value of the asset at exit, and a range of economic and interest rate environments, macroeconomic trends in the relevant geographic region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or industry and the quality of the asset’s business operations. Our investment committee also incorporates, to the extent appropriate, environmental, social and governance factors into the investment decision-making process.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Existing investments are reviewed and monitored on a regular basis by investment and asset management professionals. In addition, our investment professionals and asset managers work directly with our portfolio companies’ directors, executives and managers to drive operational efficiencies and growth.</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Capital Invested In and Alongside Our Investment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further align our interests with those of investors in our investment funds, we have invested our own capital and that of certain of our personnel in the investment funds that we sponsor and manage. Minimum general partner capital commitments to our investment funds are determined separately with respect to each of our investment funds and, generally, are less than 5% of the limited partner commitments of any particular fund. We determine whether to make general partner capital commitments to our funds in excess of the minimum required commitments based on, among other things, our anticipated liquidity, working capital and other capital needs.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$20.1 million invested alongside our fund investors in the form of equity positions, short-term loans, and receivables. This represents 3.9% of our Managed Capital of $517.2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Investors in many of our funds also receive the opportunity to make additional “co-investments” with the investment funds. Our employees and we also have the opportunity to make investments, in or alongside our funds and other vehicles we manage, in some instances without being subject to management fees, carried interest or incentive fees. In certain cases, limited partner investors may pay additional management fees or carried interest in connection with such co-investments.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real estate asset management industry is intensely competitive. We compete primarily on a regional, industry and asset class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compete for investment opportunities based on a variety of factors, including breadth of market coverage and relationships, access to capital, transaction execution skills, the range of products and services offered, innovation, and price.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alternative investment industry is highly competitive. Many of our competitors have greater financial resources and a broader market presence than we do. We compete with respect to:</w:t>
      </w:r>
    </w:p>
    <w:p>
      <w:pPr>
        <w:pStyle w:val="TextBody"/>
        <w:bidi w:val="0"/>
        <w:spacing w:lineRule="auto" w:line="288" w:before="200" w:after="283"/>
        <w:ind w:left="0" w:right="0" w:hanging="270"/>
        <w:jc w:val="both"/>
        <w:rPr/>
      </w:pPr>
      <w:r>
        <w:rPr>
          <w:color w:val="000000"/>
        </w:rPr>
        <w:t>•</w:t>
      </w:r>
      <w:r>
        <w:rPr>
          <w:rFonts w:ascii="Times New Roman;serif" w:hAnsi="Times New Roman;serif"/>
          <w:b w:val="false"/>
          <w:color w:val="000000"/>
          <w:sz w:val="20"/>
        </w:rPr>
        <w:t>Competitive fee structures on our asset management services; and</w:t>
      </w:r>
    </w:p>
    <w:p>
      <w:pPr>
        <w:pStyle w:val="TextBody"/>
        <w:bidi w:val="0"/>
        <w:spacing w:lineRule="auto" w:line="288" w:before="200" w:after="283"/>
        <w:ind w:left="0" w:right="0" w:hanging="270"/>
        <w:jc w:val="both"/>
        <w:rPr/>
      </w:pPr>
      <w:r>
        <w:rPr>
          <w:color w:val="000000"/>
        </w:rPr>
        <w:t>•</w:t>
      </w:r>
      <w:r>
        <w:rPr>
          <w:rFonts w:ascii="Times New Roman;serif" w:hAnsi="Times New Roman;serif"/>
          <w:b w:val="false"/>
          <w:color w:val="000000"/>
          <w:sz w:val="20"/>
        </w:rPr>
        <w:t>Diversification of our revenue stream across the deal continuum, including asset management revenues which include brokerage fees on buying and selling assets, construction management fees on repositioning assets, fund set up fees for the initial formation, administration, and set-up of fund products we distribute and manage.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Strategy and Competitive Strengths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manage and administer investment vehicles that allow investors to diversify their holdings into asset classes that would not be readily accessible to them otherwise. We typically distribute cash to fund investors where there is either: (i) sufficient distributable cash derived from the income of our investments (rents, etc.) or (ii) a capital event, such as a sale of an asset or a cash-out refinance. Our approach is to offer investors, and their wealth managers, products managed by a team aligned with their success. We believe our competitive strengths include:</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Extensive relationship and sourcing network.</w:t>
      </w:r>
      <w:r>
        <w:rPr>
          <w:color w:val="000000"/>
        </w:rPr>
        <w:t> </w:t>
      </w:r>
      <w:r>
        <w:rPr>
          <w:rFonts w:ascii="Times New Roman;serif" w:hAnsi="Times New Roman;serif"/>
          <w:b w:val="false"/>
          <w:color w:val="000000"/>
          <w:sz w:val="20"/>
        </w:rPr>
        <w:t>We leverage our relationships in order to source deals for our funds. In addition, our management has extensive relationships with major industry participants in each of the markets in which we currently operate. Their local presence and reputation in these markets enables them to cultivate key relationships with major holders of property inventory, in particular, financial institutions, throughout the real estate community.</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Targeted market opportunities.</w:t>
      </w:r>
      <w:r>
        <w:rPr>
          <w:color w:val="000000"/>
        </w:rPr>
        <w:t> </w:t>
      </w:r>
      <w:r>
        <w:rPr>
          <w:rFonts w:ascii="Times New Roman;serif" w:hAnsi="Times New Roman;serif"/>
          <w:b w:val="false"/>
          <w:color w:val="000000"/>
          <w:sz w:val="20"/>
        </w:rPr>
        <w:t>We primarily focus on business and investment-friendly markets that have a long-term trend of population growth and income improvement, in particular focus on Alaska, Arizona, Colorado, Kansas, Texas, and Virginia. We generally avoid engaging in direct competition in over-regulated and saturated markets.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Structuring expertise and speed of execution.</w:t>
      </w:r>
      <w:r>
        <w:rPr>
          <w:color w:val="000000"/>
        </w:rPr>
        <w:t> </w:t>
      </w:r>
      <w:r>
        <w:rPr>
          <w:rFonts w:ascii="Times New Roman;serif" w:hAnsi="Times New Roman;serif"/>
          <w:b w:val="false"/>
          <w:color w:val="000000"/>
          <w:sz w:val="20"/>
        </w:rPr>
        <w:t>We believe we have developed a reputation of being able to quickly execute, as well as originate and creatively structure acquisitions, dispositions and financing transactions. We have experience in a variety of investment strategies, including direct property investments, joint ventures, participating loans and investments in performing and non-performing mortgages with the objective of long-term ownership.</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Vertically integrated platform for operational enhancement.</w:t>
      </w:r>
      <w:r>
        <w:rPr>
          <w:color w:val="000000"/>
        </w:rPr>
        <w:t> </w:t>
      </w:r>
      <w:r>
        <w:rPr>
          <w:rFonts w:ascii="Times New Roman;serif" w:hAnsi="Times New Roman;serif"/>
          <w:b w:val="false"/>
          <w:color w:val="000000"/>
          <w:sz w:val="20"/>
        </w:rPr>
        <w:t>We believe in a hands-on approach to real estate investing and possess local expertise in brokerage, development management, and investment sales, which we believe enable us to invest successfully in select submarkets. Our goal is to optimize the use of in-house services for high margin, low volume tasks while using third-party services for high volume, low margin tasks.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Focus on the middle market.</w:t>
      </w:r>
      <w:r>
        <w:rPr>
          <w:color w:val="000000"/>
        </w:rPr>
        <w:t> </w:t>
      </w:r>
      <w:r>
        <w:rPr>
          <w:rFonts w:ascii="Times New Roman;serif" w:hAnsi="Times New Roman;serif"/>
          <w:b w:val="false"/>
          <w:color w:val="000000"/>
          <w:sz w:val="20"/>
        </w:rPr>
        <w:t>We believe our focus on middle market opportunities offers our investors significant alternatives to active, equity investing. This focus has allowed us to offer a diversified range of alternative investment opportunities, particularly for accredited investors.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Risk protection and investment discipline.</w:t>
      </w:r>
      <w:r>
        <w:rPr>
          <w:color w:val="000000"/>
        </w:rPr>
        <w:t> </w:t>
      </w:r>
      <w:r>
        <w:rPr>
          <w:rFonts w:ascii="Times New Roman;serif" w:hAnsi="Times New Roman;serif"/>
          <w:b w:val="false"/>
          <w:color w:val="000000"/>
          <w:sz w:val="20"/>
        </w:rPr>
        <w:t>We underwrite our investments based upon an examination of investment economics and an understanding of market dynamics and risk management strategies. We conduct an in-depth sensitivity analysis on each of our fund investments. This analysis applies various economic scenarios that include, where appropriate, changes to rental rates, absorption periods, operating expenses, interest rates, exit values and holding periods.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aim to continue building wealth for our investors by expanding our business with the following strategies: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Organic growth with our existing high net worth investor base.</w:t>
      </w:r>
      <w:r>
        <w:rPr>
          <w:color w:val="000000"/>
        </w:rPr>
        <w:t> </w:t>
      </w:r>
      <w:r>
        <w:rPr>
          <w:rFonts w:ascii="Times New Roman;serif" w:hAnsi="Times New Roman;serif"/>
          <w:b w:val="false"/>
          <w:color w:val="000000"/>
          <w:sz w:val="20"/>
        </w:rPr>
        <w:t>We estimate that we currently service less than 1.0% of the current high net worth investor base in the United States. Using our established direct sales method, we intend to attract additional high net worth individuals to expand our number of customers and our assets under management.</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Expansion into additional distribution channels</w:t>
      </w:r>
      <w:r>
        <w:rPr>
          <w:rFonts w:ascii="Times New Roman;serif" w:hAnsi="Times New Roman;serif"/>
          <w:b w:val="false"/>
          <w:color w:val="000000"/>
          <w:sz w:val="20"/>
        </w:rPr>
        <w:t>. We intend to expand our recent, early success in accessing institutional channels by further expanding our fundraising activities directed to registered investment advisers (“RIA”), broker-dealers, family offices, and boutique institutions.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New funds and platforms.</w:t>
      </w:r>
      <w:r>
        <w:rPr>
          <w:color w:val="000000"/>
        </w:rPr>
        <w:t xml:space="preserve"> </w:t>
      </w:r>
      <w:r>
        <w:rPr>
          <w:rFonts w:ascii="Times New Roman;serif" w:hAnsi="Times New Roman;serif"/>
          <w:b w:val="false"/>
          <w:color w:val="000000"/>
          <w:sz w:val="20"/>
        </w:rPr>
        <w:t>We intend to grow our AUM by expanding the number of available funds and platforms. We will look for complementary products and vehicles that utilize our existing vertically integrated infrastructure to allow us to continue to capture attractive risk-adjusted returns. These areas of investment could include private debt, venture capital and private equity. We expect these new funds and platforms will attract new investors, in addition to leveraging our existing investor base.</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UPREIT Strategies.</w:t>
      </w:r>
      <w:r>
        <w:rPr>
          <w:color w:val="000000"/>
        </w:rPr>
        <w:t xml:space="preserve"> </w:t>
      </w:r>
      <w:r>
        <w:rPr>
          <w:rFonts w:ascii="Times New Roman;serif" w:hAnsi="Times New Roman;serif"/>
          <w:b w:val="false"/>
          <w:color w:val="000000"/>
          <w:sz w:val="20"/>
        </w:rPr>
        <w:t>We intend to utilize the UPREIT structure, starting with CHT, to grow our AUM through tax-efficient asset acquisitions which can be completed primarily in shares in the UPREIT we manage instead of traditional cash debt and equity. We expect to leverage our operating infrastructure as an external advisor to the UPREIT entity(s) we manage to avoid duplicating costs of running additional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Accretive acquisitions</w:t>
      </w:r>
      <w:r>
        <w:rPr>
          <w:rFonts w:ascii="Times New Roman;serif" w:hAnsi="Times New Roman;serif"/>
          <w:b w:val="false"/>
          <w:color w:val="000000"/>
          <w:sz w:val="20"/>
        </w:rPr>
        <w:t>. We plan to evaluate potential accretive acquisition opportunities to further grow our business. These acquisitions could include opportunities to expand our distribution capabilities, product offerings or geographic reach.</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committed to operating according to our core principles: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Authenticity &amp; Transparency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Vision &amp; Agility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Compassion &amp;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employees are integral to our culture and our primary real estate objective, to produce and manage real estate investments that our insiders own and invest in. Our employees adhere to our core principles leading to our continued success as an organization. Our professionals have decades of institutional experience in commercial, real estate, capital markets, alternative investments, and mergers and acquisitions. We give our employees the opportunities to develop their skills and encourage them to collaborate to achieve success.</w:t>
      </w:r>
    </w:p>
    <w:p>
      <w:pPr>
        <w:pStyle w:val="TextBody"/>
        <w:bidi w:val="0"/>
        <w:spacing w:lineRule="auto" w:line="288" w:before="200" w:after="283"/>
        <w:jc w:val="both"/>
        <w:rPr/>
      </w:pPr>
      <w:r>
        <w:rPr>
          <w:rFonts w:ascii="Times New Roman;serif" w:hAnsi="Times New Roman;serif"/>
          <w:b w:val="false"/>
          <w:color w:val="000000"/>
          <w:sz w:val="20"/>
        </w:rPr>
        <w:t>As of December 31, 2025, we h</w:t>
      </w:r>
      <w:r>
        <w:rPr>
          <w:rFonts w:ascii="Times New Roman;serif" w:hAnsi="Times New Roman;serif"/>
          <w:b w:val="false"/>
          <w:color w:val="000000"/>
          <w:sz w:val="20"/>
          <w:shd w:fill="FFFFFF" w:val="clear"/>
        </w:rPr>
        <w:t xml:space="preserve">ad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 xml:space="preserve">employees.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of our em</w:t>
      </w:r>
      <w:r>
        <w:rPr>
          <w:rFonts w:ascii="Times New Roman;serif" w:hAnsi="Times New Roman;serif"/>
          <w:b w:val="false"/>
          <w:color w:val="000000"/>
          <w:sz w:val="20"/>
        </w:rPr>
        <w:t>ployees are currently covered by a collective bargaining agreement.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Talent Acquisition, Development and Retention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face intense competition for qualified personnel. We believe the talent of our employees, in association with our rigorous investment process, has supported our growth and investment performance over the past decade. We are focused on hiring, training, and developing the skills and careers of our people. We provide opportunities for growth and development for our employees and support their personal and professional goals in an effort to retain the most talented individuals.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opportunities we provide in conjunction with our reputation is what we believe makes us an attractive employer. We seek to retain and incentivize the performance of our employees through our compensation structure. We enter into non-competition and non-solicitation agreements with certain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we offer a differentiated platform for employees to join our business as one of the only boutique, publicly listed real estate asset manages in the United States.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compensation strategy is designed to attract qualified talent, retain team members, and stay competitive within the talent market. We continually evaluate our compensation structure to ensure it aligns with the market and continues to be an attractive component of joining our team. Compensation includes incentives for individual performance as well as overall success in meeting our goals. We believe these additional incentives encourage team members to perform at a high level.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provide our team members with competitive health and retirement offerings, as well as a variety of quality-of-life benefits, including flexible time-off, an employee assistance program at no cost to the employee, a match for retirement plan contribution, tuition reimbursement, and overall support for well-being and family planning resources.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Regulatory and Compliance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businesses, as well as the financial services industry generally, are subject to extensive regulation, including periodic examinations, by governmental agencies and self-regulatory organizations or exchanges in the jurisdictions in which we operate relating to, among other things, anti-money laundering laws, and privacy laws with respect to client information, and some of our funds invest in businesses that operate in highly regulated industries. Each of the regulatory bodies with jurisdiction over us oversee many aspects of financial services, including the authority to grant, and in specific circumstances to revoke, permissions to engage in particular activities. Any failure to comply with these rules and regulations could expose us to liability and/or reputational damage. The SEC and various self-regulatory organizations, state securities regulators, and international securities regulators have in recent years increased their regulatory activities, including regulation, examination, and enforcement in respect of asset management firms. Additional legislation, increasing regulatory oversight of fundraising activities, changes in rules promulgated by self-regulatory organizations or exchanges or changes in the interpretation or enforcement of existing laws and rules may directly affect our mode of operation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to conduct our operations so that neither we nor any subsidiaries we own nor ones we may establish will be required to register as an investment company under the Investment Company Act of 1940, as amended (“Investment Company Act”). The loss of our exclusion from regulation pursuant to the Investment Company Act could require us to restructure our operations, sell certain of our assets, or abstain from the purchase of certain assets, which could have an adverse effect on our financial condition and results of operations. If we were deemed an “investment company” under the Investment Company Act, applicable restrictions could make it impractical for us to continue our business as conducted and could have a material adverse effect on our business.</w:t>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Website and Available Information</w:t>
      </w:r>
    </w:p>
    <w:p>
      <w:pPr>
        <w:pStyle w:val="TextBody"/>
        <w:bidi w:val="0"/>
        <w:spacing w:lineRule="auto" w:line="288" w:before="200" w:after="283"/>
        <w:jc w:val="both"/>
        <w:rPr>
          <w:rFonts w:ascii="Times New Roman;serif" w:hAnsi="Times New Roman;serif"/>
          <w:b w:val="false"/>
          <w:color w:val="1D1C1D"/>
          <w:sz w:val="20"/>
        </w:rPr>
      </w:pPr>
      <w:r>
        <w:rPr>
          <w:rFonts w:ascii="Times New Roman;serif" w:hAnsi="Times New Roman;serif"/>
          <w:b w:val="false"/>
          <w:color w:val="1D1C1D"/>
          <w:sz w:val="20"/>
        </w:rPr>
        <w:t>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www.caliberco.com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pStyle w:val="TextBody"/>
        <w:bidi w:val="0"/>
        <w:spacing w:lineRule="auto" w:line="288" w:before="200" w:after="283"/>
        <w:jc w:val="both"/>
        <w:rPr>
          <w:rFonts w:ascii="Times New Roman;serif" w:hAnsi="Times New Roman;serif"/>
          <w:b w:val="false"/>
          <w:color w:val="1D1C1D"/>
          <w:sz w:val="20"/>
        </w:rPr>
      </w:pPr>
      <w:r>
        <w:rPr>
          <w:rFonts w:ascii="Times New Roman;serif" w:hAnsi="Times New Roman;serif"/>
          <w:b w:val="false"/>
          <w:color w:val="1D1C1D"/>
          <w:sz w:val="20"/>
        </w:rPr>
        <w:t>We are an electronic filer. The SEC maintains an internet website at www.sec.gov that contains reports, proxy and information statements and other information regarding issuers, such as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1A. Risk Factors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and investors should carefully consider the following risk factors, as well as the other information in this Annual Report on Form 10-K, in evaluating us and our business. If any of the following risks actually occurs, our business, results of operations and financial condition could be materially adversely affected. In this case, the trading price of our Class A common stock would likely decline, and investors might lose part or all their investment in our Class A common stock.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principal risks that could materially affect our business, financial condition, results of operations, and stock price. This summary highlights key risks but does not address all potential risks. Further, this summary should be read together with the text of the risk factors and set forth immediately after the summary, and both the summary and text of the risk factors should be read together with the other information set forth in this report, including our consolidated financial statements and the related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depends in large part on our ability to raise capital for our funds from investors. If we were unable to raise such capital, we may be unable to grow our asset management revenues. The inability to deploy such capital into investments, may materially reduce our revenues and cash flows and adversely affect our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prevailing interest rates may reduce our profitability, and we may not be able to adequately anticipate and respond to changes in market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Inflation can have an adverse impact on our business and on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trade policies and tariffs imposed by the United States government and the governments of other nations may have a material adverse effect on our business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the pace of growth or size of investment made by our funds may adversely affect our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revenue, earnings, net income, and cash flows can all vary materially, which may make it difficult for us to achieve steady earnings growth on a quarterly basis and may cause the price of our Class A common stock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could lose part or all of our investments, which could have a material adverse effect on our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an amount of total liabilities which may be considered significant for a company of our size which could adversely affect our financial condition and our ability to react to changes in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to service all of our debt or refinance our obligations and may be forced to take other actions to satisfy our obligations under such indebtedness, which may not be successful.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historical returns attributable to our funds should not be considered as indicative of the future results of our funds or of our future results or of any returns expected on an investment in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litigation risks and may face liabilities and damage to our professional reputation as a result of investment decisions on behalf of investors in our funds.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of any joint venture partners that we may have could reduce the returns on joint venture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 parties to operate and to develop certain of our properties may harm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relevant tax laws, regulations, treaties, or an adverse interpretation of these items by tax authorities could adversely impact our effective tax rate and tax liability.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Conflicts of interest exist between us and related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management activities may adversely affect the return on our funds’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real estate funds are subject to the risks inherent in the ownership, development, and operation of real estate.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Investments by our investment funds may rank junior to investments made by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Rapid growth of our businesses may be difficult to sustain and may place significant demands on our administrative, operational, and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our founders, senior professionals, and other key personnel, and our ability to retain them and attract additional qualified personnel is critical to our success and our growth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expand into new investment strategies, geographic markets and businesses, each of which may result in additional risks and uncertainties in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successful in competing with companies in the asset management industry and alternative investment industries, some of which may have substantially greater resources than we do.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unable to maintain and protect our intellectual property, or if third parties assert that we infringe their intellectual property rights, our business could suffer.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Security risks and attacks are common, increasing globally, and may result in significant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sufficiently secure our business and services may result in unauthorized access to investor data, a negative impact on our investor attraction and retention, and significant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various cloud service providers operated by third parties, and any service outages, delays, or disruptions in these operations could harm our business and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unable to implement and maintain effective internal control over financial reporting in the future, investors may lose confidence in the accuracy and completeness of our financial reports and the market price of our Class A common stock may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consolidation of investment funds or operating businesses of our portfolio companies could make it more difficult to understand our operating performance and could create operational risks for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Bylaws have an exclusive forum for adjudication of disputes provision which limits the forum to the Delaware Court of Chancery for certain stockholder litigation matters actions against us, which may limit an investor’s ability to seek what they regard as a favorable judicial forum for disputes with us or its directors, officers, employees, or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were deemed to be an “investment company” under the Investment Company Act, applicable restrictions could make it impractical for us to continue our businesses as conducted and could have a material adverse effect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Extensive regulation of our businesses affects our activities and creates the potential for significant liabilities and penalties. The possibility of increased regulatory focus could result in additional burdens on our business. Changes in tax law and other legislative or regulatory changes could adversely affect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our executive officers, which will limit your ability to influence the outcome of important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maintain a listing of our Class A common stock on Nasdaq.</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share price has in the past and may in the future fluctuate substantially.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sales and issuances of our Class A common stock or rights to purchase Class A common stock, including pursuant to our equity incentive plans, could result in additional dilution of the percentage ownership of our stockholders and could cause the stock price of our Class A common stock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disclosure controls and procedures may not prevent or detect all errors or acts of fraud.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implement and maintain an effective system of internal control, we may be unable to accurately report our operating results, meet our reporting obligations, or prevent fraud.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 “controlled company” within the meaning of the listing rules of Nasdaq and, as a result, can rely on exemptions from certain corporate governance requirements that provide protection to stockholders of other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securities or industry analysts do not publish research or publish unfavorable research about our business, our stock price and trading volume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never paid dividends on our common stock, and we do not intend to pay dividends for the foreseeable future. Consequently, any gains from an investment in our Class A common stock will likely depend on whether the price of our common stock increases.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charter documents and Delaware law and the voting control exercised by our founders could prevent a takeover that stockholders consider favorable and could also reduce the market price of our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financial results and the market price of our common stock may be affected by the price of LINK.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LINK holdings are less liquid than our existing cash and cash equivalents and may not be able to serve as a source of liquidity for us to the same extent as cash and cash equivalents.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Treasury Reserve Policy is new and has not been tested over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were deemed to be an “investment company” under the Investment Company Act, the applicable restrictions could make it impractical for us to continue our businesses as conducted and could have a material adverse effect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additional tax liability if regulation or policy changes adversely affect the tax treatment of rewards from staking LINK.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may face operational, technological, and security risks related to the acquisition and custody of our LINK holdings,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the loss of private keys required to access our LINK holdings and smart contract related losses and vulnerabilities.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suffer losses due to our staking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irreversibility of digital asset transactions exposes us to risks of theft, loss and human error, which could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change in use of proceeds from our ELOC facility to include digital asset acquisitions may increase risk and reduce liquidity.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Treasury Reserve Policy exposes us to risk of non-performance by counterparties.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digital asset treasury strategy could create complications with third party service providers, such as insurance companies, banking entities and auditors, which could have a materially adverse impact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Technological obsolescence and competition could adversely affect the value of LINK.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emergence or growth of other digital assets or other technologies, including those with significant private or public sector backing, could have a negative impact on the price of LINK and, consequently, adversely affect the market price of our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due diligence procedures conducted by us and our liquidity providers to mitigate transaction risk may fail to prevent transactions with a sanctioned entity.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launch of central bank digital currencies (“CBDCs”) may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Intellectual property disputes related to the open-source structure of digital asset networks expose us to risks related to software development, security vulnerabilities and potential disruptions to digital asset technology could threaten our ability to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depends in large part on our ability to raise capital for our funds from investors. If we were unable to raise such capital, we may be unable to grow our asset management revenues. The inability to deploy such capital into investments, may materially reduce our revenues and cash flows and adversely affect our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depend on the capital markets to grow our AUM and we depend on third-party equity and debt financings to acquire properties for our funds. We intend to continue to raise a significant amount of equity and debt to acquire various alternative investments for our funds in the ordinary course of our business. Our debt financing depends on a combination of seller financing, the assumption of existing loans, government agencies, and financial institutions. We depend on equity financing from equity partners, which may include public or private companies, pension funds, family offices, financial institutions, endowments, high net worth individuals, and money managers. Our access to capital funding for our funds is uncertain. Our inability to raise additional capital for our funds on terms reasonably acceptable to us could jeopardize the future growth of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raise capital from investors in our funds depends on several factors, including many that are outside our control. Investors may downsize their investment allocations to alternative asset managers, including private funds and hedge funds, to rebalance a disproportionate weighting of their overall investment portfolio among asset classes. Poor performance of our funds could also make it more difficult for us to raise new capital. Our investors and potential investors continually assess our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independently and relative to market benchmarks and our competitors, and our ability to raise capital for existing and future funds depends on our funds’ performance. The financial markets are affected by many factors, such as U.S. and foreign economic conditions and general trends in business and finance that are beyond our control, which could be adversely affected by changes in the equity or debt marketplaces, unanticipated changes in currency exchange rates, interest rates, inflation rates, the yield curve, financial crises, changes in regulation, war, terrorism, natural disasters and other factors that are difficult to predict. The markets continue to be affected by inflation in the United States, global health pandemics, the imposition of sanctions and the escalation of hostilities between Russia and Ukraine, the Israel-Hamas conflict and the United States, Israel and Iran. In the event that the U.S. or international financial markets suffer a severe or prolonged downturn or increased volatility, our funds’ investments may lose value and investors may choose to withdraw assets from our funds and use the assets to pay expenses or transfer them to investments that they perceive to be more secure, such as bank deposits and Treasury securities. If economic and market conditions deteriorate, we may be unable to raise sufficient capital to support the investment activities of future funds. If we are unable to successfully raise capital, our revenues and cash flows would be reduced, and our financial condition would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prevailing interest rates may reduce our profitability, and we may not be able to adequately anticipate and respond to changes in market interest 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our funds’ assets are monetary in nature and subject to risk from changes in interest rates. Our earnings and cash flows depend to a great extent upon the difference between the interest our funds pay on loans and borrowings and the value of fixed-rate debt investments made by our funds. Depending on the terms and maturities of our assets and liabilities, a significant change in interest rates could have a material adverse effect on our profitability. In addition, rising interest rates, coupled with periods of significant equity and credit market volatility may potentially make it more difficult for us to find attractive opportunities for our funds to exit and realize value from their existing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rates remained at relatively low levels on a historical basis and the U.S. Federal Reserve maintained the federal funds target range at 0.0% to 0.25% for much of 2020 and 2021. The Federal Reserve raised interest rates by an aggregate of 525 basis points from January 1, 2022 through September 18, 2024. During the remainder of the of 2024 and 2025, the Federal Reserve decreased the federal funds rate by 169 basis points, resulting in a target rate range of 3.50% to 3.75% at December 31, 2025. Additionally, the current geopolitical environment in Europe provides yet another layer of uncertainty around the actions that the Federal Reserve might take. Market interest rates are affected by many factors outside of our control, including governmental monetary policies, domestic and international economic conditions, inflation, deflation, recession, changes in unemployment, the money supply, international disorder and instability in domestic and foreign financial markets. Rising interest rates create downward pressure on the price of real estate, increase the cost and reduce the availability of debt financing for the transactions our funds pursue and decrease the value of fixed-rate debt investments made by our funds, each of which may have an adverse impact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Increased costs of borrowing could also cause us to reconsider the purchase of certain real estate assets, the terms of any such purchase or the mix of debt and equity we employ in connection with such purchase. Such issues are expected to be more prevalent in a continued rising interest rate environment. A higher interest rate environment may lead to a significant contraction or weakening in the market for debt financing or have other adverse changes relating to the terms of debt financing (such as, for example, higher equity requirements and/or more restrictive covenants), particularly in the area of acquisition financings for private equity and real estate transactions, which could have a material adverse impact on our business. In a rising interest rate environment, the financing of acquisitions or the operations of our funds’ portfolio companies with debt may also become less attractive due to the cost of capital or limitations on the deductibility of corporate interest expense. 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if our funds are unable to obtain committed debt financing for potential acquisitions or can only obtain debt financing at an increased interest rate or on unfavorable terms, this would require us to employ a higher mix of equity to acquire real estate assets. The cost of equity in a rising interest rate environment may also become more expensive, and we may be required to offer a higher rate of return on equity in order to finance such assets. This in turn would adversely affect our profitability from such assets. While to date our funds’ borrowing costs have not substantially increased, as rates continue to increase, our ability to use leverage as a financing tool or to pass along any increased costs of borrowing or financing will become more difficult, all of which could have an adverse effect on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Inflation can have an adverse impact on our business and on our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Inflation risk is the risk that the value of assets or income from investments will be worth less in the future as inflation decreases the value of money. The annual inflation rate in the United States increased to 9.1% in June 2022, the highest rate since November 1981, but has since decreased to 2.7% as of the end of December 2025. For project execution, inflation has increased the cost of nearly all building materials and labor types, increasing the cost of construction and renovation of our funds’ assets. Furthermore, third parties we do business with, such as developers and contractors, are also affected by inflation and the rising costs of goods and services used in their businesses. A significant and continued increase in interest rates and inflation would be expected to have a negative impact on their ability to do business with us, which would affect our profitability.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trade policies and tariffs imposed by the United States government and the governments of other nations may have a material adverse effect on our business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March 4, 2025, the U.S. administration imposed a 20% tariff on all imports from China, a 25% tariff on all imports from Mexico, and a 25% tariff on most imports from Canada, with a 10% tariff on energy imports. At this time, the overall impact on our business related to these tariffs remains uncertain and depends on multiple factors, including the duration and potential expansion of current tariffs, future changes to tariff rates, scope, or enforcement, retaliatory measures by impacted trade partners, inflationary effects and broader macroeconomic responses, and the effectiveness of our responses in managing these challenges. We cannot predict if, and to what extent, there will be changes to international trade agreements or the resulting impact of any such changes on our business operations. We are closely monitoring this evolving situation and evaluating our responses. However, there can be no assurance that we will be able to fully mitigate the impact of such tariffs or trade restrictions.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(“Silvergate Capital”), and then on May 1, 2023, First Republic Bank,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any financial institution that is placed into receivership by the FDIC may be unable to access undrawn amounts thereunder. Although we are not a borrower or party to any such instruments with SVB, Signature Bank, First Republic Bank or any other financial institution currently in receivership,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Signature Bank or First Republic Bank credit agreements and arrangements, and third parties such as beneficiaries of letters of credit (among others), may experience direct impacts from the closures of SVB, Signature Bank and First Republic Bank and uncertainty remains over liquidity concerns in the broader financial services industry. Similar impacts have occurred in the past, such as during the 2008-2010 financial crisis. We hold no deposits or securities with SVB, Signature Bank, First Republic Bank or Silvergate Capital.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decline in the pace of growth or size of investment made by our funds may adversely affect our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we derive from our asset management and related services are driven in part by the pace at which our funds make investments and the size of those investments. A decline in the pace or the size of such investments may reduce our revenues. The pace of our investments could decline due to, among other factors, the market environment for private equity transactions, which has at times been characterized by relatively high prices, and such market changes make the deployment of capital more difficult. In addition, many other factors could cause a decline in the pace of investment, including the inability of our investment professionals to identify attractive investment opportunities, competition for such opportunities among other potential acquirers, decreased availability of capital on attractive terms, and our failure to consummate identified investment opportunities because of business, regulatory or legal complexities or uncertainty and adverse developments in the U.S. or global economy or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markets. In addition, if our funds are unable to deploy capital at a pace that is sufficient to offset the pace of realizations, our fee revenues could decrease.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revenue, earnings, net income, and cash flows can all vary materially, which may make it difficult for us to achieve steady earnings growth on a quarterly basis and may cause the price of our Class A common stock to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fluctuations in our results, including our revenue and net income, from quarter to quarter due to a number of other factors, including timing of realizations, changes in the amount of distributions or interest paid in respect of investments, changes in our operating expenses, the degree to which we encounter competition and general economic and market conditions. Achieving steady growth in net income and cash flow on a quarterly basis may be difficult, which could in turn lead to large adverse movements or general increased volatility in the price of our Class A common stock. We also do not provide any guidance regarding our expected quarterly and annual operating results. The lack of near term guidance may affect the expectations of public market analysts and could cause increased volatility in our Class A common stock price.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operating losses and negative operating cash flows for the year ended December 31, 2025, and may incur operating losses and negative cash flows in future periods. In response to these conditions, and the absence of sufficient cash to satisfy the debt obligations referenced below under the risk factor “We have an amount of total liabilities which may be considered significant for a company of our size which could adversely affect our financial condition and our ability to react to changes in our business”, management plans to i) negotiate extensions of such loans or refinance such debt, ii) obtain new financing, iii) reduce operating costs, iv) collect receivables and return investments from our Consolidated Funds, and/or v) increase capital raise through continued expansion of fundraising channels.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net income, and cash flows can all vary materially due to performance allocations (income earned with respect to our carried interest is recorded as performance allocations) in any fiscal period. Performance allocations depend on our funds’ performance and opportunities for realizing gains, which may be limited. Our cash flow may fluctuate significantly due to the fact that we receive performance allocations from our carry funds only when portfolio companies make distributions in excess of preferred return hurdles, or when investments are realized and achieve a minimum preferred return. It takes a substantial period of time to identify attractive investment opportunities, to raise all the funds needed to make an investment, to manage the performance of the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with certainty exactly when, or if, any performance allocations will or may occur.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upon the realization of a profitable investment by any of our funds and prior to our receiving any performance allocations in respect of that investment, 100% of the net proceeds from such realization must generally be paid to the investors in that fund until they have achieved a certain return on all realized investments by that fund. A particular realization event may have a significant impact on our results for that particular quarter that may not be replicated in subsequent quarters. We recognize revenue on investments in our investment funds based on our allocable share of realized gains (or losses) reported by such investment funds, and a decline in gains, or an increase in losses, would adversely affect our revenue and possibly cash flow, which could further increase the volatility of our quarterly results. Because our carry funds have preferred return thresholds to investors that need to be met prior to our receiving any performance allocations, substantial declines in the carrying value of the investment portfolios of a fund can significantly delay or eliminate any performance allocations paid to us in respect of that fund since the value of the assets in the fund would need to recover to their aggregate cost basis plus the preferred return over time before we would be entitled to receive any performance allocations from that fund.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timing and receipt of performance allocations also varies with the life cycle of our funds. During periods in which a relatively large portion of our assets under management are attributable to funds and investments in their “optimized” period, our funds would make larger distributions than in the fundraising or investment periods that precede the optimized period. During periods in which a significant portion of our assets under management is attributable to funds that are not in their optimized periods, we may receive substantially lower performance allocations.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could lose part or all of our investments, which could have a material adverse effect on our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is an inherent risk that we could lose all or part of our investment in certain assets. Our investments are generally illiquid, which may affect our ability to change our asset mix in response to changes in economic and other conditions. The value of our investments can also be diminished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civil unrest, acts of war and terrorism and acts of God, including earthquakes, hurricanes, and other natural disasters (which may result in uninsured or underinsured losses);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of present or future legislation (including environmental regulation, changes in laws concerning foreign ownership of property, changes in tax rates, changes in zoning laws and laws requiring upgrades to accommodate disabled persons) and the cost of compliance with these types of legislation;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liabilities relating to claims, to the extent insurance is not available or is inadequate.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an amount of total liabilities which may be considered significant for a company of our size which could adversely affect our financial condition and our ability to react to changes in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individual corporate notes aggregating $29.6 million at December 31, 2025, for which the maturity dates of the majority of these notes are within the 12-month period subsequent to when the financial statements for the year ended December 31, 2025 were issued. We currently do not have sufficient cash on hand to satisfy such obligations.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this is an amount of total liabilities which may be considered significant for a company of our size and current revenue base. Our substantial total liabilities could have important consequences to us. For example, it could: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require us to dedicate a substantial portion of our cash flows from operations to make payments on our debt, which would reduce the availability of our cash flows from operations to fund working capital, capital expenditures or other general corporate purposes;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 including interest rate fluctuations;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place us at a competitive disadvantage to our competitors with proportionately less debt for their size;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 our ability to refinance our existing debt or borrow additional funds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 our flexibility in planning for, or reacting to, changing conditions in our business;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limit our ability to react to competitive pressures or make it difficult for us to carry out capital spending that is necessary or important to our growth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of the foregoing impacts of our substantial total liabilities could have a material adverse effect on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debt or refinance our obligations and may be forced to take other actions to satisfy our obligations under such indebtedness, which may not be successful.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require cash to (a) provide capital to facilitate the growth of our existing businesses, (b) co-investment into our funds, if any, (c) service our debt and (d) pay operating expenses and other obligations as they arise. There is no guarantee that in the future we will generate enough working capital to support our business. Our ability to repay our total liabilities, including our ability to make scheduled payments on our debt or to refinance our obligations under our debt agreements, will depend on our financial and operating performance, which, in turn, will be subject to prevailing economic and competitive conditions and to the financial and business risk factors we face as described in this section, many of which may be beyond our control. If the global economy and conditions in the financing markets worsen, our fund investment performance could suffer, resulting in, for example, the payment of less or no performance allocations to us. This could materially and adversely affect the amount of cash we have on hand.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our cash flows and capital resources are insufficient to repay our total liabilities, including the ability to fund our debt service obligations, we may be forced to reduce or delay capital expenditures or planned growth objectives, seek to obtain additional equity capital or restructure our debt. We may also need additional cash resources in the future if we find and wish to pursue opportunities for investment, acquisition, capital expenditures or similar actions. If we determine that our cash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exceed the amount of cash and cash equivalents we have on hand at the time, we may seek to issue additional equity or debt securities or obtain credit facilities. If we issue additional equity securities to raise funds, whether to existing investors or others, the ownership percentage of our existing stockholders would be reduced. New investors may demand rights, preferences, or privileges senior to those of existing holders of common stock. We may also be limited as to the amount of funds we can raise pursuant to SEC rules and the continued listing requirements of Nasdaq. The incurrence of indebtedness would result in increased fixed obligations and could result in operating covenants that would restrict our operations. We cannot assure you that financing will be available in amounts or on terms acceptable to us, if at all.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future, our cash flows and capital resources may not be sufficient for payments of interest on and principal of our debt, and such alternative measures may not be successful and may not permit us to meet scheduled debt service obligations. In addition, the recent worldwide credit crisis could make it more difficult for us to repay our total liabilities, including the ability to refinance our debt on favorable terms, or at all. In the absence of positive operating results and/or sufficient cash resources, we may be required to dispose of material assets to repay our total liabilities, including the ability to meet our debt service obligations. We may not be able to consummate those sales, or, if we do, we will not control the timing of the sales or whether the proceeds that we realize will be adequate to repay our total liabilities, including the ability to meet debt service obligations when due.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historical returns attributable to our funds should not be considered as indicative of the future results of our funds or of our future results or of any returns expected on an investment in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 common stock is not an investment in any of our funds. You should not conclude that positive performance of our funds will necessarily result in positive returns on an investment in our Class A common stock. The historical performance of our funds is relevant to us primarily insofar as it is indicative of asset management revenues and performance allocations we have earned in the past and may earn in the future and our reputation and ability to raise new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historical returns of our funds may not be indicative of any future returns of these or from any future funds we may raise due to several factors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market conditions during previous periods may have been more favorable for generating positive performance than the market conditions we may experience in the future;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funds’ returns may have previously benefited from investment opportunities and general market conditions that may not recur, and we may not be able to achieve the same returns or profitable investment opportunities or deploy capital as quickly.</w:t>
      </w:r>
    </w:p>
    <w:p>
      <w:pPr>
        <w:pStyle w:val="TextBody"/>
        <w:bidi w:val="0"/>
        <w:spacing w:lineRule="auto" w:line="288" w:before="200" w:after="283"/>
        <w:jc w:val="both"/>
        <w:rPr/>
      </w:pPr>
      <w:r>
        <w:rPr>
          <w:rFonts w:ascii="Times New Roman;serif" w:hAnsi="Times New Roman;serif"/>
          <w:b/>
          <w:i/>
          <w:color w:val="000000"/>
          <w:sz w:val="20"/>
        </w:rPr>
        <w:t>We may be subject to litigation risks and may face liabilities and damage to our professional reputation as a result of investment decisions on behalf of investors in our funds.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make investment decisions on behalf of investors in our funds that could result in substantial losses. This may subject us to the risk of legal liabilities or actions alleging negligent misconduct, breach of fiduciary duty, or breach of contract. Further, we may be subject to third-party litigation arising from allegations that we improperly exercised control or influence over portfolio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and other legal liabilities could have a material adverse effect on our businesses, financial condition, our results of operations, or cause reputational harm to us, which could harm our businesses. We depend, to a large extent, on our business relationships and our reputation for integrity and professional services to attract and retain investors and to pursue investment opportunities for our funds. As a result, allegations of improper conduct by private litigants or regulators, whether the ultimate outcome is favorable or unfavorable to us, as well as negative publicity and press speculation about us, our investment activities, or the investment industry in general, whether or not valid, may harm our reputation, which may be damaging to our businesses.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Actions of any joint venture partners that we may have could reduce the returns on joint venture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times we enter joint ventures or partnerships to acquire and develop properties. Such investments may involve risks not otherwise present with other methods of investment,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that our co-venturer, or partner in an investment could become insolvent or bankrupt;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that such co-venturer, or partner may at any time have economic or business interests or goals that are or that become inconsistent with our business interests or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that such co-venturer, or partner may be in a position to take action contrary to our instructions, requests or our policies or objectives; or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that disputes between us and our co-venturer, or partner, may result in litigation or arbitration that would increase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above might subject a property to liabilities in excess of those contemplated and thus reduce our returns on that investment. </w:t>
      </w:r>
    </w:p>
    <w:p>
      <w:pPr>
        <w:pStyle w:val="TextBody"/>
        <w:bidi w:val="0"/>
        <w:spacing w:lineRule="auto" w:line="288" w:before="200" w:after="283"/>
        <w:jc w:val="both"/>
        <w:rPr/>
      </w:pPr>
      <w:r>
        <w:rPr>
          <w:rFonts w:ascii="Times New Roman;serif" w:hAnsi="Times New Roman;serif"/>
          <w:b/>
          <w:i/>
          <w:color w:val="000000"/>
          <w:sz w:val="20"/>
        </w:rPr>
        <w:t>Our reliance on third parties to operate and to develop certain of our properties may harm our business.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we rely on third-party property managers and hotel operators to manage our properties. These third parties are directly responsible for the day-to-day operation of our properties with limited supervision by us, and they often have potentially significant decision-making authority with respect to those properties. These third parties may fail to manage our properties effectively or in accordance with their agreements with us, may be negligent in their performance and may engage in criminal or fraudulent activity. If any of these events occur, we could incur losses or face liabilities from the loss or injury to our property or to persons at our properties. In addition, disputes may arise between us and these third-party managers and operators, and we may incur significant expenses to resolve those disputes or terminate the relevant agreement with these third parties and locate and engage competent and cost-effective service providers to operate and manage the relevant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are also parties to hotel management agreements. If any of these events occur, our relationships with any franchisors may be damaged, we may be in breach of our franchise agreement, and we could incur liabilities resulting from loss or injury to our property or to persons at our properties. From time to time, disputes may arise between us and our third-party managers regarding their performance or compliance with the terms of the hotel management agreements, which in turn could adversely affect us. If we are unable to resolve such disputes through discussions and negotiations, we may choose to terminate our management agreement, litigate the dispute or submit the matter to third-party dispute resolution, the expense of which may be material and the outcome of which may harm our business, operating results or prospects.</w:t>
      </w:r>
    </w:p>
    <w:p>
      <w:pPr>
        <w:pStyle w:val="TextBody"/>
        <w:bidi w:val="0"/>
        <w:spacing w:lineRule="auto" w:line="288" w:before="200" w:after="283"/>
        <w:jc w:val="both"/>
        <w:rPr/>
      </w:pPr>
      <w:r>
        <w:rPr>
          <w:rFonts w:ascii="Times New Roman;serif" w:hAnsi="Times New Roman;serif"/>
          <w:b/>
          <w:i/>
          <w:color w:val="000000"/>
          <w:sz w:val="20"/>
        </w:rPr>
        <w:t>Changes in relevant tax laws, regulations, treaties, or an adverse interpretation of these items by tax authorities could adversely impact our effective tax rate and tax liability.</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In particular, changes in legislation or regulation relating to opportunity zones could adversely affect our ability to form new opportunity zone funds or to acquire assets for our existing opportunity zone funds, thereby diminishing our ability to generate revenue from those activities.</w:t>
      </w:r>
    </w:p>
    <w:p>
      <w:pPr>
        <w:pStyle w:val="TextBody"/>
        <w:bidi w:val="0"/>
        <w:spacing w:lineRule="auto" w:line="288" w:before="200" w:after="283"/>
        <w:jc w:val="both"/>
        <w:rPr/>
      </w:pPr>
      <w:r>
        <w:rPr>
          <w:rFonts w:ascii="Times New Roman;serif" w:hAnsi="Times New Roman;serif"/>
          <w:b/>
          <w:i/>
          <w:color w:val="000000"/>
          <w:sz w:val="20"/>
        </w:rPr>
        <w:t>Conflicts of interest exist between us and related parties.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Conflicts of interest exist and may arise in the future as a result of the relationships between us and our affiliates and divisions and our officers, directors and owners, on the one hand, and our funds and its investors, on the other hand. We earn fees from our funds, including our carried interest which value is a direct result from the performance of our funds. There may be instances where the interests of our funds and the investors in such funds diverge from those of us which could result in conflicts of interest. In resolving these conflicts, our board of directors and executive officers have a fiduciary duty to our stockholders. In addition, as we operate as a fund manager through a wholly owned subsidiary, we have a fiduciary duty to investors in the funds we manage. Unless the resolution of a conflict is specifically provided for in the operating agreements of such funds, our board of directors may consider a wide range of factors they determine to be in good faith when resolving a conflict. An independent third party is not required to evaluate the resolution. As a result of the foregoing, there may be instances where any such conflicts are resolved in a manner which favors the interests of our funds and their investors over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Risk management activities may adversely affect the return on our funds’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When managing our exposure to market risks, we may (on our own behalf or on behalf of our funds) from time to time 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The success of any hedging or other derivative transactions generally will depend on our ability to correctly predict market changes, the degree of correlation between price movements of a derivative instrument, the position being hedged, the creditworthiness of the counterparty and other factors. As a result, while we may enter into a transaction in order to reduce our exposure to market risks, the transaction may result in poorer overall investment performance than if it had not been executed. Such transactions may also limit the opportunity for gain if the value of a hedged position increases.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Moreover, these hedging arrangements may generate significant transaction costs, including potential tax costs, that reduce the returns generated by a fund. Finally, the Commodity Futures Trading Commission (the “CFTC”) may in the future require certain foreign exchange products to be subject to mandatory clearing, which could increase the cost of entering into currency hedges.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real estate funds are subject to the risks inherent in the ownership, development, and operation of real estate.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Investments in our real estate funds will be subject to the risks inherent in the ownership and operation of real estate and real estate-related businesses and assets, including the deterioration of real estate fundamentals. These risks include, but are not limited to, those associated with the burdens of ownership of real property, general and local economic conditions, changes in supply of and demand for competing properties in an area (as a result, for instance, of overbuilding), fluctuations in the average occupancy and room rates for hotel properties, operating income, the financial resources of tenants, changes in building, environmental, zoning and other laws, casualty or condemnation losses, energy and supply shortages, various uninsured or uninsurable risks, natural disasters, climate change related risks (including climate-related transition risks and acute and chronic physical risks), changes in government regulations (such as rent control), changes in real property tax rates, changes in income tax rates, changes in interest rates, the reduced availability of mortgage funds which may render the sale or refinancing of properties difficult or impracticable, increased mortgage defaults, increases in borrowing rates, changes to the taxation of business entities and the deductibility of corporate interest expense, negative developments in the economy that depress travel activity, environmental liabilities, contingent liabilities on disposition of assets, acts of god, terrorist attacks, war and other factors that are beyond our control. In addition, if our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labor conditions, or material shortages), and the availability of both construction and permanent financing with favorable terms. In addition, our real estate funds may also make investments in residential real estate projects and/or otherwise participate in financing opportunities relating to residential real estate assets or portfolios thereof from time to time, which may be more susceptible to adverse changes in prevailing economic and/or market conditions and present additional risks relative to the ownership and operation of commercial real estate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 by our investment funds may rank junior to investments made by others.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most cases, the companies in which our investment funds invest will have indebtedness or equity securities or may be permitted to incur indebtedness or to issue equity securities that rank senior to our investment. By their terms, such instruments may provide that their holders are entitled to receive payments of dividends, interest or principal on or before the dates on which payments are to be made in respect of our investment. Also,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Also, during periods of financial distress or following an insolvency, the ability of our investment funds to influence a company’s affairs and to take actions to protect their investments may be substantially less than that of the senior creditors.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Rapid growth of our businesses may be difficult to sustain and may place significant demands on our administrative, operational, and financial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assets under management have grown significantly in the past, and we are pursuing further growth in the near future, both organically and through acquisitions. Our rapid growth has placed, and planned growth, if successful, will continue to place, significant demands on our legal, accounting and operational infrastructure, and has increased expenses. The complexity of these demands, and the expense required to address them, is a function not simply of the amount by which our assets under management has grown, but of the growth in the variety and complexity 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growth will depend in part on our ability to maintain an operating platform and management system sufficient to address our growth and will require us to incur significant additional expenses and to commit additional senior management and operational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depend on our founders, senior professionals, and other key personnel, and our ability to retain them and attract additional qualified personnel is critical to our success and our growth prospects.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depend on the diligence, skill, judgment, business contacts and personal reputations of our founders, senior professionals and other key personnel. Our future success will depend upon our ability to attract and retain senior professionals and other personnel. Our executives have built highly regarded reputations in the alternative investment industry. Our executives attract business opportunities and assist both in negotiations with lenders and potential joint venture partners and in the representation of large and institutional clients. If we lost their services, our relationships with lenders, joint ventures, and clients would diminish significantly.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some of our officers have strong regional reputations, and they aid in attracting business, identifying opportunities, and negotiating for us and on behalf of our clients. As we continue to grow, our success will largely depend on our ability to attract and retain qualified personnel in all areas of business. We may be unable to continue to hire and retain a sufficient number of qualified personnel to support or keep pace with our planned growth.</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expand into new investment strategies, geographic markets and businesses, each of which may result in additional risks and uncertainties in our businesses.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if market conditions warrant, to grow our businesses by increasing assets under management in existing businesses and expanding into new investment strategies, geographic markets and businesses. We may pursue growth through acquisitions of critical business partners or other strategic initiatives, which may include entering into new lines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Attempts to expand our businesses involve a number of special risks, including some or all of the following: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required investment of capital and other resources;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diversion of management’s attention from our core businesses;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assumption of liabilities in any acquired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disruption of our ongoing businesses;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entry into markets or lines of business in which we may have limited or no experience;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demands on our operational and management systems and controls;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compliance with additional regulatory requirements;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potential increase in investor concentration;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broadening of our geographic footprint, increasing the risks associated with conducting operations in certain jurisdictions where we currently have no experience.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Entry into certain lines of business may subject us to new laws and regulations with which we are not familiar, or from which we are currently exempt, and may lead to increased litigation and regulatory risk. If a new business does not generate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or if we are unable to efficiently manage our expanded operations, our results of operations will be adversely affected.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Because we have not yet identified these potential new investment strategies, geographic markets or lines of business, we cannot identify all of the specific risks we may face and the potential adverse consequences on us and their investment that may result from any attempted expansion.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not be successful in competing with companies in the asset management industry and alternative investment industries, some of which may have substantially greater resources than we do.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asset management industry and alternative investment industries are intensely competitive. We compete primarily on a regional, industry, and asset class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face competition both in the pursuit of fund investors and investment opportunities. Generally, our competition varies across business lines, geographies, and financial markets. We compete for outside investors based on a variety of factors, including investment performance, investor perception of investment managers’ drive, focus and alignment of interest, quality of service provided to and duration of relationship with investors, business reputation, and the level of fees and expenses charged for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compete for investment opportunities based on a variety of factors, including breadth of market coverage and relationships, access to capital, transaction execution skills, the range of products and services offered, innovation, and price.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compete with real estate funds, specialized funds, hedge fund sponsors, financial institutions, private equity funds, corporate buyers, and other parties. Many of these competitors are substantially larger and have considerably greater financial, technical, and marketing resources than are available to us. Many of these competitors have similar investment objectives to ours, which may create additional competition for investment opportunities. Some of these competitors may also have a lower cost of capital and access to funding 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that we want to make. Corporate buyers may be able to achieve synergistic cost savings with regard to an investment that may provide them with a competitive advantage in bidding for an investment.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are unable to maintain and protect our intellectual property, or if third parties assert that we infringe their intellectual property rights, our business could suffer.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depends, in part, on our ability to identify and protect proprietary information and other intellectual property such as our client lists and information and business methods. We rely on a combination of trade secrets, confidentiality policies, non-disclosure and other contractual arrangements and copyright and trademark laws to protect our intellectual property rights. However, we may not adequately protect these rights, and their disclosure to, or use by, third parties may harm our competitive position. Our inability to detect unauthorized use of, or to take appropriate or timely steps to enforce, our intellectual property rights may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Also, third parties may claim that our business operations infringe on their intellectual property rights. These claims may harm our reputation, cost us money to defend, distract the attention of our management and prevent us from offering some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Confidential intellectual property is increasingly stored or carried on mobile devices, such as laptop computers, which increases the risk of inadvertent disclosure where the mobile devices are lost or stolen and the information has not been adequately safeguarded or encrypted. This also makes it easier for someone with access to our systems, or someone who gains unauthorized access, to steal information and use it to our disadvantage. Advances in technology, which permit increasingly large amounts of information to be stored on mobile devices or on third-party “cloud” servers, may exacerbate these risks.</w:t>
      </w:r>
    </w:p>
    <w:p>
      <w:pPr>
        <w:pStyle w:val="TextBody"/>
        <w:bidi w:val="0"/>
        <w:spacing w:lineRule="auto" w:line="288" w:before="200" w:after="283"/>
        <w:jc w:val="both"/>
        <w:rPr/>
      </w:pPr>
      <w:r>
        <w:rPr>
          <w:rFonts w:ascii="Times New Roman;serif" w:hAnsi="Times New Roman;serif"/>
          <w:b/>
          <w:i/>
          <w:color w:val="000000"/>
          <w:sz w:val="20"/>
        </w:rPr>
        <w:t>Security risks and attacks are common, increasing globally, and may result in significant liabilities.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our internal corporate information technology systems have in the past been, and will in the future be, subject to cybersecurity-attacks, credential stuffing, account takeover attacks, denial or degradation of service attacks, phishing attacks, ransomware attacks, malicious software programs, supply chain attacks, and other cybersecurity security risks (collectively, “cybersecurity risks”). Further, we engage service providers to store and otherwise process some of our and our investor’s data, including sensitive and personal information, and these service providers are also targets of cybersecurity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risks have been increasing in frequency and sophistication globally and may be accompanied by demands for payment in exchange for resolution, restoration of functionality, or return of data. Sources of cybersecurity risks range from individuals to sophisticated organizations, including state-sponsored actors and organizations. These attackers use a wide variety of methods to exploit vulnerabilities and gain access to corporate assets, including networks, information, or credentials. The types and methods of cybersecurity risks are constantly evolving and becoming more complex, and we may not be able to detect, combat, or successfully defend against all cybersecurity risks. Attackers initiating cybersecurity risks may gain access to our corporate assets. Vulnerabilities in our infrastructure or the success of any cybersecurity attacker against us may not be discovered in a timely fashion or at all, and the impact may be exacerbated the longer they remain undetected. While we utilize security measures and architecture designed to protect the integrity of our business and corporate information technology environment, we remain subject to ongoing and evolving cybersecurity risks, and we anticipate that we will need to continue expending resources in an effort to protect against cybersecurity risks. There is a risk that we may not be able to deploy, allocate, or retain sufficient resources to keep pace with the persistent and evolving cybersecurity threat landscape.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Moreover, several of our employees work remotely, and many of our vendors and other third parties we engage utilize remote workers in various jurisdictions throughout the world, which may increase the risk of and susceptibility to cybersecurity risks. We cannot guarantee that remote work environments and electronic connections to our work environment and information technology systems have the same security profile as those deployed in our physical offices.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ability to monitor the data security of our vendors is limited, and bad actors may successfully circumvent our vendors’ security measures, resulting in the unauthorized access to, or misuse, disclosure, loss, or destruction of our and/or our investor’s data. Any actual or perceived failure by us or our vendors to prevent or defend against cybersecurity risks, actual or perceived vulnerabilities or unauthorized access to corporate data or systems may lead to claims against us and may result in significant data loss, significant costs and liabilities, and could reduce our revenue, harm our reputation, and compromise our competitive position.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Our failure to sufficiently secure our business and services may result in unauthorized access to investor data, a negative impact on our investor attraction and retention, and significant liabilities.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systems and services involve the storage, transmission, and processing of our and our investors’ sensitive and proprietary information. Our failure to sufficiently secure our business and services may result in unauthorized access to investor data, a negative impact on our investor attraction and retention, and significant liabilities. Even if our security measures are appropriately engineered and implemented to secure our business and services against external risks, we may be subject to inadvertent disclosures because of inappropriate employee actions or system misconfigurations. Unauthorized use of or access to investor data could result in the loss and/or compromise of our or our investors’ sensitive information, which could lead to litigation, regulatory investigations and claims, indemnity obligations, reputational harm, and other liabilities.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agreements with third parties, including investors, contain contractual commitments related to our information security practices and data privacy compliance. If we experience an incident that triggers a breach of these contractual commitments, we could be exposed to significant liability or cancellation of service under these agreements. The damages payable to the counterparty could be substantial and create loss of business. There can be no assurance that any limitation of liability provisions in our contracts will be enforceable or adequate or will otherwise protect us from these liabilities or damages with respect to any claim.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Many U.S. and foreign laws and regulations require companies to provide notice of data security breaches or incidents involving certain types of personal data. Security compromises experienced by competitors and others may lead to public disclosures, leading to widespread negative publicity. Such a security compromise in our industry, whether actual or perceived, could harm our reputation; erode investor confidence and negatively affect our ability to attract new investors; cause existing investors to divest, any or all of which could adversely affect our business and operating results. Even the perception of inadequate security may damage our reputation and negatively impact our ability to win new investors and retain existing investors.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could be required to expend significant capital and other resources to investigate and address any actual or suspected data security incident or breach. We cannot be sure that insurers will not deny coverage as to any claim, and some security breaches may be outside the scope of our coverage, including if they are considered force majeure events. Security breaches may result in increased costs for cybersecurity insurance and could have an adverse effect on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depend on various cloud service providers operated by third parties, and any service outages, delays, or disruptions in these operations could harm our business and operating results.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our business we use various cloud service providers (“Cloud Providers”) operated by third parties. As a result, we are vulnerable to service interruptions, delays, and outages attributable to their platforms. Our Cloud Providers may experience events such as natural disasters, fires, power loss, telecommunications failures, or similar events. The systems, infrastructure, and services of our Cloud Providers may also be subject to human or software errors, viruses, cybersecurity risks, fraud, spikes in usage, break-ins, sabotage, acts of vandalism, acts of terrorism, and other misconduct. The occurrence of any of the foregoing events could result in lengthy interruptions or delays in and may impact us via service outages and noncompliance with our contractual obligations or business requirements.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have experienced in the past, and may experience in the future, periodic interruptions, delays, and outages in service and availability with our Cloud Providers due to a variety of factors, including Internet connectivity failures, infrastructure changes, human or software errors, website hosting disruptions, and capacity constraints.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are unable to implement and maintain effective internal control over financial reporting in the future, investors may lose confidence in the accuracy and completeness of our financial reports and the market price of our Class A common stock may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In addition, we have and, in the future, we will be required to furnish a report by management on the effectiveness of our internal control over financial reporting pursuant to Section 404(a) of the Sarbanes-Oxley Act beginning with our annual report on Form 10-K for the fiscal year ending December 31, 2024. We will continue the process of designing, implementing, and testing our internal control over financial reporting required to comply with this obligation, which is time consuming, costly, and complicated. In addition, our independent registered public accounting firm may be required to attest to the effectiveness of our internal control over financial reporting beginning with our annual report on Form 10-K following the date on which we are no longer an “emerging growth company,” which may be up to five full years following the date of our initial public offering. If we identify material weaknesses in our internal control over financial reporting, if we are unable to comply with the requirements of Section 404 in a timely manner or assert that our internal control over financial reporting is not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consolidation of investment funds or operating businesses of our portfolio companies could make it more difficult to understand our operating performance and could create operational risks for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applicable U.S. GAAP, we may be required to consolidate certain of our funds, limited liability companies, partnerships or operating businesses if we determine that these entities are variable interest entities (“VIEs”) and where we determine that we are the primary beneficiary of the VIE. The consolidation of such entities could make it difficult for an investor to differentiate our assets, liabilities, and results of operations apart from the assets, liabilities, and results of operations of the consolidated VIEs. The assets of the consolidated VIEs are not available to meet our liquidity requirements. As of December 31, 2025 and 2024, total assets of our consolidated VIEs reflected in our consolidated balance sheets were $70.2 million and $53.3 million, respectively, and as of December 31, 2025 and 2024, total liabilities of our consolidated VIEs reflected in our consolidated balance sheets were $49.4 million and $33.1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Bylaws have an exclusive forum for adjudication of disputes provision which limits the forum to the Delaware Court of Chancery for certain stockholder litigation matters actions against us, which may limit an investor’s ability to seek what they regard as a favorable judicial forum for disputes with us or its directors, officers, employees, or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Section 7.06(a) of Article VII of our Bylaws dictates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behalf of us; an action asserting a breach of fiduciary duty owed by an officer, director, employee or to the stockholders of us; any claim arising under Delaware corporate law, our amended and restated certificate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incorporation or our amended and restated bylaws; and any action asserting a claim governed by the internal affairs doctrine. Any person or entity purchasing or otherwise acquiring any interest in shares of capital stock of us shall be deemed to have notice of and consented to the provisions of Section 7.06 of Article VII of our Bylaws.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However, Section 7.06(a) of Article VII of our Bylaws will not apply to suits brought to enforce any liability or duty created by the Securities Exchange Act of 1934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Furthermore, unless we consent in writing to the selection of an alternative forum, the federal district courts of the United States of America will be the exclusive forum for the resolution of any complaint asserting a cause of action arising under the Securities Act of 1933, as amended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Delaware corporation is allowed to mandate in its corporate governance documents a chosen forum for the resolution of state law-based stockholder class actions, derivative suits and other intra-corporate disputes. With respect to such state law claims, our management believes limiting state law-based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choice of forum provisions contained in our Bylaws may limit a stockholder’s ability to bring a claim in a judicial forum that it finds favorable for disputes with us or any of our directors, officers, other employees or stockholders,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us, a court could find the choice of forum provisions contained in our Bylaws to be inapplicable or unenforceable in such action. As a result, we could incur additional costs associated with resolving such actions in other jurisdictions, which could harm our business, operating results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applicable restrictions could make it impractical for us to continue our businesses as conducted and could have a material adverse effect on our businesses.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entity will generally be deemed to be an “investment company” for purposes of the Investment Company Act if:</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it is or holds itself out as being engaged primarily, or proposes to engage primarily, in the business of investing, reinvesting or trading in securities; or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absent an applicable exemption, it owns or proposes to acquire investment securities having a value exceeding 40% of the value of its total assets (exclusive of U.S. government securities and cash items) on an unconsolidated basis.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exemptions from the registration requirements of an investment company under the Investment Company Act are threefold: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parent company does not meet the asset test component of the definition of “investment company” under the Investment Company Act as summarized above;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investment subsidiaries qualify under the exemption afforded by Section 3(c)(5)(C) of the Investment Company Act;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intermediate subsidiaries qualify under the exemption afforded by Section 3(c)(6) of the Investment Company Act.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engaged primarily in the business of investing in and providing services for real estate and real estate-related assets and not primarily in the business of investing, reinvesting, or trading in securities. We hold ourselves out as a vertically integrated alternative asset management firm and do not propose to engage primarily in the business of investing, reinvesting or trading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Accordingly, we do not believe that we are required to register as an investment company for purposes of the Investment Company Act. Furthermore, we have no material assets other than interests in certain wholly owned subsidiaries (within the meaning of the Investment Company Act), which in turn will have either direct interests in real estate assets or limited liability company member or limited partner partnership interests in affiliated funds. We do not believe that, based on current rules and interpretations, the equity interests in our wholly owned subsidiaries or the limited liability company member interests consolidated, or unconsolidated affiliated funds qualify as investment securities under the Investment Company Act.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funds and our senior management, or any combination thereof, and have a material adverse effect on our businesses, financial condition and results of operations. In addition, we may be required to limit the amount of investments that we make as a principal or otherwise conduct our businesses in a manner that does not subject us to the registration and other requirements of the Investment Company Act.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Extensive regulation of our businesses affects our activities and creates the potential for significant liabilities and penalties. The possibility of increased regulatory focus could result in additional burdens on our business. Changes in tax law and other legislative or regulatory changes could adversely affect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fund management and ancillary businesses are subject to extensive regulation. We are subject to regulation, including periodic examinations, by governmental and self-regulatory organizations in the jurisdictions in which we operate. Many of these regulators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fund management or financial advisory clients.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regularly rely on exemptions from various requirements of the Securities Act, the Exchange Act, the U.S. Investment Company Act, and the U.S. Employee Retirement Income Security Act of 1974, as amended, in conducting our fund management activities. These exemptions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If we were deemed an “investment company” under the Investment Company Act, applicable restrictions could make it impractical for us to continue our business as conducted and could have a material adverse effect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may be adversely affected by new or revised legislation or regulations imposed by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 It is impossible to determine the extent of the impact of any new laws, regulations or initiatives that may be proposed, or whether any of the proposals will become law. Compliance with any new laws or regulations could make compliance more difficult and expensive and affect the manner in which we conduct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the Ownership of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our executive officers, which will limit your ability to influence the outcome of important transactions.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10 votes per share and our Class A common stock has one vote per share. John C. Loeffler, II, our Chief Executive Officer, and Jennifer Schrader, our President and Chief Operating Officer, own all of our outstanding shares of Class B common stock. Together Mr. Loeffler and Ms. Schrader currently exercise approximately 36.1% voting control over the Company as of December 31, 2025. As a result, if they act together, these stockholders will be able to exercise significant influence over all matters submitted to our stockholders for approval, including the election of directors and approval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significant corporate transactions, such as (i) making changes to our articles of incorporation whether to issue additional common stock and preferred stock, (ii) employment decisions, including compensation arrangements; and (iii) whether to enter into material transactions with related parties. This control may adversely affect the market price of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We may not be able to maintain a listing of our Class A common stock on Nasdaq.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listed on Nasdaq, and we must meet certain financial and liquidity criteria to maintain such listing. If we violate Nasdaq’s listing requirements, or if we fail to meet any of Nasdaq’s listing standards, our Class A common stock may be delisted. In addition, our board of directors may determine that the cost of maintaining our listing on a national securities exchange outweighs the benefits of such listing. A delisting of our Class A common stock from Nasdaq may materially impair our stockholders’ ability to buy and sell our Class A common stock and could have an adverse effect on the market price of, and the efficiency of the trading market for, our Class A common stock. The delisting of our Class A common stock could significantly impair our ability to raise capital and the value of your investment.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May 14, 2024, we received a notice from Nasdaq notifying us that, because the closing bid price for our Class A common stock had fallen below $1.00 per share for 30 consecutive business days, we no longer comply with the minimum bid price requirement for continued listing on the Nasdaq Capital Market under Rule 5550(a)(2) of Nasdaq Listing Rules. Nasdaq’s notice had no immediate effect on the listing of our Class A common stock on the Nasdaq Capital Market. We were provided an initial compliance period of 180 calendar days, or until November 11, 2024, to regain compliance with the minimum bid price requirement. We did not regain compliance with the minimum bid price requirement by November 11, 2024; however, on November 12, 2024, we received written notification from Nasdaq granting our request for a 180-day extension to regain compliance with Nasdaq Listing Rule 5550(a)(2). To regain compliance, the closing bid price of our Class A common stock must meet or exceed $1.00 per share for a minimum of 10 consecutive business days prior to May 12, 2025. On May 16, 2025, we received written notice from Nasdaq that from May 2, 2025 to May 15, 2025, the closing price of our Class A common stock had been $1.00 per share or greater, and accordingly, we had regained compliance with Nasdaq Listing Rule 5550(a)(2) and that the matter was closed.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27, 2025, we received a notice from Nasdaq notifying us that due to our stockholders’ deficit as reported on our Quarterly Report on Form 10-Q for the quarter ended June 30, 2025, we no longer comply with the minimum requirement of $2,500,000 in stockholders’ equity for continued listing on the Nasdaq Capital Market under Rule 5550(b)(1). Nasdaq’s notice had no immediate effect on the listing of our Class A common stock on the Nasdaq Capital Market. In accordance with Nasdaq’s listing rules, we had 45 days to provide a plan to Nasdaq to regain compliance and if the plan was accepted by Nasdaq, we may be granted an extension of 180-days from receipt of the deficiency letter to evidence compliance. On November 17, 2025, we received notification from Nasdaq that we had regained compliance with the minimum stockholder’s equity requirement for continued listing on the Nasdaq Capital Market under Rule 5550(b)(1) and that the matter was closed.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share price has in the past and may in the future fluctuate substantially.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in the past and could in the future be extremely volatile. From the date of our initial public offering in May 2023 to December 31, 2025, the high and low prices of our common stock as quoted on the Nasdaq Capital Market was $13.00 and $1.24, respectively. The future market price of our common stock may be significantly affected by many risk factors listed in this section, and others beyond our control,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or anticipated fluctuations in our financial condition and operating results, including fluctuations in our quarterly and annual results;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overall conditions in our industry and the markets in which we operate or in the economy as a whole;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laws or regulations applicable to our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strategic partnerships, joint ventures or capital commitments;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issuance of new or updated research or reports by securities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litigation matters;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sales of our Class A common stock by us or our stockholders;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expiration of contractual lock-up agreements with our executive officers, directors and stockholders;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general economic and market conditions.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market price for our Class A common stock may be influenced by many factors related to the Chainlink protocol and our use of LINK as a treasury asset, including: our LINK treasury strategy; developments in the Chainlink ecosystem; regulatory or legal developments in the United States and other countries related to digital assets and blockchain; variations in our financial results or those of companies that are perceived to be similar to us that also have a digital asset treasury strategy; and general economic, industry and market conditions in the cryptocurrency industry.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A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sales and issuances of our Class A common stock or rights to purchase Class A common stock, including pursuant to our equity incentive plans, could result in additional dilution of the percentage ownership of our stockholders and could cause the stock price of our Class A common stock to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sell Class A common stock, convertible securities or other equity securities in one or more transactions at prices and in a manner that we determine. We also expect to issue Class A common stock to employees, consultants, and directors pursuant to our equity incentive plans. If we sell common stock, convertible securities or other equity securities in subsequent transactions, or Class A common stock is issued pursuant to equity incentive plans, investors may be materially diluted. New investors in such subsequent transactions could gain rights, preferences and privileges senior to those of holders of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implement and maintain an effective system of internal control, we may be unable to accurately report our operating results, meet our reporting obligations, or prevent fraud.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Section 404 of the Sarbanes-Oxley Act of 2002 requires that we include a report of management on our internal control over financial reporting in our annual report on Form 10-K, beginning with our annual report for the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ending December 31, 2024. In addition, once we cease to be an “emerging growth company” as such term is defined under the JOBS Act, our independent registered public accounting firm may be required to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 of 2002. Generally,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and harm our results of operations.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proxy statements and exemptions from the requirements of holding nonbinding advisory votes on executive compensation and stockholder approval of any golden parachute payments not previously approved. We could be an emerging growth company until 2028, although circumstances could cause us to lose that status earlier. We will remain an emerging growth company until the earlier of (i) the last day of the fiscal year (a) following the fifth anniversary of the completion of our initial public offering, (b) in which we have total annual gross revenue of at least $1.235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also delay adopting new or revised accounting standards until such time as those standards apply to private companies. We have elected to avail ourselves of this exemption and, therefore, we are not subject to the same new or revised accounting standards as other public companies that are not emerging growth companies. As a result, changes in rules of U.S. GAAP or their interpretation, the adoption of new guidance or the application of existing guidance to changes in our business could significantly affect our financial position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listing rules of Nasdaq and, as a result, can rely on exemptions from certain corporate governance requirements that provide protection to stockholders of other companies.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John C. Loeffler, II, our Chief Executive Officer, and Jennifer Schrader, our President and Chief Operating Officer, through ownership of all our outstanding shares of Class B common stock, control a majority of the voting power of our outstanding common stock. As a result, are a “controlled company” within the meaning of the corporate governance standards of Nasdaq. Under these rules, a company of which more than 50% of the voting power is held by an individual, group or another company is a “controlled company” but may elect not to comply with certain corporate governance requirements,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a majority of our Board of Directors consist of “independent directors”;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we have a compensation committee that is composed entirely of independent directors with a written charter addressing the committee’s purpose and responsibilities;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requirement that we have a nominating and corporate governance committee that is composed entirely of independent directors with a written charter addressing the committee’s purpose and responsibilities.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we do not intend to rely on the “controlled company” exemptions to Nasdaq’s corporate governance rules, we could elect to rely on these exemptions in the future. If we elected to rely on the “controlled company” exemptions, a majority of the members of our board of directors might not be independent directors, our nominating and corporate governance and compensation committees might not consist entirely of independent directors, and you would not have the same protection afforded to shareholders of companies that are subject to Nasdaq’s corporate governance rules.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research about our business, our stock price and trading volume could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us may change their recommendations regarding us, and our stock price could decline.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never paid dividends on our common stock, and we do not intend to pay dividends for the foreseeable future. Consequently, any gains from an investment in our Class A common stock will likely depend on whether the price of our Class A common stock increases.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charter documents and Delaware law and the voting control exercised by our founders could prevent a takeover that stockholders consider favorable and could also reduce the market price of our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third amended and restated certificate of incorporation and our amended and restated bylaws contain provisions that could delay or prevent a change in control of us. These provisions could also make it more difficult for stockholders to elect directors and take other corporate actions. These provisions include: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authorizing our board of directors to issue preferred stock with voting or other rights or preferences that could discourage a takeover attempt or delay changes in control;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prohibiting stockholder action by written consent;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limiting the persons who may call special meetings of stockholders;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requiring advance notification of stockholder nominations and proposals.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(“DGCL”) govern us. These provisions may prohibit large stockholders, in particular those owning 15% or more of our outstanding voting stock, from merging or combining with us for a certain period of time without the consent of our board of directors.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and other provisions in our third amended and restated certificate of incorporation and our amended and restated bylaws and under Delaware law, together with the voting control possessed by our founders, could discourage potential takeover attempts, reduce the price investors might be willing to pay in the future for shares of our common stock and result in the market price of our common stock being lower than it would be without these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third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DGCL, our amended and restated bylaws and our indemnification agreements that we have entered into with our directors and officers provide that: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LINK Strategy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financial results and the market price of our common stock may be affected by the prices of LINK.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capital allocation strategy, we plan to continue to invest in LINK. The price of LINK has historically been subject to dramatic price fluctuations and is highly volatile. Any decrease in the fair value of LINK below our carrying value could require us to incur a loss due to the decrease in fair market value, and such a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Class A common stock. In addition, if investors view the value of our Class A common stock as dependent upon or linked to the value or change in the value of our LINK holdings, the price of LINK may significantly influence the market price of our Class A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LINK holdings are less liquid than our existing cash and cash equivalents and may not be able to serve as a source of liquidity for us to the same extent as cash and cash equivalents.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their entirely electronic, virtual form and decentralized network. During times of market instability, we may not be able to sell our LINK at favorable prices or at all. Further, we hold LINK with centralized custodians and transact with trade execution partners. These entities do not have the same protections as are available to cash or securities deposited with or transacted by institutions subject to regulation. If a custodian were to become insolvent, it is possible that we face delays or difficulties obtaining our LINK, or may not be able to obtain all of the LINK that we had deposited with the custodian. We may also be unable to enter into term loans or other capital raising transactions collateralized by our unencumbered LINK or otherwise generate funds using our LINK, especially during times of market instability or when the price of LINK has declined significantly.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Treasury Reserve Policy is new and has not been tested over time.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Treasury Reserve Policy will achieve its intended objectives or that our digital asset acquisition strategy will be successful. If the price of LINK were to decrease or our digital asset acquisition strategy otherwise proves unsuccessful, our financial condition, results of operations, and the market price of our Class A common stock could be materially adversely impacted. Some investors and other market participants may disagree with our digital asset acquisition strategy or actions we undertake to implement 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Investment Company Act of 1940, as amended (the “Investment Company Act”), the applicable restrictions could make it impractical for us to continue our businesses as conducted and could have a material adverse effect on our businesses.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 entity will generally be deemed to be an “investment company” for purposes of the Investment Company Act if:</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it is or holds itself out as being engaged primarily, or proposes to engage primarily, in the business of investing, reinvesting or trading in securities;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absent an applicable exemption, it owns or proposes to acquire investment securities having a value exceeding 40% of the value of its total assets (exclusive of U.S. government securities and cash items) on an unconsolidated basis. With respect to our existing core operating business, our exemptions from the registration requirements of an investment company under the Investment Company Act are threefold: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parent company does not meet the asset test component of the definition of “investment company” under the Investment Company Act as summarized above;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investment subsidiaries qualify under the exemption afforded by Section 3(c)(5)(C) of the Investment Company Act;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intermediate subsidiaries qualify under the exemption afforded by Section 3(c)(6) of the Investment Company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core operating business, we are engaged primarily in the business of investing in and providing services for real estate and real estate-related assets and not primarily in the business of investing, reinvesting, or trading in securities. We hold ourselves out as a vertically integrated alternative asset management firm and do not propose to engage primarily in the business of investing, reinvesting or trading in securities. Accordingly, we do not believe that we are required to register as an investment company for purposes of the Investment Company Act. Furthermore, with respect to our core operating business, we have no material assets other than interests in certain wholly owned subsidiaries (within the meaning of the Investment Company Act), which in turn will have either direct interests in real estate assets or limited liability company member or limited partner partnership interests in affiliated funds. We do not believe that, based on current rules and interpretations, the equity interests in our wholly owned subsidiaries or the limited liability company member interests consolidated, or unconsolidated affiliated funds qualify as investment securities under the Investment Company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Treasury Reserve Policy, LINK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LINK. The U.S. federal government, states, regulatory agencies, and foreign countries may also enact new laws and regulations, or pursue regulatory, legislative, enforcement or judicial actions, that could materially impact the price of LINK or the ability of individuals or institutions such as us to own or transfer LINK. If LINK or our use of LINK is determined to constitute a security for purposes of the federal securities laws, the additional regulatory restrictions imposed by such a determination could adversely affect the market price of LINK and, in turn, adversely affect the market price of our Class A common stock. If LINK or our use of LINK is determined to be an investment security under the Investment Company Act of 1940, as amended (the “1940 Act”), we may need to take steps to reduce our holdings of LINK as a percentage of our total assets, which may include selling LINK that we might otherwise hold for the long term and deploying our cash in assets that are not considered to be investment securities under the 1940 Act. In addition, such a determination could adversely affect the market price of LINK and in turn adversely affect the market price of our Class A common stock. Any of these actions could have a material adverse effect on our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Company Act and the rules thereunder contain detailed parameters for the organization and operation of investment companies. We intend to conduct our operations so that we will not be deemed to be an investment company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Company Act. If anything were to happen that would cause us to be deemed to be an investment company under the Investment Company Act and if we are not able to come within an available exemption or exclusion under the Investment Company Act, then we would have to register as an investment company and this would could make it impractical for us to continue our businesses as currently conducted, and could have a material adverse effect on our businesses, financial condition and results of operations. In addition, we may be required to limit the amount of investments that we make as a principal or otherwise conduct our businesses in a manner that does not subject us to the registration and other requirements of the Investment Company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means, among other things, that the execution of or changes to our Treasury Reserve Policy or our LINK strategy, our use of leverage, the manner in which our LINK is custodied, our ability to engage in transactions with affiliated parties and our operating and investment activities generally are not subject to the extensive legal and regulatory requirements and prohibitions that apply to regulated investment vehicles. As a result, investors in our company may be exposed to greater volatility, concentration risk and governance discretion than they would be if we were subject to the protections afforded to regulated investment vehicles.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be subject to additional tax liability if regulation or policy changes adversely affect the tax treatment of rewards from staking LINK.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 federal income tax treatment of rewards from staking digital assets such as LINK remains uncertain and is currently under the subject of debate and regulatory attention. If regulation or policy changes, or the interpretation or enforcement thereof, results in adverse tax treatment of rewards from staking LINK, we could be subject to increased audits by the IRS and additional tax liabilities.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may face operational, technological, and security risks related to the acquisition and custody of our LINK holdings, including the loss of private keys required to access our LINK holdings and smart contract related losses and vulnerabilities.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use third-party exchanges or brokerage firms that we believe to be reputable to purchase LINK for our treasury to the extent LINK is available on such exchanges. As part of our process in determining transactions with third-party exchanges, we search for reputable exchanges that have industry standard policies and procedures in place regarding data security and customer diligence related to anti-money laundering, Office of Foreign Assets Control and know your client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Substantially all of the LINK we own is and will be held in custody accounts at U.S.-based institutional-grade digital asset custodians, such as Coinbase Custody. Accordingly, we will depend on such custodians to maintain industry standard policies and procedures and to implement satisfactory internal controls. If such custodians fail to maintain industry standard policies surrounding custodianship, our business, financial condition or the results of our operations may be materially adversely affected. Multiple custodians may utilize similar wallet infrastructure, cloud service providers or software systems, which could increase systemic technology risk. Such custodians have duties to safeguard our private keys. LINK are controllable only with both the unique public key and private key(s) relating to the local or online digital wallet in which the LINK are held. Private keys must be safeguarded and kept private in order to prevent a third party from accessing the LINK held in such wallet. To the extent the private key(s) for a digital wallet are lost or otherwise compromised and no backup of the private key(s) is accessible, neither we nor our custodians will be able to access the LINK held in the related digital wallet.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Security breaches and cyberattacks are of particular concern with respect to our LINK. A successful security breach or cyberattack could result in a partial or total loss of our LINK in a manner that may not be covered by insurance or the liability provisions of the custody agreements with the custodians who hold our LINK. In addition, the implementation and management of our digital asset treasury strategy may require new systems, controls, and expertise, and may expose us to operational risks not previously encountered, including risks related to blockchain technology, smart contracts, and network outages.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Treasury Reserve Policy, we intend to engage in staking or other permitted activities that involve the use of “smart contracts” or decentralized applications. The use of smart contracts or decentralized applications entails certain risks including risks stemming from the existence of administrative or privileged access controls (“admin keys”) in third-party protocols or applications that could be exploited, potentially leading to a loss of our LINK. Smart contracts and decentralized applications may contain bugs, security vulnerabilities or poorly designed permission structures that could result in the irreversible loss of our LINK. Exploits, including those stemming from admin key misuse, admin key compromise, or protocol flaws, have occurred in the past and may occur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suffer losses due to staking activities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Staking LINK requires LINK to be transferred into smart contracts on the Ethereum mainnet. If the Ethereum or Chainlink protocol or source code were to fail to behave as expected, suffer cybersecurity attacks or hacks, experience security issues, or encounter other problems, such staked LINK may be irretrievably lost. In addition, the Chainlink protocol dictates requirements for participation in staking activities and may impose penalties, such as slashing (the forfeiting of staked LINK), if the relevant activities are not performed correctly. As a result, our staked LINK may be exposed to risks associated with node operator performance or other staking activities, which may result in staking rewards less than expected or the loss of LINK.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irreversibility of digital asset transactions exposes us to risks of theft, loss and human error, which could negatively impact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change in use of proceeds from our ELOC facility to include digital asset acquisitions may increase risk and reduce liquidity.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use of proceeds from its ELOC facility may now include the acquisition of digital assets, which are subject to the risks described above. Investors should be aware that funds previously expected to be used for general corporate purposes, working capital, or other traditional uses may now be allocated to the purchase of LINK and other digital assets, which may not provide the same liquidity or risk profile as cash or cash equivalents.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Treasury Reserve Policy exposes us to risk of non-performance by counterparties.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Treasury Reserve Policy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LINK, a loss of the opportunity to generate funds, or other losses.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digital asset treasury strategy could create complications with third party service providers, such as insurance companies, banking entities and auditors, which could have a materially adverse impact on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digital asset treasury strategy could create complications with third party service providers that may place a high risk on companies engaging in such a strategy. For example, third-party service providers may refuse to enter into commercially acceptable contracts with us and other companies that engage in similar treasury strategies with digital assets. This could have a number of adverse impacts on the operation of our business, including increased costs or loss of access to insurance, banking, or audit services.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Technological obsolescence and competition could adversely affect the value of LINK.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digital asset ecosystem is characterized by rapid technological innovation, short development cycles, and intense competition among blockchain protocols and related infrastructure providers. If the Chainlink protocol is unable to evolve to address increased competition or if new technologies are adopted in place of Chainlink, the value of LINK could decline, adversely affecting our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emergence or growth of other digital assets or other technologies, including those with significant private or public sector backing, could have a negative impact on the price of LINK and, consequently, adversely affect the market price of our Class A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emergence or growth of digital assets other than LINK may have a material adverse effect on our financial condition. If the mechanisms for validating transactions in other digital assets are perceived as superior to those used by the Chainlink protocol, those digital assets could gain market share relative to LINK.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Developments in mathematics or technology, including algebraic geometry, digital computing, quantum computing, and/or artificial intelligence could result in the cryptography used by Chainlink or other blockchains becoming insecure or ineffective, which could cause the value of LINK to decline, adversely affecting our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due diligence procedures conducted by us and our liquidity providers to mitigate transaction risk may fail to prevent transactions with a sanctioned entity.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execute trades through U.S.-based liquidity providers, and rely on these third parties to implement controls and procedures to mitigate the risk of transacting with sanctioned entities. There is no guarantee that these procedures will be effective, and if we are found to have transacted in LINK with bad actors or sanctioned persons, we may be subject to regulatory proceedings and restrictions.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launch of central bank digital currencies (“CBDCs”) may adversely impact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introduction of a government-issued digital currency could eliminate or reduce the need or demand for private-sector issued crypto currencies, or significantly limit their utility. National governments around the world could introduce CBDCs, which could in turn limit the size of the market opportunity for LINK and other digital assets.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Intellectual property disputes related to the open-source structure of digital asset networks expose us to risks related to software development, security vulnerabilities and potential disruptions to digital asset technology could threaten our ability to operate.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Digital asset networks are typically open-source projects and, although there may be an influential group of leaders in the network community, generally there is often no official developer or group of developers that formally controls the digital asset network. Without guaranteed financial incentives, there may be insufficient resources to address emerging issues, upgrade security or implement necessary improvements to the network in a timely manner. If the digital asset network’s software is not properly maintained or developed, it could become vulnerable to security threats, operational inefficiencies and reduced trust, all of which could negatively impact the digital assets’ long-term viability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1B. Unresolved Staff Comments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1C. Cybersecurity</w:t>
      </w:r>
    </w:p>
    <w:p>
      <w:pPr>
        <w:pStyle w:val="TextBody"/>
        <w:bidi w:val="0"/>
        <w:spacing w:lineRule="auto" w:line="288" w:before="200" w:after="283"/>
        <w:jc w:val="both"/>
        <w:rPr/>
      </w:pPr>
      <w:r>
        <w:rPr>
          <w:rFonts w:ascii="Times New Roman;serif" w:hAnsi="Times New Roman;serif"/>
          <w:b w:val="false"/>
          <w:color w:val="000000"/>
          <w:sz w:val="20"/>
          <w:shd w:fill="FFFFFF" w:val="clear"/>
        </w:rPr>
        <w:t>Companies utilizing technology are subject to threats to or failures of any or all aspects of their cybersecurity programs, collectively cybersecurity risks.</w:t>
      </w:r>
      <w:r>
        <w:rPr>
          <w:color w:val="000000"/>
        </w:rPr>
        <w:t xml:space="preserve"> </w:t>
      </w:r>
      <w:r>
        <w:rPr>
          <w:rFonts w:ascii="Times New Roman;serif" w:hAnsi="Times New Roman;serif"/>
          <w:b w:val="false"/>
          <w:color w:val="000000"/>
          <w:sz w:val="20"/>
          <w:shd w:fill="FFFFFF" w:val="clear"/>
        </w:rPr>
        <w:t xml:space="preserve">We take a comprehensive approach to cybersecurity risk management and take securing customer, employee and other data entrusted to us seriously. We have established standards, policies, procedures and practices for assessment, identification, and effective management of material cybersecurity risks. We devote significant resources to implement and maintain security measures appropriate to regulatory requirements and customer expectations, and we will continue making appropriate investments to maintain the security of our data. </w:t>
      </w:r>
    </w:p>
    <w:p>
      <w:pPr>
        <w:pStyle w:val="TextBody"/>
        <w:bidi w:val="0"/>
        <w:spacing w:lineRule="auto" w:line="288" w:before="200" w:after="283"/>
        <w:jc w:val="both"/>
        <w:rPr/>
      </w:pPr>
      <w:r>
        <w:rPr>
          <w:rFonts w:ascii="Times New Roman;serif" w:hAnsi="Times New Roman;serif"/>
          <w:b w:val="false"/>
          <w:color w:val="000000"/>
          <w:sz w:val="20"/>
          <w:shd w:fill="FFFFFF" w:val="clear"/>
        </w:rPr>
        <w:t>We can provide no guarantee that our cybersecurity program, policies, and procedures will be completely effective in every instance, especially when it comes to the constantly evolving nature of cybersecurity threats. Our Risk Factors include further detail about the cybersecurity risks we face on an ongoing basis.</w:t>
      </w:r>
      <w:r>
        <w:rPr>
          <w:color w:val="000000"/>
        </w:rPr>
        <w:t xml:space="preserve"> </w:t>
      </w:r>
      <w:r>
        <w:rPr>
          <w:rFonts w:ascii="Times New Roman;serif" w:hAnsi="Times New Roman;serif"/>
          <w:b w:val="false"/>
          <w:color w:val="000000"/>
          <w:sz w:val="20"/>
          <w:shd w:fill="FFFFFF" w:val="clear"/>
        </w:rPr>
        <w:t>We believe that risks from prior cybersecurity threats, including previous cybersecurity incidents, have not materially affected our business to date. We can provide no assurance that there will not be cybersecurity incidents in the future or that they will not materially affect us, including our business strategy, results of operations, or financial condition.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approach for assessing, identifying, and managing material risks from cybersecurity threats are integrated into our overall risk management strategy and are based on commonly accepted frameworks established by the International Organization for Standardization, the National Institute of Standards and Technology, and other applicable industry standards. Our cybersecurity program focuses on the following key areas: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Collaboration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risks are identified and addressed comprehensively in a cross-functional approach. Key security, risk, and compliance stakeholders meet regularly to develop strategies for preserving the confidentiality, integrity and availability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and our customer information. We have controls and procedures in place to ensure prompt escalation of certain cybersecurity incidents so that decisions regarding public disclosure and reporting of such incidents can be made by management and the Board in a timely manner.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Risk Assessment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and assess cybersecurity risks using the same cross-functional approach and since our cybersecurity program relies on certain third parties, these third parties are included in the assessment of cybersecurity risks. This approach drives alignment on the prioritization of initiatives to maintain our security controls.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Technical Safeguards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deploy technical safeguards designed to protect our information systems from cybersecurity threats. Such safeguards are regularly evaluated, adjusted and improved based on vulnerability assessments, cybersecurity threat intelligence and incident response experience.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Incident Response and Recovery Planning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appropriate incident response and recovery plans and periodically perform tests to evaluate the effectiveness of these plans. Our incident response and recovery plans include guidance to our employees, management, and our board on response to cybersecurity incidents.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Third-Party Risk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appropriate controls designed to identify and mitigate cybersecurity risks associated with the use of third-party service providers. Such providers are subject to security risk assessments at the time of onboarding, contract renewal, and upon detection of an increase in risk profile. We require our providers to meet appropriate security requirements, and we investigate security incidents that have impacted our third-party providers, as appropriate.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Education and Awareness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Employees are regularly reminded of the importance of handling and protecting customer and our data. Employees receive appropriate policies and annual privacy and security training to enhance awareness and reinforce desired behaviors.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External Assessments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cybersecurity policies, standards, processes and practices are regularly assessed by third-party business partners, consultants and cybersecurity information technology consultants.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Vulnerability Assessments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use third-party consultants who specialize in identifying and validating potential cybersecurity vulnerabilities to test our systems, networks, and applications. These may include penetration testing exercises to simulate real-world attack scenarios.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Expertise from Business Partners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utilize business partners who possess deep cybersecurity expertise. They contribute to risk assessments, help refine our security architecture, and provide valuable insights into industry best practices.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Board Oversight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board, through the Audit Committee, has oversight of our cybersecurity risk management program. The Audit Committee receives regular updates from management on cybersecurity risks and progress of risk reduction initiatives, and from external auditor feedback and relevant business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Management’s Role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Officer (“COO”), who serves as our designated Chief Information Security officer (“CISO”), together with our Manager of Technology, has primary responsibility for the ongoing management of our cybersecurity program. The COO meets regularly with the Manager of Technology to review information technology and security updates, including the results of periodic third-party cybersecurity penetration testing and proposed network security enhancements. In the event of a cybersecurity incident, we maintain a defined incident response plan designed to facilitate timely response and mitigation. The plan outlines immediate actions to address and contain potential impacts, as well as longer-term remediation measures and strategies intended to reduce the risk of future incidents.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COO has more than 30 years of experience in public company operations, including responsibilities that require oversight of information security as part of the effective performance of his duties. He holds a Bachelor’s degree in Business Administration from Arizona State University. Our Manager of Technology has served in various roles in information technology and information security for over 10 years.</w:t>
      </w:r>
      <w:r>
        <w:rPr>
          <w:color w:val="000000"/>
        </w:rPr>
        <w:t xml:space="preserve"> </w:t>
      </w:r>
      <w:r>
        <w:rPr>
          <w:rFonts w:ascii="Times New Roman;serif" w:hAnsi="Times New Roman;serif"/>
          <w:b w:val="false"/>
          <w:color w:val="000000"/>
          <w:sz w:val="20"/>
        </w:rPr>
        <w:t>He holds a Bachelor’s degree in Information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2.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Scottsdale, Arizona, where we own our headquarters office building. We also lease office space in Bryan, Texas. We consider these facilities to be suitable and adequate for the management and operation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5. Market for Registrant's Common Equity, Related Stockholder Matters and Issuer Purchases of Equity Securities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CaliberCos Inc. Class A common stock trades on the Nasdaq Capital Market under the symbol “CWD”.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March 23, 2026, there were 1,507 holders of record of our Class A common stock and three holders of record of our Class B common stock. This does not include the number of stockholders that hold shares in “street name” through brokers and other nominees.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Class A common stock. We currently intend to retain all of our future earnings, if any, to finance the growth and development of our business. In addition, the terms of any future debt agreements may preclude us from paying dividends. As a result, capital appreciation, if any, of our shares of Class A common stock will be your sole source of gain for the foreseeable future.</w:t>
      </w:r>
    </w:p>
    <w:p>
      <w:pPr>
        <w:pStyle w:val="TextBody"/>
        <w:bidi w:val="0"/>
        <w:spacing w:lineRule="auto" w:line="288" w:before="200" w:after="283"/>
        <w:jc w:val="both"/>
        <w:rPr/>
      </w:pPr>
      <w:r>
        <w:rPr>
          <w:rFonts w:ascii="Times New Roman;serif" w:hAnsi="Times New Roman;serif"/>
          <w:b/>
          <w:color w:val="000000"/>
          <w:sz w:val="20"/>
        </w:rPr>
        <w:t>Unregistered Sales of Equity Securities and Use of Proceed</w:t>
      </w:r>
      <w:r>
        <w:rPr>
          <w:rFonts w:ascii="Times New Roman;serif" w:hAnsi="Times New Roman;serif"/>
          <w:b w:val="false"/>
          <w:color w:val="000000"/>
          <w:sz w:val="20"/>
        </w:rPr>
        <w: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155,693 shares of Class A common stock with an aggregate fair value of approximately $0.4 million as consideration for advisory and placement services and in connection with a private placement. Additionally, the Company issued 15,868 shares of Series B preferred stock, each with a stated value of $1,000 to an institutional investor for total proceeds of $15.9 million. Both the issuance of shares of Class A common stock and Serie B preferred stock were deemed to be exempt from registration under the Securities Act of 1933, as amended (the "Securities Act") in reliance upon Section 4(a)(2) of the Securities Act. A legend restricting the sale, transfer, or other disposition of the shares of restricted Class A common stock other than in compliance with the Securities Act was placed on the shares of restricted Class A common stock issued in the foregoing transaction.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7.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consolidated financial statements and related notes thereto included elsewhere in this Annual Report on Form 10-K.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in this report entitled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Over the past 16 years, we have grown into a leading diversified alternative asset management firm, with more than $2.6 billion in Managed Assets, comprised of $0.8 billion of AUM and $1.9 billion of AUD. Our primary goal is to drive shareholder value by enhancing the wealth of the accredited investor clients seeking to make investments in real and 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evaluates our business based on (i) recurring fee-related earnings, (ii) growth in embedded performance allocations within our managed funds, and (iii) the strategic accumulation and yield generation from digital asset holdings. Because performance allocations are recognized under U.S. GAAP only when they are no longer probable of significant reversal (generally upon realization events), U.S. GAAP results may not reflect the economic progress of carried interest value creation within our managed portfolio at a given reporting 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2025, our Board of Directors approved our Treasury Reserve Policy designed to support our balance sheet strategy, liquidity profile, and long-term growth initiatives. Under this policy, we allocate a portion of our corporate treasury to digital assets that we believe demonstrate institutional utility and adoption potential, beginning with LINK.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LINK is the decentralized oracle network intended to enable smart contracts and traditional systems to securely interact with real-world data. We selected LINK as our initial digital asset holding based on management’s assessment of its core role in blockchain infrastructure supporting the growth of tokenization, decentralized finance, and real-world asset integration. Management believes that LINK’s enterprise adoption, technology maturity, and network resilience make LINK an attractive long-term holding relative to other digital assets at similar stages of adoption.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adoption of the policy, we have raised capital through equity issuances and deployed a portion of those proceeds to accumulate LINK as a long-term treasury asset. These holdings are reflected on our consolidated balance sheets at fair value as of December 31, 2025. Changes in the fair value of our LINK are reflected in our consolidated statements of operations for the year ended December 31, 2025. We expect continued volatility in the fair value of our digital asset holdings, which may materially affect reported results in future periods.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announced our intention to stake a portion of our LINK holdings once operational readiness and governance requirements are completed. Staking generally involves committing tokens to participate in network security and may generate a yield in the form of additional LINK tokens. Staking is a critical part of the LINK ecosystem and provides an opportunity for us to generate passive yield on its holdings while contributing to the stability and reliability of the broader network. Management estimates it may earn a yield of 3% to 9% annualized, based upon internal estimates of the potential to stake our LINK treasury. Any staking yield is subject to protocol rules, market conditions, operational factors and regulatory considerations. Actual results may differ materially from expectations.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parallel, we are evaluating the potential to operate or participate in LINK validator-related activities, which could include third party arrangements or internal capabilities. Validator-related activities play a central role in maintaining network consensus and facilitating data integrity. Revenues generated from staking or related activities, if any, would be evaluated by management in the context of our liquidity, balance sheet strategy and capital allocation within our digital asset treasury and asset management platform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consider additional products or investment offerings over time that provide exposure to digital assets or blockchain infrastructure, subject to market conditions, regulatory considerations, and investor demand. These future offerings could expand our AUM and generate recurring management and performance fees, consistent with our existing real estate fund model.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are evaluating potential applications of blockchain technology within our real estate investment platform, which could include processes intended to improve operational efficiency, investor servicing and investor accessibility. Specifically, we intend to tokenize real-world assets, including real estate projects and fund interests, to enable fractional ownership, enhance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liquidity, and streamline investor reporting and fund administration. Tokenized offerings could also serve as a new fundraising channel for us, allowing us to reach a broader base of global investors through compliant, blockchain-enabled investment vehicles.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and management team view the LINK strategy and broader blockchain initiatives as a natural evolution of our mission: to enhance the wealth of our accredited investor clients by making alternative investments more accessible, transparent, and profitable for investors. Through the integration of digital assets, blockchain infrastructure and tokenization technology, we seek to position ourself at the forefront of the convergence between traditional finance and decentralized finance.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Private Equity Real Estate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operate a Private Equity Real Estate (“PERE”) platform that creates, manages, and services middle-market investment funds, private syndications, and direct investments focused on real estate investment strategies. To built our funds, we market directly to high net worth and ultra high net worth investors with our in-house fundraising team to registered investment advisors and broker-dealers with our in-house wholesaling team.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 number of development, redevelopment, construction, and entitlement projects that are underway or are in the planning stages, which we define as AUD. This category includes projects to be build on underdeveloped land and projects to be built and constructed on undeveloped lands, some of which are on land owned by our funds or are under contract to purchase. Completing these development activities may ultimately result in income-producing assets, assets we may sell to third parties, or both.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are actively developing 1,796 multifamily units, 697 single family units, 3.7 million square feet of commercial and industrial, and 3.5 million square feet of office and retail. If all of these projects are brought to completion, the total cost capitalized to these projects, which represents total current estimated costs to complete the development and construction of such projects by us or a third party, is $1.9 billion, which we expect would be funded through a combination of undeployed fund cash, third-party equity, project sales, tax credit financing and similar incentives, and secured debt financing.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strive to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the Platform: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Asset Management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CHT, we earn a fund management fee of 0.7% of CHT’s enterprise value and is reimbursed for certain costs incurred on behalf of CHT.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Organizational &amp; Offering fees include fund set-up fees and are a one-time fee earned during the initial formation, administration, and set-up of fund products we distribute and manage. These fees are recognized at the point in time when the performance under the contract is complete.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Real estate development revenues are generally based on two fee-based contracts, not to exceed 6.0%.</w:t>
      </w:r>
      <w:r>
        <w:rPr>
          <w:color w:val="000000"/>
        </w:rPr>
        <w:t xml:space="preserve"> </w:t>
      </w:r>
      <w:r>
        <w:rPr>
          <w:rFonts w:ascii="Times New Roman;serif" w:hAnsi="Times New Roman;serif"/>
          <w:b w:val="false"/>
          <w:color w:val="000000"/>
          <w:sz w:val="20"/>
        </w:rPr>
        <w:t>The first, a real estate development contract that provides for up to 4.0% of the total expected costs of the development and is paid for services performed by Caliber Development, LLC as the principal developer of our projects.</w:t>
      </w:r>
      <w:r>
        <w:rPr>
          <w:color w:val="000000"/>
        </w:rPr>
        <w:t xml:space="preserve"> </w:t>
      </w:r>
      <w:r>
        <w:rPr>
          <w:rFonts w:ascii="Times New Roman;serif" w:hAnsi="Times New Roman;serif"/>
          <w:b w:val="false"/>
          <w:color w:val="000000"/>
          <w:sz w:val="20"/>
        </w:rPr>
        <w:t xml:space="preserve">These services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obtaining new entitlements or zoning changes and managing and supervising third-party developers.</w:t>
      </w:r>
      <w:r>
        <w:rPr>
          <w:color w:val="000000"/>
        </w:rPr>
        <w:t xml:space="preserve"> </w:t>
      </w:r>
      <w:r>
        <w:rPr>
          <w:rFonts w:ascii="Times New Roman;serif" w:hAnsi="Times New Roman;serif"/>
          <w:b w:val="false"/>
          <w:color w:val="000000"/>
          <w:sz w:val="20"/>
        </w:rPr>
        <w:t>The second, a construction management contract that provides for up to 4.0% of the total expected costs of the construction project for services provided managing general contractors with respect to the construction of the properties owned by the funds.</w:t>
      </w:r>
      <w:r>
        <w:rPr>
          <w:color w:val="000000"/>
        </w:rPr>
        <w:t xml:space="preserve"> </w:t>
      </w:r>
      <w:r>
        <w:rPr>
          <w:rFonts w:ascii="Times New Roman;serif" w:hAnsi="Times New Roman;serif"/>
          <w:b w:val="false"/>
          <w:color w:val="000000"/>
          <w:sz w:val="20"/>
        </w:rPr>
        <w:t>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w:t>
      </w:r>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Estimated Performance Allocations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foundational to our long-term economic model.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based on internal asset-level business plans and projected exit assumptions, we estimate aggregate unrealized performance allocations of approximately $104.0 million. This estimate represents our contractual share of projected profits after satisfaction of preferred returns and return of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estimate is derived from:</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Asset-level discounted cash flow analyses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Underwriting models used for capital allocation decisions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Valuation methodologies consistent with fair value measurement frameworks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Independent third-party valuation work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Review procedures performed by our external auditors when applicable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Assets that are impaired, or where current projections do not support achieving returns above the preferred return threshold, are assigned zero carried interest value and are excluded from the $104.0 million estimate unless and until business plan revisions support a reasonable expectation of future performance allocation realization. Consistent with U.S. GAAP, the $104.0 million of estimated unrealized performance allocations is not reflected in our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disclosure of unrealized performance allocations provides important insight into embedded economic value and long-term earnings potential.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Sensitivity of Estimated Performance Allocations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performance allocation estimate is sensitive to changes in projected exit values of underlying assets. A 5% increase or decrease in projected exit values across the managed portfolio would result in an approximate $5.2 million increase or decrease in estimated performance allocations. Actual realized performance allocations may differ materially from current estimates based on changes in market conditions, operating performance, financing availability, or timing of realization events.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our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we were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were originally founded as Caliber Companies, LLC, an Arizona limited liability company, organized under the laws of Arizona, and commenced operations in January 2009. In November 2014, we reorganized as a Nevada corporation and in June 2018, we reincorporated in the state of Delaware. On our website we make available, free of charge, information about us and our investments. None of the information on our website is deemed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Our business is driven by trends which affect the following:</w:t>
      </w:r>
    </w:p>
    <w:p>
      <w:pPr>
        <w:pStyle w:val="TextBody"/>
        <w:bidi w:val="0"/>
        <w:spacing w:lineRule="auto" w:line="288" w:before="20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Capital formation:</w:t>
      </w:r>
      <w:r>
        <w:rPr>
          <w:color w:val="000000"/>
        </w:rPr>
        <w:t> </w:t>
      </w:r>
      <w:r>
        <w:rPr>
          <w:rFonts w:ascii="Times New Roman;serif" w:hAnsi="Times New Roman;serif"/>
          <w:b w:val="false"/>
          <w:color w:val="000000"/>
          <w:sz w:val="20"/>
        </w:rPr>
        <w:t>any trend which increases or decreases investors’ knowledge of alternative investments, desire to acquire them, access to acquire them, and knowledge and appreciation of us as a potential provider, will affect our ability to attract and raise new capital. Capital formation also drives investment acquisitions, which contributes to our revenues.</w:t>
      </w:r>
    </w:p>
    <w:p>
      <w:pPr>
        <w:pStyle w:val="TextBody"/>
        <w:bidi w:val="0"/>
        <w:spacing w:lineRule="auto" w:line="288" w:before="200" w:after="283"/>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Investment acquisition:</w:t>
      </w:r>
      <w:r>
        <w:rPr>
          <w:color w:val="000000"/>
        </w:rPr>
        <w:t> </w:t>
      </w:r>
      <w:r>
        <w:rPr>
          <w:rFonts w:ascii="Times New Roman;serif" w:hAnsi="Times New Roman;serif"/>
          <w:b w:val="false"/>
          <w:color w:val="000000"/>
          <w:sz w:val="20"/>
        </w:rPr>
        <w:t>any trend which increases or decreases the supply of middle-market real estate projects or loans, the accessibility of developments or development incentives, or enhances or detracts from our ability to access those projects will affect our ability to generate revenue. Coincidentally, investment acquisitions, or the rights to acquire an investment, drive capital formation, which acts as a growth engine for the Platform.</w:t>
      </w:r>
    </w:p>
    <w:p>
      <w:pPr>
        <w:pStyle w:val="TextBody"/>
        <w:bidi w:val="0"/>
        <w:spacing w:lineRule="auto" w:line="288" w:before="20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Project execution:</w:t>
      </w:r>
      <w:r>
        <w:rPr>
          <w:color w:val="000000"/>
        </w:rPr>
        <w:t> </w:t>
      </w:r>
      <w:r>
        <w:rPr>
          <w:rFonts w:ascii="Times New Roman;serif" w:hAnsi="Times New Roman;serif"/>
          <w:b w:val="false"/>
          <w:color w:val="000000"/>
          <w:sz w:val="20"/>
        </w:rPr>
        <w:t>any trend which increases or decreases the costs of execution on a real estate project, including materials pricing, labor pricing, access to materials, delays due to governmental action, and the general labor market, will affect our ability to generate revenues.</w:t>
      </w:r>
    </w:p>
    <w:p>
      <w:pPr>
        <w:pStyle w:val="TextBody"/>
        <w:bidi w:val="0"/>
        <w:spacing w:lineRule="auto" w:line="288" w:before="200" w:after="283"/>
        <w:jc w:val="both"/>
        <w:rPr/>
      </w:pPr>
      <w:r>
        <w:rPr>
          <w:rFonts w:ascii="Times New Roman;serif" w:hAnsi="Times New Roman;serif"/>
          <w:b w:val="false"/>
          <w:color w:val="000000"/>
          <w:sz w:val="20"/>
        </w:rPr>
        <w:t>Our business depends in large part on our ability to raise capital for our funds from investors. Since our inception, we have continued to successfully raise capital into our funds with our total capital raised through December 31, 2025 of</w:t>
      </w:r>
      <w:r>
        <w:rPr>
          <w:color w:val="000000"/>
          <w:shd w:fill="FFFFFF" w:val="clear"/>
        </w:rPr>
        <w:t xml:space="preserve"> </w:t>
      </w:r>
      <w:r>
        <w:rPr>
          <w:rFonts w:ascii="Times New Roman;serif" w:hAnsi="Times New Roman;serif"/>
          <w:b w:val="false"/>
          <w:color w:val="000000"/>
          <w:sz w:val="20"/>
        </w:rPr>
        <w:t>$769.3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we manage throughout the deal cycle will continue to offer an attractive value proposition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advancement of real estate investment-oriented technology, sometimes referred to as “proptech”, offers us the benefit of new and innovative technologies to better execute on capital formation strategies, investment acquisition strategies, and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strategies. In recent years, we have added to our technology stack with systems that we believe lead the market in their specific ability to enhance execution on our projects. Several of these technologies seek to incorporate investments in artificial intelligence, which we believe will be a prevailing trend in helping us to enhance our project execution going 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Regional conflicts and instability, such as those in Israel, Ukraine, and Iran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Global markets are experiencing significant volatility driven by concerns over inflation, elevated interest rates, global tariffs, slowing economic growth and geopolitical uncertainty. The annual inflation rate in the United States increased to 9.1% in June 2022, the highest rate since November 1981, but decreased to 2.7% in December 2025. As a result, from January 1, 2022 through September 18, 2024, the Federal Reserve increased the federal funds rate by 525 basis points. Subsequently, the Federal Reserve decreased the federal funds rate by 169 basis points through December 31, 2025, resulting in a target rate range of 3.50% to 3.75% at December 31, 2025.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our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our early years of operations. In both a buyer’s market and a stressed or distressed market, we expect our business model to outperform, as our direct access to investor capital and our ability to invest in a variety of asset classes allows us to move with the market and take advantage of potentially attractive prices. For project execution, inflation has increased the cost of nearly all building materials and labor types, increasing the cost of construction and renovation of our funds’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resulting in significant and lasting changes to the Qualified Opportunity Zone (“QOZ”) program. Most notably, the OBBBA eliminates the program’s original sunset date of December 31, 2026, and extends the QOZ program indefinitely. This legislative change could potentially impact our real estate investment strategy, particularly for our funds with existing or future exposure to QOZ-designed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actively evaluating the potential long-term implications of the OBBBA, including increased investor demand for QOZ-aligned strategies and shifts in capital deployment across target markets. However, the full scope and operational impact of these changes remain subject to further guidance. Accordingly, there can be no assurance that the legislative changes will lead to improved fund performance or investor outcomes. We will continue to monitor developments and adjust its strategies as appropriate to align with the evolving QOZ landscape.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Financial Measures and Indicators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consolidated financial statements included herein.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(Expense)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include interest expense, interest income, and change in fair value of digital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we deconsolidated DoubleTree by Hilton Tucson Convention Center during the year ended December 31, 2024, and we deconsolidated Caliber Hospitality, LP, CHT and their consolidated subsidiaries, Elliot, DT Mesa, and CFIF III, during the year ended December 31, 2025. The following table and discussion provide insight into our consolidated results of operations for the years ended December 31, 2025 and 2024 (in thousands):</w:t>
      </w:r>
    </w:p>
    <w:tbl>
      <w:tblPr>
        <w:tblW w:w="9384" w:type="dxa"/>
        <w:jc w:val="left"/>
        <w:tblInd w:w="0" w:type="dxa"/>
        <w:tblLayout w:type="fixed"/>
        <w:tblCellMar>
          <w:top w:w="28" w:type="dxa"/>
          <w:left w:w="28" w:type="dxa"/>
          <w:bottom w:w="28" w:type="dxa"/>
          <w:right w:w="28" w:type="dxa"/>
        </w:tblCellMar>
      </w:tblPr>
      <w:tblGrid>
        <w:gridCol w:w="1432"/>
        <w:gridCol w:w="1258"/>
        <w:gridCol w:w="1270"/>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3"/>
        <w:gridCol w:w="293"/>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total revenues were $20.1 million and $51.1 million, respectively, representing a period-over-period decrease of 60.7%. This decrease was primarily due to a decrease in consolidated fund revenues as a result of the deconsolidation of CHT and Caliber Hospitality, LP and its consolidated subsidiaries, Elliot, DT Mesa, and CFIF III, which were deconsolidated during the year ended December 31, 2024 and TCC, which was deconsolidated during the year ended December 31, 2025.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total expenses were $27.7 million and $64.4 million, respectively, representing a period-over-period decrease of 57.1%. The decrease was primarily due to a decrease in consolidated fund expenses as a result of the deconsolidation of CHT and Caliber Hospitality, LP and its consolidated subsidiaries, Elliot, DT Mesa, and CFIF III, which were deconsolidated during the year ended December 31, 2024 and TCC, which was deconsolidated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change in fair value of digital assets was $(5.8) million. During the year ended December 31, 2025, we had investments in digital assets resulting in an unrealized loss. There was no comparable activity during the same period in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results of operations of the Platform for the years ended December 31, 2025 and 2024 (in thousands).</w:t>
      </w:r>
    </w:p>
    <w:tbl>
      <w:tblPr>
        <w:tblW w:w="8499" w:type="dxa"/>
        <w:jc w:val="left"/>
        <w:tblInd w:w="0" w:type="dxa"/>
        <w:tblLayout w:type="fixed"/>
        <w:tblCellMar>
          <w:top w:w="28" w:type="dxa"/>
          <w:left w:w="28" w:type="dxa"/>
          <w:bottom w:w="28" w:type="dxa"/>
          <w:right w:w="28" w:type="dxa"/>
        </w:tblCellMar>
      </w:tblPr>
      <w:tblGrid>
        <w:gridCol w:w="1112"/>
        <w:gridCol w:w="977"/>
        <w:gridCol w:w="986"/>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93"/>
        <w:gridCol w:w="293"/>
        <w:gridCol w:w="61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0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total revenues were $15.2 million and $20.9 million, respectively, representing a period-over-period decrease of 27.5%. The table below (in thousands) compares the revenues earned for providing services under the Platform as described in the Revenue Recognition section of Note 2 – Summary of Significant Accounting Policies for the year ended December 31, 2025, to the revenues earned for the same period in 2024.</w:t>
      </w:r>
    </w:p>
    <w:tbl>
      <w:tblPr>
        <w:tblW w:w="8586" w:type="dxa"/>
        <w:jc w:val="left"/>
        <w:tblInd w:w="0" w:type="dxa"/>
        <w:tblLayout w:type="fixed"/>
        <w:tblCellMar>
          <w:top w:w="28" w:type="dxa"/>
          <w:left w:w="28" w:type="dxa"/>
          <w:bottom w:w="28" w:type="dxa"/>
          <w:right w:w="28" w:type="dxa"/>
        </w:tblCellMar>
      </w:tblPr>
      <w:tblGrid>
        <w:gridCol w:w="1082"/>
        <w:gridCol w:w="950"/>
        <w:gridCol w:w="953"/>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61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fund management fees is primarily due to a decrease in organizational and offering fees as there were no new funds created during the year ended December 31, 2025, as compared to the three funds created during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based on a combination of 1.0% to 1.5% of the unreturned capital contributions in each fund and 0.7% of CHT’s enterprise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in development and construction fees is primarily due to a decrease in development activities, specifically, a decrease in pre-construction milestones reached in the period. During the year ended December 31, 2025, we completed 11 milestones as compared to 30 milestones during the same period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total expenses were $21.7 million and $33.1 million, respectively, representing a period-over-period decrease of 34.3%. The decrease was primarily due to a decrease in operating costs related to payroll and payroll related expenses from our cost reduction efforts and a decrease in bad debt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change in fair value of digital assets was $5.8 million. During the year ended December 31, 2025, our DAT strategy investment in LINK tokens generated a loss due to a decline in the spot price of our token which was part of a broader market correction in digital tokens and assets. There was no comparable activity during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231F20"/>
          <w:sz w:val="20"/>
        </w:rPr>
        <w:t>Balance Sheets -</w:t>
      </w:r>
      <w:r>
        <w:rPr>
          <w:color w:val="000000"/>
        </w:rPr>
        <w:t xml:space="preserve"> </w:t>
      </w:r>
      <w:r>
        <w:rPr>
          <w:rFonts w:ascii="Times New Roman;serif" w:hAnsi="Times New Roman;serif"/>
          <w:b/>
          <w:i/>
          <w:color w:val="000000"/>
          <w:sz w:val="20"/>
        </w:rPr>
        <w:t>Platform (Unconsolidated)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balance sheets of the asset management Platform for the years ended December 31, 2025 and 2024.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9443" w:type="dxa"/>
        <w:jc w:val="left"/>
        <w:tblInd w:w="0" w:type="dxa"/>
        <w:tblLayout w:type="fixed"/>
        <w:tblCellMar>
          <w:top w:w="28" w:type="dxa"/>
          <w:left w:w="28" w:type="dxa"/>
          <w:bottom w:w="28" w:type="dxa"/>
          <w:right w:w="28" w:type="dxa"/>
        </w:tblCellMar>
      </w:tblPr>
      <w:tblGrid>
        <w:gridCol w:w="1917"/>
        <w:gridCol w:w="1687"/>
        <w:gridCol w:w="1691"/>
        <w:gridCol w:w="109"/>
        <w:gridCol w:w="109"/>
        <w:gridCol w:w="109"/>
        <w:gridCol w:w="349"/>
        <w:gridCol w:w="1195"/>
        <w:gridCol w:w="180"/>
        <w:gridCol w:w="109"/>
        <w:gridCol w:w="109"/>
        <w:gridCol w:w="109"/>
        <w:gridCol w:w="344"/>
        <w:gridCol w:w="1175"/>
        <w:gridCol w:w="251"/>
      </w:tblGrid>
      <w:tr>
        <w:trPr/>
        <w:tc>
          <w:tcPr>
            <w:tcW w:w="191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18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 (DEFICIT)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B</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77,263 </w:t>
            </w:r>
          </w:p>
        </w:tc>
        <w:tc>
          <w:tcPr>
            <w:tcW w:w="18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8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2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Investment Valuations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unique feature of our funds is the discretion given to our management team to decide when to sell assets and when to hold them. We believe this discretion allows us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Assets Under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AUM refers to the assets we manage or sponsor. We monitor two types of information regarding our AUM:</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our management to further calculate and predict future earnings.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December 31, 2025, we had total FV AUM of approximately $779.7 million.</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Managed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managed capital for the years ended December 31, 2025 and 2024 (in thousands):</w:t>
      </w:r>
    </w:p>
    <w:tbl>
      <w:tblPr>
        <w:tblW w:w="4841" w:type="dxa"/>
        <w:jc w:val="left"/>
        <w:tblInd w:w="0" w:type="dxa"/>
        <w:tblLayout w:type="fixed"/>
        <w:tblCellMar>
          <w:top w:w="28" w:type="dxa"/>
          <w:left w:w="28" w:type="dxa"/>
          <w:bottom w:w="28" w:type="dxa"/>
          <w:right w:w="28" w:type="dxa"/>
        </w:tblCellMar>
      </w:tblPr>
      <w:tblGrid>
        <w:gridCol w:w="1048"/>
        <w:gridCol w:w="920"/>
        <w:gridCol w:w="926"/>
        <w:gridCol w:w="109"/>
        <w:gridCol w:w="109"/>
        <w:gridCol w:w="109"/>
        <w:gridCol w:w="287"/>
        <w:gridCol w:w="1124"/>
        <w:gridCol w:w="209"/>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managed capital for our investment fund portfolios as of December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6176" w:type="dxa"/>
        <w:jc w:val="left"/>
        <w:tblInd w:w="0" w:type="dxa"/>
        <w:tblLayout w:type="fixed"/>
        <w:tblCellMar>
          <w:top w:w="28" w:type="dxa"/>
          <w:left w:w="28" w:type="dxa"/>
          <w:bottom w:w="28" w:type="dxa"/>
          <w:right w:w="28" w:type="dxa"/>
        </w:tblCellMar>
      </w:tblPr>
      <w:tblGrid>
        <w:gridCol w:w="852"/>
        <w:gridCol w:w="748"/>
        <w:gridCol w:w="755"/>
        <w:gridCol w:w="317"/>
        <w:gridCol w:w="1244"/>
        <w:gridCol w:w="164"/>
        <w:gridCol w:w="109"/>
        <w:gridCol w:w="109"/>
        <w:gridCol w:w="109"/>
        <w:gridCol w:w="313"/>
        <w:gridCol w:w="1228"/>
        <w:gridCol w:w="228"/>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Caliber Hospitality Trust </w:t>
            </w:r>
            <w:r>
              <w:rPr>
                <w:rFonts w:ascii="Times New Roman;serif" w:hAnsi="Times New Roman;serif"/>
                <w:b w:val="false"/>
                <w:color w:val="000000"/>
                <w:sz w:val="13"/>
              </w:rPr>
              <w:t>(1)</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Real Estate </w:t>
            </w:r>
            <w:r>
              <w:rPr>
                <w:rFonts w:ascii="Times New Roman;serif" w:hAnsi="Times New Roman;serif"/>
                <w:b w:val="false"/>
                <w:color w:val="000000"/>
                <w:sz w:val="13"/>
              </w:rPr>
              <w:t>(2)</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Credit </w:t>
            </w:r>
            <w:r>
              <w:rPr>
                <w:rFonts w:ascii="Times New Roman;serif" w:hAnsi="Times New Roman;serif"/>
                <w:b w:val="false"/>
                <w:color w:val="000000"/>
                <w:sz w:val="13"/>
              </w:rPr>
              <w:t>(3)</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(4)</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We earn a fund management fee of 0.7% of the CHT enterprise value and are reimbursed for certain costs incurred on behalf of CHT.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Beginning the year ended December 31, 2023, we include capital raised from investors in CaliberCos Inc. through corporate note issuances that were further invested in our funds in Managed Capital.</w:t>
      </w:r>
      <w:r>
        <w:rPr>
          <w:color w:val="000000"/>
        </w:rPr>
        <w:t xml:space="preserve"> </w:t>
      </w:r>
      <w:r>
        <w:rPr>
          <w:rFonts w:ascii="Times New Roman;serif" w:hAnsi="Times New Roman;serif"/>
          <w:b w:val="false"/>
          <w:color w:val="000000"/>
          <w:sz w:val="20"/>
        </w:rPr>
        <w:t>As of December 31, 2025 and 2024, we invested $11.6 million and $20.4 million, respectively, in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Credit managed capital represents loans made to our investment funds by us and our diversified credit fund. As of December 31, 2025 and 2024, we had loaned $8.5 million and $0.4 million to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managed capital represents undeployed capital held in our diversified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hospitality funds and CHT was effectively flat during the year ended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residential investment funds increased by $7.3 million during the year ended December 31, 2025, representing: (i) $6.7 million in capital raised into our residential assets and (ii) $1.4 million contributed by our diversified funds offset by $0.8 million in redemptions.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commercial investment funds increased by $9.7 million during the year ended December 31, 2025, representing: (i) $5.2 million in capital raised into our commercial assets offset by $0.2 million of capital returns, and (ii) $5.4 million contributed by our diversified funds offset by $0.7 million return of capital. The scope of investments included tenant improvements, land development, and acquiring existing operating commercial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our diversified funds deployed $10.2 million into our various real estate investments, which was offset by $0.4 million of repayments of outstanding notes receivable.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other managed capital decreased $1.8 million, due to a decrease in funds not yet deployed and pursuit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FV AUM</w:t>
      </w:r>
    </w:p>
    <w:p>
      <w:pPr>
        <w:pStyle w:val="TextBody"/>
        <w:bidi w:val="0"/>
        <w:spacing w:lineRule="auto" w:line="288" w:before="200" w:after="283"/>
        <w:jc w:val="both"/>
        <w:rPr/>
      </w:pPr>
      <w:r>
        <w:rPr>
          <w:rFonts w:ascii="Times New Roman;serif" w:hAnsi="Times New Roman;serif"/>
          <w:b w:val="false"/>
          <w:color w:val="231F20"/>
          <w:sz w:val="20"/>
        </w:rPr>
        <w:t xml:space="preserve">Our fair value AUM decreased primarily due to asset sales, partially offset by asset purchases. </w:t>
      </w:r>
      <w:r>
        <w:rPr>
          <w:rFonts w:ascii="Times New Roman;serif" w:hAnsi="Times New Roman;serif"/>
          <w:b w:val="false"/>
          <w:color w:val="231F20"/>
          <w:sz w:val="20"/>
          <w:shd w:fill="FFFFFF" w:val="clear"/>
        </w:rPr>
        <w:t>T</w:t>
      </w:r>
      <w:r>
        <w:rPr>
          <w:rFonts w:ascii="Times New Roman;serif" w:hAnsi="Times New Roman;serif"/>
          <w:b w:val="false"/>
          <w:color w:val="231F20"/>
          <w:sz w:val="20"/>
        </w:rPr>
        <w:t xml:space="preserve">he table below details the activities that had an impact on our FV AUM, during the </w:t>
      </w:r>
      <w:r>
        <w:rPr>
          <w:rFonts w:ascii="Times New Roman;serif" w:hAnsi="Times New Roman;serif"/>
          <w:b w:val="false"/>
          <w:color w:val="000000"/>
          <w:sz w:val="20"/>
        </w:rPr>
        <w:t>years ended December 31, 2025 and 2024</w:t>
      </w:r>
      <w:r>
        <w:rPr>
          <w:color w:val="231F20"/>
        </w:rPr>
        <w:t xml:space="preserve"> </w:t>
      </w:r>
      <w:r>
        <w:rPr>
          <w:rFonts w:ascii="Times New Roman;serif" w:hAnsi="Times New Roman;serif"/>
          <w:b w:val="false"/>
          <w:color w:val="231F2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Assets acquired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CHT contribution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Assets sold or disposed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Credit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Assets acquired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Assets sold or disposed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Credit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FV AUM of our investment fund portfolios as of December 31, 2025 and 2024 (in thousands):</w:t>
      </w:r>
    </w:p>
    <w:tbl>
      <w:tblPr>
        <w:tblW w:w="5965" w:type="dxa"/>
        <w:jc w:val="left"/>
        <w:tblInd w:w="0" w:type="dxa"/>
        <w:tblLayout w:type="fixed"/>
        <w:tblCellMar>
          <w:top w:w="28" w:type="dxa"/>
          <w:left w:w="28" w:type="dxa"/>
          <w:bottom w:w="28" w:type="dxa"/>
          <w:right w:w="28" w:type="dxa"/>
        </w:tblCellMar>
      </w:tblPr>
      <w:tblGrid>
        <w:gridCol w:w="776"/>
        <w:gridCol w:w="681"/>
        <w:gridCol w:w="687"/>
        <w:gridCol w:w="317"/>
        <w:gridCol w:w="1244"/>
        <w:gridCol w:w="164"/>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Trust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693,400 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Credit </w:t>
            </w:r>
            <w:r>
              <w:rPr>
                <w:rFonts w:ascii="Times New Roman;serif" w:hAnsi="Times New Roman;serif"/>
                <w:b w:val="false"/>
                <w:color w:val="000000"/>
                <w:sz w:val="13"/>
              </w:rPr>
              <w:t>(3)</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(4)</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Assets acquired during the year ended December 31, 2025 include one self-storage property in Colorado and one land parcel intended for hotel development in Texas. Assets acquired during the year ended December 31, 2024 include a 133-acre mixed-use land development property in Colorado and an office building conversion to multi-family residential. </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Assets sold during the year ended December 31, 2025 include three hospitality assets and various lot sales related to development assets. Assets sold during the year ended December 31, 2024 include a commercial asset, lot sales related to two development assets in Colorado, and one home from our residential fund.</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Credit FV AUM represents loans made to our investment funds by our diversified credit fund.</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FV AUM represents undeployed capital held in our diversified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Assets Under Development</w:t>
      </w:r>
    </w:p>
    <w:p>
      <w:pPr>
        <w:pStyle w:val="TextBody"/>
        <w:bidi w:val="0"/>
        <w:spacing w:lineRule="auto" w:line="288" w:before="200" w:after="283"/>
        <w:jc w:val="both"/>
        <w:rPr/>
      </w:pPr>
      <w:r>
        <w:rPr>
          <w:rFonts w:ascii="Times New Roman;serif" w:hAnsi="Times New Roman;serif"/>
          <w:b w:val="false"/>
          <w:color w:val="231F20"/>
          <w:sz w:val="20"/>
        </w:rPr>
        <w:t xml:space="preserve">We have several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If we complete all AUD at </w:t>
      </w:r>
      <w:r>
        <w:rPr>
          <w:rFonts w:ascii="Times New Roman;serif" w:hAnsi="Times New Roman;serif"/>
          <w:b w:val="false"/>
          <w:color w:val="000000"/>
          <w:sz w:val="20"/>
        </w:rPr>
        <w:t xml:space="preserve">December 31, 2025, up through sale, we estimate we could earn up to $104.2 million in performance allocations. As of December 31, 2025, we are actively developing 1,796 multifamily units, 697 single family units, 3.7 million square feet of commercial and industrial, and 3.5 million square feet of office and retail. If all of these projects are brought to completion, the total cost capitalized to these projects, which represents total current estimate costs to complete the development and construction of such projects by us or a third party, is $1.9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 the mix of residential and commercial assets under development may change prior to final development. The development of these assets will require significant additional financing or other sources of funding which may not be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00" w:after="283"/>
        <w:jc w:val="both"/>
        <w:rPr/>
      </w:pPr>
      <w:r>
        <w:rPr>
          <w:rFonts w:ascii="Times New Roman;serif" w:hAnsi="Times New Roman;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erif" w:hAnsi="Times New Roman;serif"/>
          <w:b w:val="false"/>
          <w:color w:val="000000"/>
          <w:sz w:val="20"/>
        </w:rPr>
        <w:t>provide investors with a view of the performance attributable to us</w:t>
      </w:r>
      <w:r>
        <w:rPr>
          <w:rFonts w:ascii="Times New Roman;serif" w:hAnsi="Times New Roman;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Asset Management Platform or Platform</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 xml:space="preserve">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Fee-Related Earnings and Related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change in fair value of digital assets, public registration direct costs related to aborted or delayed offerings and our Reg A+ offering, litigation settlements, and expenses recorded to earnings relating to investment deals which were abandoned or closed. Fee-Related Earnings are presented on a basis that deconsolidates our consolidated funds (intercompany eliminations) and eliminates noncontrolling interest. Eliminating the impact of consolidated funds and noncontrolling interest provides investors with a view of the performance attributable to CaliberCos Inc.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Distributable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pStyle w:val="TextBody"/>
        <w:bidi w:val="0"/>
        <w:spacing w:lineRule="auto" w:line="288" w:before="200" w:after="283"/>
        <w:jc w:val="both"/>
        <w:rPr/>
      </w:pPr>
      <w:r>
        <w:rPr>
          <w:rFonts w:ascii="Times New Roman;serif" w:hAnsi="Times New Roman;serif"/>
          <w:b/>
          <w:i/>
          <w:color w:val="252525"/>
          <w:sz w:val="20"/>
        </w:rPr>
        <w:t>P</w:t>
      </w:r>
      <w:r>
        <w:rPr>
          <w:rFonts w:ascii="Times New Roman;serif" w:hAnsi="Times New Roman;serif"/>
          <w:b/>
          <w:i/>
          <w:color w:val="000000"/>
          <w:sz w:val="20"/>
        </w:rPr>
        <w:t>latform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Platform Earnings represents the performance of our asset management platform segment, which generates revenues and expenses from managing our investment portfolio, excluding any consolidated assets or funds. We evaluate recurring earnings capacity through fee-related earnings, defined as fund management fees, financing fees, development and construction fees, organizational and offering fees, and brokerage fees, less direct operating expenses. We believe this measure provides investors with insight into the recurring operating profile of our asset management platform independent of performance allocation timing.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Platform Earnings per Share</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Platform Earnings per Share is calculated as Platform Earnings divided by weighted average CWD common shares outstanding.</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Adjusted EBITDA represents our Distributable Earnings adjusted for interest expense, other income (expense), and provision for income taxes on a basis that deconsolidates our consolidated funds (intercompany eliminations) and eliminates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 Eliminating the impact of consolidated funds and noncontrolling interest provides investors with a view of the performance attributable to the Platform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represents our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Basic and Diluted Earnings Per Share (“EPS”)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Platform Basic and Diluted EPS represents earnings per share generated by the Platform, without reflecting the impact of consolidation. Eliminating the impact of consolidated funds and noncontrolling interest provides investors with a view of the performance attributable to the Platform and is consistent with performance models and analysis used by management.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a reconciliation of net loss attributable to CaliberCos Inc. to Fee-Related Earnings, Distributable Earnings, Platform</w:t>
      </w:r>
      <w:r>
        <w:rPr>
          <w:color w:val="231F20"/>
        </w:rPr>
        <w:t xml:space="preserve"> </w:t>
      </w:r>
      <w:r>
        <w:rPr>
          <w:rFonts w:ascii="Times New Roman;serif" w:hAnsi="Times New Roman;serif"/>
          <w:b w:val="false"/>
          <w:color w:val="231F20"/>
          <w:sz w:val="20"/>
        </w:rPr>
        <w:t>Adjusted EBITDA, and Consolidated Adjusted EBITDA</w:t>
      </w:r>
      <w:r>
        <w:rPr>
          <w:color w:val="000000"/>
        </w:rPr>
        <w:t xml:space="preserve"> </w:t>
      </w:r>
      <w:r>
        <w:rPr>
          <w:rFonts w:ascii="Times New Roman;serif" w:hAnsi="Times New Roman;serif"/>
          <w:b w:val="false"/>
          <w:color w:val="000000"/>
          <w:sz w:val="20"/>
        </w:rPr>
        <w:t>for the years ended December 31, 2025 and 2024 (in thousands):</w:t>
      </w:r>
    </w:p>
    <w:tbl>
      <w:tblPr>
        <w:tblW w:w="7329" w:type="dxa"/>
        <w:jc w:val="left"/>
        <w:tblInd w:w="0" w:type="dxa"/>
        <w:tblLayout w:type="fixed"/>
        <w:tblCellMar>
          <w:top w:w="28" w:type="dxa"/>
          <w:left w:w="28" w:type="dxa"/>
          <w:bottom w:w="28" w:type="dxa"/>
          <w:right w:w="28" w:type="dxa"/>
        </w:tblCellMar>
      </w:tblPr>
      <w:tblGrid>
        <w:gridCol w:w="1712"/>
        <w:gridCol w:w="1503"/>
        <w:gridCol w:w="1510"/>
        <w:gridCol w:w="211"/>
        <w:gridCol w:w="796"/>
        <w:gridCol w:w="109"/>
        <w:gridCol w:w="109"/>
        <w:gridCol w:w="109"/>
        <w:gridCol w:w="109"/>
        <w:gridCol w:w="211"/>
        <w:gridCol w:w="79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725"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fee-related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Caliber adjusted EBITDA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 adjusted 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EBITDA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Platform and Consolidated, basic and diluted earnings per share calculations below have been affected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income to the most comparable U.S. GAAP measure for the years ended December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9616" w:type="dxa"/>
        <w:jc w:val="left"/>
        <w:tblInd w:w="0" w:type="dxa"/>
        <w:tblLayout w:type="fixed"/>
        <w:tblCellMar>
          <w:top w:w="28" w:type="dxa"/>
          <w:left w:w="28" w:type="dxa"/>
          <w:bottom w:w="28" w:type="dxa"/>
          <w:right w:w="28" w:type="dxa"/>
        </w:tblCellMar>
      </w:tblPr>
      <w:tblGrid>
        <w:gridCol w:w="1431"/>
        <w:gridCol w:w="1257"/>
        <w:gridCol w:w="1272"/>
        <w:gridCol w:w="211"/>
        <w:gridCol w:w="796"/>
        <w:gridCol w:w="109"/>
        <w:gridCol w:w="109"/>
        <w:gridCol w:w="109"/>
        <w:gridCol w:w="109"/>
        <w:gridCol w:w="691"/>
        <w:gridCol w:w="1576"/>
        <w:gridCol w:w="358"/>
        <w:gridCol w:w="109"/>
        <w:gridCol w:w="109"/>
        <w:gridCol w:w="109"/>
        <w:gridCol w:w="241"/>
        <w:gridCol w:w="842"/>
        <w:gridCol w:w="178"/>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9615" w:type="dxa"/>
        <w:jc w:val="left"/>
        <w:tblInd w:w="0" w:type="dxa"/>
        <w:tblLayout w:type="fixed"/>
        <w:tblCellMar>
          <w:top w:w="28" w:type="dxa"/>
          <w:left w:w="28" w:type="dxa"/>
          <w:bottom w:w="28" w:type="dxa"/>
          <w:right w:w="28" w:type="dxa"/>
        </w:tblCellMar>
      </w:tblPr>
      <w:tblGrid>
        <w:gridCol w:w="1431"/>
        <w:gridCol w:w="1257"/>
        <w:gridCol w:w="1272"/>
        <w:gridCol w:w="211"/>
        <w:gridCol w:w="796"/>
        <w:gridCol w:w="109"/>
        <w:gridCol w:w="109"/>
        <w:gridCol w:w="109"/>
        <w:gridCol w:w="109"/>
        <w:gridCol w:w="580"/>
        <w:gridCol w:w="1740"/>
        <w:gridCol w:w="304"/>
        <w:gridCol w:w="109"/>
        <w:gridCol w:w="109"/>
        <w:gridCol w:w="109"/>
        <w:gridCol w:w="241"/>
        <w:gridCol w:w="842"/>
        <w:gridCol w:w="178"/>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0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7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 portfolio of corporate notes, whose composition and characteristics are similar to those reported in prior periods. At December 31, 2025, the portfolio consisted of 178 unsecured notes with an aggregate principal balance of $29.6 million. As of March 25, 2026, an aggregate of $24.5 million of the corporate and convertible notes have matured or will mature within the 12-month period subsequent to when these financial statements were issued. The notes generally have 12-month or 36-month terms, with the 12-month note holders having the option to extend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we incurred recurring operating losses and negative cash flow from operations, and could experience additional future operating losses and negative cash flow in the near term, combined with the fact that we do not have sufficient cash on hand to satisfy the total of the notes that mature within the next 12 months, these conditions and events raise substantial doubt about our ability to continue as a going concern. In response to these conditions, management considered the impact of these near-term maturities on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evaluated the impact a default of one or many of these notes might have on us. As these notes are unsecured, the terms in the agreements do not afford the note holder avenues of recourse in a default that could or would impact us adversely in the normal course of business, as the terms lack provisions for rights or claims against our assets, nor is there a scenario where a default could force liquidation of us. Management believes that even in the event of default of one or many of these notes, we would be able to negotiate a waiver of the default either through an extension of the maturity or principal repayment schedule.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we intend to execute the following strategies: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i.Raise $20 million of preferred stock series AA financing through its Reg A+ offering, which was qualified on March 12, 2025. From program inception through March 25, 2026, we have raised $6.4 million of Series AA preferred stock.</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ii.Refinance existing 12-month term notes into its new 36-month term corporate note program. From the program inception through March 25, 2026, we have successfully refinanced $6.4 million of 12-month term corporate notes into its new 36-month term corporate note program.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iii.Convert corporate notes into shares of CWD common stock. In October 2025, we launched a note conversion program (the “Program”) whereby holders (the “Note Holders”) of outstanding promissory notes (the “Notes”) may convert and cancel all or part of the Note Holders’ Notes in exchange for shares of Class A common stock, par value $0.001 (the “Conversion Agreement”) at a per share conversion price equaling the lower of (i) the average closing price of CWD’s Class A common stock over the five trading days prior to the execution of the respective Conversion Agreement, or the (ii) closing bid price of CWD’s Class A common stock the business day preceding the execution of the respective Conversion Agreement (the “Conversion Prices”). From program inception through March 25, 2026, we have successfully converted $1.9 million of corporate notes into 564,731 shares of common stock. The Conversion Prices ranged from $3.14 to $3.72 per share.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iv.Raise equity capital in support of its Chainlink (“LINK”) strategy through its approved ELOC and ATM facilities, with a portion of the proceeds allocated to general corporate purposes. From program inception through March 25, 2026, the Company generated $37.7 million million in net cash from equity issuances across all 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$10.7 million in receivables, iii) collect all or part of its $11.6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as part of the execution of our aforementioned plans, we raised $33.8 million in new equity in support of our LINK strategy, investing $12.6 million in LINK and maintaining $2.5 million in unrestricted cash on hand. We collected $2.1 million in notes receivable, $12.5 million in accounts receivable, and $2.0 million in redemptions of investments from its managed funds. In addition, we have implemented broad-based cost reductions, most notably being further workforce reductions, which are expected to result in annualized cost savings of $3.9 million in compensation and employee benefit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our control and therefore cannot be deemed probable. As a result, we have concluded that management’s plans do not alleviate substantial doubt about the Company’s ability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us for services performed by us.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issued and outstanding unsecured promissory notes of $29.6 million with an average outstanding principal balance of $0.2 million, a weighted average interest rate of 11.14%, and maturity dates ranging from January 2024 to March 2028. The purpose of this financing program is to provide us with flexible, short-term capital to be used to grow its assets under management and assist funds in a fast-moving acquisition or investment, as well as general corporate purposes. Additionally, the program provides customers of our funds access to a short-term lending opportunity. Management actively manages each relationship to determine if the respective customer would like to redeem upon maturity or extend for an additional period of time. This outstanding debt resulted in $3.6 million and $4.0 million of interest expense for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Analysis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section below discusses in more detail our primary sources and uses of cash and primary drivers of cash flow within our consolidated statements of cash flows (in thousands).</w:t>
      </w:r>
    </w:p>
    <w:tbl>
      <w:tblPr>
        <w:tblW w:w="7839" w:type="dxa"/>
        <w:jc w:val="left"/>
        <w:tblInd w:w="0" w:type="dxa"/>
        <w:tblLayout w:type="fixed"/>
        <w:tblCellMar>
          <w:top w:w="28" w:type="dxa"/>
          <w:left w:w="28" w:type="dxa"/>
          <w:bottom w:w="28" w:type="dxa"/>
          <w:right w:w="28" w:type="dxa"/>
        </w:tblCellMar>
      </w:tblPr>
      <w:tblGrid>
        <w:gridCol w:w="1253"/>
        <w:gridCol w:w="1103"/>
        <w:gridCol w:w="1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consolidated statements of cash flow by activity attributable to us and to our consolidated funds (in thousands).</w:t>
      </w:r>
    </w:p>
    <w:tbl>
      <w:tblPr>
        <w:tblW w:w="9774" w:type="dxa"/>
        <w:jc w:val="left"/>
        <w:tblInd w:w="0" w:type="dxa"/>
        <w:tblLayout w:type="fixed"/>
        <w:tblCellMar>
          <w:top w:w="28" w:type="dxa"/>
          <w:left w:w="28" w:type="dxa"/>
          <w:bottom w:w="28" w:type="dxa"/>
          <w:right w:w="28" w:type="dxa"/>
        </w:tblCellMar>
      </w:tblPr>
      <w:tblGrid>
        <w:gridCol w:w="1979"/>
        <w:gridCol w:w="1738"/>
        <w:gridCol w:w="1743"/>
        <w:gridCol w:w="109"/>
        <w:gridCol w:w="109"/>
        <w:gridCol w:w="109"/>
        <w:gridCol w:w="211"/>
        <w:gridCol w:w="796"/>
        <w:gridCol w:w="109"/>
        <w:gridCol w:w="109"/>
        <w:gridCol w:w="109"/>
        <w:gridCol w:w="109"/>
        <w:gridCol w:w="211"/>
        <w:gridCol w:w="796"/>
        <w:gridCol w:w="109"/>
        <w:gridCol w:w="109"/>
        <w:gridCol w:w="109"/>
        <w:gridCol w:w="109"/>
        <w:gridCol w:w="211"/>
        <w:gridCol w:w="73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net cash flows from operating activities are generally comprised of asset management revenues and performance allocations, less cash used for operating expenses, including interest paid on our debt obligations. The increase in net cash flows used in operating activities of the Company during the year ended December 31, 2025, as compared to the same period in 2024, primarily relates to a decrease in asset management revenues, development and construction fees and fund management fees specifically, and an increase in related party receivables. The decrease in net cash flows provided by operating activities of the consolidated funds during the year ended December 31, 2025, as compared to same period in 2024, was primarily related to the deconsolidation of VIEs.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of the Company increased during the year ended December 31, 2025, as compared to net cash flows provided by investing activities of the Company the same period in 2024. This increase primarily relates to the investment in digital assets during the year ended December 31, 2025, with no comparable investments during the same period in 2024, and a decrease in net proceeds from notes receivable - related parties. The decrease in net cash flows used in investing activities of the consolidated funds is primarily due to the deconsolidation of VIEs and a decrease in the net funding of notes receivable - related parties.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financing activities of the Company increased during the year ended December 31, 2025, as compared to the net cash flows used in in the same period in 2024. The increase was primarily due to an increase in net proceeds from the issuance of preferred stock, common stock, and redeemable preferred stock. The decrease in net cash flows provided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of the consolidated funds is primarily due to a decrease in contributions from noncontrolling interest holders of $16.4 million, offset by an increase of $5.7 million of net proceeds on notes payable and a decrease in distributions to noncontrolling interest holders of $5.2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and Estimates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our more significant estimates and judgments used in the preparation of our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that are satisfied over time, significant judgment is required to determine how to allocate transaction prices where multiple performance obligations are identified; when to recognize revenue based on appropriate measurement of our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its anticipated performance and all information that is reasonably available to us. Revenues are recognized when control of the promised services is transferred to customers in an amount that reflects the consideration we expect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revenue recognition for the fees we earn from providing services under our asset management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CHT, we earn a fund management fee of 0.7% of CHT’s enterprise value and are reimbursed for certain costs incurred on behalf of CHT. These revenues are included in asset management revenues in the accompanying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These revenues are included in asset management revenues in the accompanying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our digital assets in accordance with ASU 2023-08, Accounting for and Disclosure of Crypto Assets. ASU 2023-08 requires in-scope crypto assets (including our LINK holdings) to be measured at fair value in the statement of financial position, with gains and losses from changes in the fair value of such crypto being recognized in net income (loss) each reporting period. ASU 2023-08 also requires certain interim and annual disclosures for crypto assets within the scope of the standard. We adopted this guidance effective September 9, 2025, upon the completion of our initial purchase of LINK as part of the inauguration of our digital asset treasury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initially record our LINK purchases at cost, with any subsequent changes in fair value recognized as incurred in the accompanying consolidated statements of operations. The fair value of our LINK is adjusted and disclosed within the accompanying consolidated balance sheets at the end of each reporting period. We determine the fair value of our LINK holdings in accordance with ASC 820, Fair Value Measurement, based on quoted (unadjusted) prices on the Coinbase exchange, the active exchange that we have determined is our principal market for LINK (Level 1 inputs). In the event of a sale, we will calculate the gain (loss) to be recognized as the difference between the sales price, net of transaction costs, and the carrying value of the LINK sold immediately prior to sale. We use the first-in, first-out cost basis method when calculating the gain (loss) on sale.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 xml:space="preserve">We account for income taxes under the asset and liability method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the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our ability to utilize the loss carryforward.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Accounting Policies and Estimates of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the consolidated funds’ more significant estimates and judgments used in the preparation of our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are included in other liabilities on the accompanying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funds - other revenue primarily consists of rental revenue of $0.6 million and $1.4 million for the years ended December 31, 2025 and 2024, respectively. Rental revenue includes the revenues generated primarily by the rental operations of the residential and commercial properties of our consolidated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consolidated funds – other revenue includes interest income, which is generated by a consolidated funds lending activity. There was no interest income for the year ended December 31, 2025. For the year ended December 31, 2024, there was $5.9 million of interest income. Interest income is recognized on the accrual basis of accounting in accordance with the lending agreements over the term of the respective loan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gain on extinguishment of debt, gain on derivative instruments, insurance expenses, professional fees and other costs associated with administering and supporting those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7A. Quantitative and Qualitative Disclosures About Market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financial instruments and derivative financial instruments is the risk of loss from adverse changes in market prices or interest rates. Our market risk arises primarily from volatility in the digital asset market relating to LINK and interest rate risk relating to variable-rate borrowings.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digital asset markets have experienced significant price volatility, limited liquidity and trading volumes relative to sovereign currency markets, a developing regulatory environment, and risks related to market abuse, manipulation, and compliance or internal control failures at exchanges. These risks are heightened by the electronic and decentralized nature of digital assets. During periods of market instability, we may be unable to sell our LINK tokens at favorable prices,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LINK held with custodians or transacted through trading partners are not subject to the protections available for cash or securities held with institutions regulated by the Federal Deposit Insurance Corporation or the Securities Investor Protection Corporation. We may also be unable to obtain term loans or complete other capital-raising transactions using our unencumbered LINK holdings as collateral, particularly during periods of market stress or following significant declines in the price of LINK. If we are unable to transact in LINK, raise capital using LINK as collateral, or otherwise generate liquidity from our LINK holdings - and especially if we are required to sell LINK at a substantial loss to meet working capital requirements - our business and financial condition could be materially and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LINK digital asset treasury strategy,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time-to-time, we may enter into interest rate hedge contracts such as swaps, caps, collars, treasury locks, options and forwards to mitigate our interest rate risk with respect to various debt instruments. We would not hold or issue these derivative contracts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debt included fixed-rate debt with a fair value and carrying value of $60.2 million and $65.6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debt included variable-rate debt with a fair value and carrying value of $14.8 million. The sensitivity analysis related to our variable-rate debt assumes an immediate 100 basis point move in interest rates from their December 31, 2025 levels, with all other variables held constant. A 100 basis point increase or decrease in variable interest rates on our variable-rate debt would increase or decrease our interest expense by $0.1 million annually.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the Company’s revenues are generated from the management, ownership and/or operations of real estate assets located in Alaska, Arizona, Colorado, Kansas, Texas, and Virginia. The Company mitigates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asset types, including hospitality, commercial, single-family, multi-family, and self-storage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maintaining financing relationships with a diversified mix of lenders (differing size and type), including large national banks, local community banks, private equity lenders, and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8. Financial Statements and Supplementary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8 is hereby incorporated by reference to our consolidated financial statements beginning on page F-1 of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 xml:space="preserve">Item 9. Changes in and Disagreements With Accountants on Accounting and Financial Disclosures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9A. Controls and Procedures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December 31, 2025 and determined that the disclosure controls and procedures were effective at a reasonable assurance level as of that date.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report does not include a report on management’s assessment regarding internal control over financial reporting or an attestation report of our registered public accounting firm due to a transition period established by the SEC for newly public companies.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we are an “emerging growth company” under the JOBS Act, our independent public accounting firm will not be required to attest to the effectiveness of our internal control over financial reporting for so long as we are an emerging growth company.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occurred in our internal control over financial reporting (as defined in Rules 13a-15(f) and 15d-15(f) of the Exchange Act) during the three months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9B.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 director or officer (as defined in Rule 16a-1(f) of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9C. Disclosure Regarding Foreign Jurisdiction that Prevent Inspections.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 xml:space="preserve">Item 10. Directors, Executive Officers and Corporate Governance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to be filed within 120 days following the end of our fiscal year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11. Executive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to be filed within 120 days following the end of our fiscal year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12. Security Ownership of Certain Beneficial Owner and Management and Related Stockholder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to be filed within 120 days following the end of our fiscal year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13. Certain Relationships and Related Transactions, and Director Independence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to be filed within 120 days following the end of our fiscal year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14. Principal Accounting Fees and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to be filed within 120 days following the end of our fiscal year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D1C1D"/>
          <w:sz w:val="20"/>
        </w:rPr>
      </w:pPr>
      <w:r>
        <w:rPr>
          <w:rFonts w:ascii="Times New Roman;serif" w:hAnsi="Times New Roman;serif"/>
          <w:b/>
          <w:color w:val="1D1C1D"/>
          <w:sz w:val="20"/>
        </w:rPr>
        <w:t xml:space="preserve">Item 15. Exhibits, Financial Statement Schedules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Statements</w:t>
      </w:r>
    </w:p>
    <w:p>
      <w:pPr>
        <w:pStyle w:val="TextBody"/>
        <w:bidi w:val="0"/>
        <w:spacing w:lineRule="auto" w:line="288" w:before="200" w:after="283"/>
        <w:jc w:val="left"/>
        <w:rPr/>
      </w:pPr>
      <w:r>
        <w:rPr>
          <w:rFonts w:ascii="Times New Roman;serif" w:hAnsi="Times New Roman;serif"/>
          <w:b w:val="false"/>
          <w:color w:val="000000"/>
          <w:sz w:val="20"/>
        </w:rPr>
        <w:t>The Financial Statements are included herein at pages F-</w:t>
      </w:r>
      <w:hyperlink w:anchor="id7a0a8ff96e74680b49ca273e8b89a22_154">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through F-</w:t>
      </w:r>
      <w:hyperlink w:anchor="id7a0a8ff96e74680b49ca273e8b89a22_163">
        <w:r>
          <w:rPr>
            <w:rStyle w:val="InternetLink"/>
            <w:rFonts w:ascii="Times New Roman;serif" w:hAnsi="Times New Roman;serif"/>
            <w:b w:val="false"/>
            <w:color w:val="0000FF"/>
            <w:sz w:val="20"/>
            <w:u w:val="single"/>
          </w:rPr>
          <w:t>8</w:t>
        </w:r>
      </w:hyperlink>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Statement Schedules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for which provision is made in the applicable accounting regulations of the SEC are not required under the related instructions, the required information is contained elsewhere in this Annual Report on Form 10-K, or the schedules are inapplicable and have therefore been omitted.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included in this Annual Report on Form 10-K for the fiscal year ended December 31, 2025 (and are numbered in accordance with Item 601 of Regulation S-K):</w:t>
      </w:r>
    </w:p>
    <w:tbl>
      <w:tblPr>
        <w:tblW w:w="10205" w:type="dxa"/>
        <w:jc w:val="left"/>
        <w:tblInd w:w="0" w:type="dxa"/>
        <w:tblLayout w:type="fixed"/>
        <w:tblCellMar>
          <w:top w:w="28" w:type="dxa"/>
          <w:left w:w="28" w:type="dxa"/>
          <w:bottom w:w="28" w:type="dxa"/>
          <w:right w:w="28" w:type="dxa"/>
        </w:tblCellMar>
      </w:tblPr>
      <w:tblGrid>
        <w:gridCol w:w="309"/>
        <w:gridCol w:w="271"/>
        <w:gridCol w:w="272"/>
        <w:gridCol w:w="109"/>
        <w:gridCol w:w="109"/>
        <w:gridCol w:w="109"/>
        <w:gridCol w:w="2640"/>
        <w:gridCol w:w="2630"/>
        <w:gridCol w:w="375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CaliberCos Inc. (incorporated by reference to Exhibit 3.2 of CaliberCos Inc.’s Form 8-K filed with the SEC on May 19, 2023)</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Preferences and Rights relating to the Series A Convertible Preferred Stock, dated November 26, 2024 (incorporated by reference to Exhibit 3.1 of CaliberCos Inc.’s Form 8-K filed with the SEC on December 4, 2024)</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Preferences and Rights relating to the Series AA Cumulative Redeemable Preferred Stock, dated March 5, 20245 (incorporated by reference to Exhibit 3.1 of CaliberCos Inc.’s Form 8-K filed with the SEC on March 11,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the Third Amended and Restated Certificate of Incorporation filed on April 23, 2025 (incorporated by reference to Exhibit 3.1 of CaliberCos Inc.'s Form 8-K filed with the SEC on April 25,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Certificate of Adoption of Bylaw Amendment (incorporated by reference to Exhibit 3.1 of CaliberCos Inc.'s Form 8-K filed with the SEC on June 20,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20"/>
                  <w:u w:val="single"/>
                </w:rPr>
                <w:t>3.7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Certificate of Designation, Preferences and Rights relating to the Series B Convertible Preferred Stock, dated September 11, 2025 (incorporated by reference to Exhibit 3.1 of CaliberCos Inc.'s Form 8-K filed with the SEC on September 17,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20"/>
                  <w:u w:val="single"/>
                </w:rPr>
                <w:t>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Certificate of Amendment of Certificate of Incorporation (incorporated by reference to Exhibit 3.1 of CaliberCos Inc.’s Form 8-K filed with the SEC on February 5, 2026)</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Description of Securities (incorporated by reference to Exhibit 4.1 of CaliberCos Inc.'s Form 10-K filed with the SEC on March 31,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20"/>
                  <w:u w:val="single"/>
                </w:rPr>
                <w:t>4.3.1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20"/>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Promissory Note, issued by the Company to the Investor (incorporated by reference to Exhibit 4.1 of CaliberCos Inc.’s Form 8-K filed with the SEC on March 26,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20"/>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Common Stock Purchase Warrant, issued by the Company to the Investor (incorporated by reference to Exhibit 4.2 of CaliberCos Inc.’s Form 8-K filed with the SEC on March 26, 2025)</w:t>
              </w:r>
            </w:hyperlink>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FF"/>
                  <w:sz w:val="20"/>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Common Stock Purchase Warrant, issued by the Company to the Investor (incorporated by reference to Exhibit 4.3 of CaliberCos Inc.’s Form 8-K filed with the SEC on March 26, 2025)</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FF"/>
                  <w:sz w:val="20"/>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Warrant (incorporated by reference to Exhibit 4.1 of CaliberCos Inc.’s Form 8-K filed with the SEC on April 14,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9"/>
        <w:gridCol w:w="254"/>
        <w:gridCol w:w="255"/>
        <w:gridCol w:w="109"/>
        <w:gridCol w:w="109"/>
        <w:gridCol w:w="109"/>
        <w:gridCol w:w="2805"/>
        <w:gridCol w:w="2588"/>
        <w:gridCol w:w="3687"/>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FF"/>
                  <w:sz w:val="20"/>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Note (incorporated by reference to Exhibit 4.2 of CaliberCos Inc.’s Form 8-K filed with the SEC on April 14, 2025)</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FF"/>
                  <w:sz w:val="20"/>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Representative’s Warrants (incorporated by reference to Exhibit 4.1 of CaliberCos Inc.’s Form 8-K filed with the SEC on April 17, 2025)</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FF"/>
                  <w:sz w:val="20"/>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Rights Agreement, dated April 17, 2025, between the Company and Continental Stock Transfer &amp; Trust Company, as rights agent (incorporated by reference to Exhibit 4.2 of CaliberCos Inc.’s Form 8-K filed with the SEC on April 17, 2025)</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FF"/>
                  <w:sz w:val="20"/>
                  <w:u w:val="single"/>
                </w:rPr>
                <w:t>10.1</w:t>
              </w:r>
            </w:hyperlink>
            <w:r>
              <w:rPr>
                <w:color w:val="000000"/>
                <w:u w:val="single"/>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CaliberCos Inc. Amended and Restated 2017 Stock Incentive Plan (incorporated by reference to Exhibit 99.1 of CaliberCos Inc.’s Form S-8 (File No. 333-272078), filed with the SEC on May 19, 2023)</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erif" w:hAnsi="Times New Roman;serif"/>
                  <w:b w:val="false"/>
                  <w:color w:val="0000FF"/>
                  <w:sz w:val="20"/>
                  <w:u w:val="single"/>
                </w:rPr>
                <w:t>10.2</w:t>
              </w:r>
            </w:hyperlink>
            <w:r>
              <w:rPr>
                <w:color w:val="000000"/>
                <w:u w:val="single"/>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CaliberCos Inc. 2024 Equity Incentive Plan (incorporated by reference to Appendix A to the Company’s Definitive Proxy Statement (Schedule 14A) filed with the Commission on May 16, 2024)</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erif" w:hAnsi="Times New Roman;serif"/>
                  <w:b w:val="false"/>
                  <w:color w:val="0000FF"/>
                  <w:sz w:val="20"/>
                  <w:u w:val="single"/>
                </w:rPr>
                <w:t>10.3</w:t>
              </w:r>
            </w:hyperlink>
            <w:r>
              <w:rPr>
                <w:color w:val="000000"/>
                <w:u w:val="single"/>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CaliberCos Inc. Employee Stock Purchase Plan (incorporated by reference to Appendix B to the Company’s Definitive Proxy Statement (Schedule 14A) filed with the Commission on May 16, 2024)</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Loan Agreement, dated as of January 20, 2023, among 47th Street Phoenix Airport LLC, CHPH Holding, LLC, and 44th and McDowell Holding, LLC, as Borrower and Trimont Real Estate Advisors, LLC, as Agent for BP Holdings SIGMA LLC, as Lender (Incorporated by reference to the Company’s Quarterly Report on Form 10-Q (File No. 001-04321), filed with the SEC on June 23, 2023)</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erif" w:hAnsi="Times New Roman;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Guaranty of Recourse Obligations dated January 20, 2023, by John C. Loeffler, II, Jennifer Schrader,CDIF, LLC, Caliber Diversified Opportunity Fund II, LP, and CaliberCos Inc. for the benefit of BP Holdings Sigma, LLC(Incorporated by reference to the Company’s Quarterly Report on Form 10-Q (File No. 001-04321), filed with the SEC on June 23, 2023)</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erif" w:hAnsi="Times New Roman;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Loan Agreement dated as of October 17, 2019 between Pollock Gateway II DE LLC, as borrower and Barclays Capital Real Estate Inc., as lender (Incorporated by reference to the Company’s Quarterly Report on Form 10-Q (File No. 001-04321), filed with the SEC on June 23, 2023)</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Assumption Agreement dated January 25, 2023 by and among Pollock Gateway II DE LLC, original borrower, Gateway II Holdco, LLC, new borrower, Guila Pollock and Vita Piazza, trustees of The James and Guila Pollock Trust dated June 27, 2006, original guarantor, CaliberCos Inc., new guarantor, and Wells Fargo Bank, National Association, as Trustee for the benefit of the registered holders of BBCMS Mortgage Trust 2019-C5, Commercial Mortgage Pass Through Certificates, Series 2019-C5, lender (Incorporated by reference to the Company’s Quarterly Report on Form 10-Q (File No. 001-04321), filed with the SEC on June 23, 2023)</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FF"/>
                  <w:sz w:val="20"/>
                  <w:u w:val="single"/>
                </w:rPr>
                <w:t>10.8</w:t>
              </w:r>
            </w:hyperlink>
            <w:r>
              <w:rPr>
                <w:color w:val="000000"/>
                <w:u w:val="single"/>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Executive Employment Agreement dated January 1, 2019 by and among CaliberCos Inc. and Jennifer Schrader (incorporated by reference to Exhibit 6.5 of CaliberCos Inc.’s offering statement on Form 1-A (File No.024-11016), filed with the SEC on August 19, 2019)</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20"/>
                  <w:u w:val="single"/>
                </w:rPr>
                <w:t>10.9</w:t>
              </w:r>
            </w:hyperlink>
            <w:r>
              <w:rPr>
                <w:color w:val="000000"/>
                <w:u w:val="single"/>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Executive Employment Agreement dated January 1, 2019 by and among CaliberCos Inc. and John C. Loeffler II (incorporated by reference to Exhibit 6.6 of CaliberCos Inc.’s offering statement on Form 1-A (File No.024-11016), filed with the SEC on August 19, 2019)</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FF"/>
                  <w:sz w:val="20"/>
                  <w:u w:val="single"/>
                </w:rPr>
                <w:t>10.10</w:t>
              </w:r>
            </w:hyperlink>
            <w:r>
              <w:rPr>
                <w:color w:val="000000"/>
                <w:u w:val="single"/>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Executive Employment Agreement dated January 1, 2019 by and among CaliberCos Inc. and Roy Bade (incorporated by reference to Exhibit 6.7 of CaliberCos Inc.’s offering statement on Form 1-A (File No.024-11016), filed with the SEC on August 19, 2019)</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erif" w:hAnsi="Times New Roman;serif"/>
                  <w:b w:val="false"/>
                  <w:color w:val="0000FF"/>
                  <w:sz w:val="20"/>
                  <w:u w:val="single"/>
                </w:rPr>
                <w:t>10.11</w:t>
              </w:r>
            </w:hyperlink>
            <w:r>
              <w:rPr>
                <w:color w:val="000000"/>
                <w:u w:val="single"/>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Executive Employment Agreement dated January 1, 2019 by and among CaliberCos Inc. and Jade Leung (incorporated by reference to Exhibit 6.8 of CaliberCos Inc.’s offering statement on Form 1-A (File No.024-11016), filed with the SEC on August 19, 2019)</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Form of Indemnification Agreement between CaliberCos Inc. and its directors and officers (incorporated by reference to Exhibit 10.11 to the Registrant’s Registration Statement on Form S-1/A, filed with the SEC on November 23, 2022 (File No. 333-267657))</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erif" w:hAnsi="Times New Roman;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Caliber/ Encore Opportunistic Growth Fund Limited Liability Company Agreement dated May 1, 2022 by and between CaliberCos Inc. and Encore Caliber Holdings, LLC (incorporated by reference to Exhibit 10.13 to the Registrant’s Registration Statement on Form S-1/A, filed with the SEC on April 12, 2023 (File No. 333-267657))</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erif" w:hAnsi="Times New Roman;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Form of Managing Dealer Agreement by and among CaliberCos Inc., Skyway Capital Markets, LLC and Issuer (incorporated by reference to Exhibit 10.14 to the Registrant’s Registration Statement on Form S-1/A, filed with the SEC on April 12, 2023 (File No. 333-267657))</w:t>
              </w:r>
            </w:hyperlink>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Sponsor Consulting Agreement dated December 1, 2022 by and among CaliberCos Inc. and Skyway Capital Markets, LLC (incorporated by reference to Exhibit 10.15 to the Registrant’s Registration Statement on Form S-1/A, filed with the SEC on April 12, 2023 (File No. 333-267657))</w:t>
              </w:r>
            </w:hyperlink>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erif" w:hAnsi="Times New Roman;serif"/>
                  <w:b w:val="false"/>
                  <w:color w:val="0000FF"/>
                  <w:sz w:val="20"/>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Contribution Agreement dated June 30, 2023 (Incorporated by reference to the Company’s Current Report on Form 8-K (File No. 024-11016), filed with the SEC on July 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9"/>
        <w:gridCol w:w="280"/>
        <w:gridCol w:w="281"/>
        <w:gridCol w:w="109"/>
        <w:gridCol w:w="109"/>
        <w:gridCol w:w="109"/>
        <w:gridCol w:w="2627"/>
        <w:gridCol w:w="2627"/>
        <w:gridCol w:w="3744"/>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erif" w:hAnsi="Times New Roman;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Securities Purchase Agreement, dated March 20, 2025, between the Company and the Investor (incorporated by reference to Exhibit 10.1 of CaliberCos Inc.’s Form 8-K filed with the SEC on March 26,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Times New Roman;serif" w:hAnsi="Times New Roman;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Registration Rights Agreement, dated March 20, 2025, between the Company and the Investor (incorporated by reference to Exhibit 10.2 of CaliberCos Inc.’s Form 8-K filed with the SEC on March 26,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6">
              <w:r>
                <w:rPr>
                  <w:rStyle w:val="InternetLink"/>
                  <w:rFonts w:ascii="Times New Roman;serif" w:hAnsi="Times New Roman;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Subsidiary Guarantee dated March 20, 2025, between the Company, the Guarantors (as defined in the Subsidiary Guarantee) and the Investor (incorporated by reference to Exhibit 10.3 of CaliberCos Inc.’s Form 8-K filed with the SEC on March 26,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8">
              <w:r>
                <w:rPr>
                  <w:rStyle w:val="InternetLink"/>
                  <w:rFonts w:ascii="Times New Roman;serif" w:hAnsi="Times New Roman;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Equity Purchase Agreement, dated March 20, 2025 between the Company and the Investor (incorporated by reference to Exhibit 10.4 of CaliberCos Inc.’s Form 8-K filed with the SEC on March 26,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0">
              <w:r>
                <w:rPr>
                  <w:rStyle w:val="InternetLink"/>
                  <w:rFonts w:ascii="Times New Roman;serif" w:hAnsi="Times New Roman;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Registration Rights Agreement, dated March 20, 2025, between the Company and the Investor (incorporated by reference to Exhibit 10.5 of CaliberCos Inc.’s Form 8-K filed with the SEC on March 26,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2">
              <w:r>
                <w:rPr>
                  <w:rStyle w:val="InternetLink"/>
                  <w:rFonts w:ascii="Times New Roman;serif" w:hAnsi="Times New Roman;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First Amendment to Equity Purchase Agreement, dated March 20, 2025 between the Company and the Investor (incorporated by reference to Exhibit 10.23 of CaliberCos Inc.’s Form S-1 filed with the SEC on April 14,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4">
              <w:r>
                <w:rPr>
                  <w:rStyle w:val="InternetLink"/>
                  <w:rFonts w:ascii="Times New Roman;serif" w:hAnsi="Times New Roman;serif"/>
                  <w:b w:val="false"/>
                  <w:color w:val="0000F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Employment Agreement between CaliberCos Inc. and Gregory Randolph James (incorporated by reference to Exhibit 10.1 of CaliberCos Inc.’s Form 8-K/A filed with the SEC on July 15,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Times New Roman;serif" w:hAnsi="Times New Roman;serif"/>
                  <w:b w:val="false"/>
                  <w:color w:val="0000FF"/>
                  <w:sz w:val="20"/>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Advisory Agreement (incorporated by reference to Exhibit 10.1 of CaliberCos Inc.’s Form 8-K filed with the SEC on September 10,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8">
              <w:r>
                <w:rPr>
                  <w:rStyle w:val="InternetLink"/>
                  <w:rFonts w:ascii="Times New Roman;serif" w:hAnsi="Times New Roman;serif"/>
                  <w:b w:val="false"/>
                  <w:color w:val="0000FF"/>
                  <w:sz w:val="20"/>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Securities Purchase Agreement, dated September 11, 2025 (incorporated by reference to Exhibit 10.1 of CaliberCos Inc.’s Form 8-K filed with the SEC on September 17,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0">
              <w:r>
                <w:rPr>
                  <w:rStyle w:val="InternetLink"/>
                  <w:rFonts w:ascii="Times New Roman;serif" w:hAnsi="Times New Roman;serif"/>
                  <w:b w:val="false"/>
                  <w:color w:val="0000FF"/>
                  <w:sz w:val="20"/>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20"/>
                  <w:u w:val="single"/>
                </w:rPr>
                <w:t>Form of Conversion Agreement (incorporated by reference to Exhibit 10.1 of CaliberCos Inc.’s Form 8-K filed with the SEC on November 3,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2">
              <w:r>
                <w:rPr>
                  <w:rStyle w:val="InternetLink"/>
                  <w:rFonts w:ascii="Times New Roman;serif" w:hAnsi="Times New Roman;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Amendment of CaliberCos Inc. 2024 Equity Incentive Plan (incorporated by reference to Exhibit 10.1 of CaliberCos Inc.’s Form 8-K filed with the SEC on February 5, 2026)</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4">
              <w:r>
                <w:rPr>
                  <w:rStyle w:val="InternetLink"/>
                  <w:rFonts w:ascii="Times New Roman;serif" w:hAnsi="Times New Roman;serif"/>
                  <w:b w:val="false"/>
                  <w:color w:val="0000FF"/>
                  <w:sz w:val="20"/>
                  <w:u w:val="single"/>
                </w:rPr>
                <w:t>14.1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Code of Ethics (incorporated by reference to Exhibit 14.1 of CaliberCos Inc.'s Form 10-K filed with the SEC on March 31,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erif" w:hAnsi="Times New Roman;serif"/>
                  <w:b w:val="false"/>
                  <w:color w:val="0000FF"/>
                  <w:sz w:val="20"/>
                  <w:u w:val="single"/>
                </w:rPr>
                <w:t>19.1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Insider Trading Policy (incorporated by reference to Exhibit 19.1 of CaliberCos Inc.'s Form 10-K filed with the SEC on March 31, 2025)</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211-listofsubsidiar.htm">
              <w:r>
                <w:rPr>
                  <w:rStyle w:val="InternetLink"/>
                  <w:rFonts w:ascii="Times New Roman;serif" w:hAnsi="Times New Roman;serif"/>
                  <w:b w:val="false"/>
                  <w:color w:val="0000FF"/>
                  <w:sz w:val="20"/>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listofsubsidiar.htm">
              <w:r>
                <w:rPr>
                  <w:rStyle w:val="InternetLink"/>
                  <w:rFonts w:ascii="Times New Roman;serif" w:hAnsi="Times New Roman;serif"/>
                  <w:b w:val="false"/>
                  <w:color w:val="0000FF"/>
                  <w:sz w:val="20"/>
                  <w:u w:val="single"/>
                </w:rPr>
                <w:t>Subsidiaries</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231-auditorconsent.htm">
              <w:r>
                <w:rPr>
                  <w:rStyle w:val="InternetLink"/>
                  <w:rFonts w:ascii="Times New Roman;serif" w:hAnsi="Times New Roman;serif"/>
                  <w:b w:val="false"/>
                  <w:color w:val="0000FF"/>
                  <w:sz w:val="20"/>
                  <w:u w:val="single"/>
                </w:rPr>
                <w:t>23.1*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1-auditorconsent.htm">
              <w:r>
                <w:rPr>
                  <w:rStyle w:val="InternetLink"/>
                  <w:rFonts w:ascii="Times New Roman;serif" w:hAnsi="Times New Roman;serif"/>
                  <w:b w:val="false"/>
                  <w:color w:val="0000FF"/>
                  <w:sz w:val="20"/>
                  <w:u w:val="single"/>
                </w:rPr>
                <w:t>Consent of Urish Popeck &amp; Co., LLC</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wd-ex311_q42025.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wd-ex311_q42025.htm">
              <w:r>
                <w:rPr>
                  <w:rStyle w:val="InternetLink"/>
                  <w:rFonts w:ascii="Times New Roman;serif" w:hAnsi="Times New Roman;serif"/>
                  <w:b w:val="false"/>
                  <w:color w:val="0000FF"/>
                  <w:sz w:val="20"/>
                  <w:u w:val="single"/>
                </w:rPr>
                <w:t>Certification of Principal Executive Officer Pursuant to Rules 13a-14(a) and 15d-14(a)</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wd-ex312_q42025.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wd-ex312_q42025.htm">
              <w:r>
                <w:rPr>
                  <w:rStyle w:val="InternetLink"/>
                  <w:rFonts w:ascii="Times New Roman;serif" w:hAnsi="Times New Roman;serif"/>
                  <w:b w:val="false"/>
                  <w:color w:val="0000FF"/>
                  <w:sz w:val="20"/>
                  <w:u w:val="single"/>
                </w:rPr>
                <w:t>Certification of Principal Financial Officer Pursuant to Rules 13a-14(a) and 15d-14(a)</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wd-ex321_q42025.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wd-ex321_q42025.htm">
              <w:r>
                <w:rPr>
                  <w:rStyle w:val="InternetLink"/>
                  <w:rFonts w:ascii="Times New Roman;serif" w:hAnsi="Times New Roman;serif"/>
                  <w:b w:val="false"/>
                  <w:color w:val="0000FF"/>
                  <w:sz w:val="20"/>
                  <w:u w:val="single"/>
                </w:rPr>
                <w:t>Certification of Principal Executive Officer Pursuant to 18 U.S.C. Section 1350</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wd-ex322_q42025.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wd-ex322_q42025.htm">
              <w:r>
                <w:rPr>
                  <w:rStyle w:val="InternetLink"/>
                  <w:rFonts w:ascii="Times New Roman;serif" w:hAnsi="Times New Roman;serif"/>
                  <w:b w:val="false"/>
                  <w:color w:val="0000FF"/>
                  <w:sz w:val="20"/>
                  <w:u w:val="single"/>
                </w:rPr>
                <w:t>Certification of Principal Financial Officer Pursuant to 18 U.S.C. Section 1350</w:t>
              </w:r>
            </w:hyperlink>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8">
              <w:r>
                <w:rPr>
                  <w:rStyle w:val="InternetLink"/>
                  <w:rFonts w:ascii="Times New Roman;serif" w:hAnsi="Times New Roman;serif"/>
                  <w:b w:val="false"/>
                  <w:color w:val="0000FF"/>
                  <w:sz w:val="20"/>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Clawback Policy (incorporated by reference to Exhibit 97.1 of CaliberCos Inc.'s Form 10-K filed with the SEC on March 31, 2025)</w:t>
              </w:r>
            </w:hyperlink>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w:t>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8"/>
        <w:gridCol w:w="2884"/>
        <w:gridCol w:w="4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 xml:space="preserve">Item 16. Form 10-K Summary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Pursuant to the requirements of the Securities Act of 1934, as amended, the registrant has duly caused this Annual Report on Form 10-K to be signed on its behalf by the undersigned, thereunto duly authorized, in Scottsdale, Arizona, on </w:t>
      </w:r>
      <w:r>
        <w:rPr>
          <w:rFonts w:ascii="Times New Roman;serif" w:hAnsi="Times New Roman;serif"/>
          <w:b w:val="false"/>
          <w:color w:val="000000"/>
          <w:sz w:val="20"/>
        </w:rPr>
        <w:t>March 25, 2026</w:t>
      </w:r>
      <w:r>
        <w:rPr>
          <w:rFonts w:ascii="Times New Roman;serif" w:hAnsi="Times New Roman;serif"/>
          <w:b w:val="false"/>
          <w:color w:val="000000"/>
          <w:sz w:val="20"/>
          <w:shd w:fill="FFFFFF" w:val="clear"/>
        </w:rPr>
        <w:t>.</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required under the Securities Act of 1934, as amended, this Annual Report on Form 10-K has been signed below by the following persons in the capacities and on the dates indicated:</w:t>
      </w:r>
    </w:p>
    <w:tbl>
      <w:tblPr>
        <w:tblW w:w="7176"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065"/>
        <w:gridCol w:w="1065"/>
        <w:gridCol w:w="1079"/>
        <w:gridCol w:w="109"/>
        <w:gridCol w:w="109"/>
        <w:gridCol w:w="109"/>
        <w:gridCol w:w="419"/>
        <w:gridCol w:w="419"/>
        <w:gridCol w:w="601"/>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Gerber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Gerber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Trzupek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Trzupek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 Hansen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Hansen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721" w:type="dxa"/>
        <w:jc w:val="center"/>
        <w:tblInd w:w="0" w:type="dxa"/>
        <w:tblLayout w:type="fixed"/>
        <w:tblCellMar>
          <w:top w:w="28" w:type="dxa"/>
          <w:left w:w="28" w:type="dxa"/>
          <w:bottom w:w="28" w:type="dxa"/>
          <w:right w:w="28" w:type="dxa"/>
        </w:tblCellMar>
      </w:tblPr>
      <w:tblGrid>
        <w:gridCol w:w="3311"/>
        <w:gridCol w:w="2912"/>
        <w:gridCol w:w="2927"/>
        <w:gridCol w:w="167"/>
        <w:gridCol w:w="167"/>
        <w:gridCol w:w="237"/>
      </w:tblGrid>
      <w:tr>
        <w:trPr/>
        <w:tc>
          <w:tcPr>
            <w:tcW w:w="3311"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1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5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51">
              <w:r>
                <w:rPr>
                  <w:rStyle w:val="InternetLink"/>
                  <w:rFonts w:ascii="Times New Roman;serif" w:hAnsi="Times New Roman;serif"/>
                  <w:b w:val="false"/>
                  <w:color w:val="0000FF"/>
                  <w:sz w:val="20"/>
                  <w:u w:val="single"/>
                </w:rPr>
                <w:t>Reports of Independent Registered Public Accounting Firm</w:t>
              </w:r>
            </w:hyperlink>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51">
              <w:r>
                <w:rPr>
                  <w:rStyle w:val="InternetLink"/>
                  <w:rFonts w:ascii="Times New Roman;serif" w:hAnsi="Times New Roman;serif"/>
                  <w:b w:val="false"/>
                  <w:color w:val="000080"/>
                  <w:sz w:val="20"/>
                  <w:u w:val="single"/>
                </w:rPr>
                <w:t>2</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54">
              <w:r>
                <w:rPr>
                  <w:rStyle w:val="InternetLink"/>
                  <w:rFonts w:ascii="Times New Roman;serif" w:hAnsi="Times New Roman;serif"/>
                  <w:b w:val="false"/>
                  <w:color w:val="0000FF"/>
                  <w:sz w:val="20"/>
                  <w:u w:val="single"/>
                </w:rPr>
                <w:t>Consolidated Balance Sheets as of December 31, 2025 and 2024</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54">
              <w:r>
                <w:rPr>
                  <w:rStyle w:val="InternetLink"/>
                  <w:rFonts w:ascii="Times New Roman;serif" w:hAnsi="Times New Roman;serif"/>
                  <w:b w:val="false"/>
                  <w:color w:val="000080"/>
                  <w:sz w:val="20"/>
                  <w:u w:val="single"/>
                </w:rPr>
                <w:t>4</w:t>
              </w:r>
            </w:hyperlink>
          </w:p>
        </w:tc>
      </w:tr>
      <w:tr>
        <w:trPr/>
        <w:tc>
          <w:tcPr>
            <w:tcW w:w="915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57">
              <w:r>
                <w:rPr>
                  <w:rStyle w:val="InternetLink"/>
                  <w:rFonts w:ascii="Times New Roman;serif" w:hAnsi="Times New Roman;serif"/>
                  <w:b w:val="false"/>
                  <w:color w:val="0000FF"/>
                  <w:sz w:val="20"/>
                  <w:u w:val="single"/>
                </w:rPr>
                <w:t>Consolidated Statements of Operations for the Years Ended December 31, 2025 and 2024</w:t>
              </w:r>
            </w:hyperlink>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57">
              <w:r>
                <w:rPr>
                  <w:rStyle w:val="InternetLink"/>
                  <w:rFonts w:ascii="Times New Roman;serif" w:hAnsi="Times New Roman;serif"/>
                  <w:b w:val="false"/>
                  <w:color w:val="000080"/>
                  <w:sz w:val="20"/>
                  <w:u w:val="single"/>
                </w:rPr>
                <w:t>6</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60">
              <w:r>
                <w:rPr>
                  <w:rStyle w:val="InternetLink"/>
                  <w:rFonts w:ascii="Times New Roman;serif" w:hAnsi="Times New Roman;serif"/>
                  <w:b w:val="false"/>
                  <w:color w:val="0000FF"/>
                  <w:sz w:val="20"/>
                  <w:u w:val="single"/>
                </w:rPr>
                <w:t>Consolidated Statements of Changes in Stockholders’ Equity for the Years Ended December 31, 2025 and 2024</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60">
              <w:r>
                <w:rPr>
                  <w:rStyle w:val="InternetLink"/>
                  <w:rFonts w:ascii="Times New Roman;serif" w:hAnsi="Times New Roman;serif"/>
                  <w:b w:val="false"/>
                  <w:color w:val="000080"/>
                  <w:sz w:val="20"/>
                  <w:u w:val="single"/>
                </w:rPr>
                <w:t>7</w:t>
              </w:r>
            </w:hyperlink>
          </w:p>
        </w:tc>
      </w:tr>
      <w:tr>
        <w:trPr/>
        <w:tc>
          <w:tcPr>
            <w:tcW w:w="915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d7a0a8ff96e74680b49ca273e8b89a22_163">
              <w:r>
                <w:rPr>
                  <w:rStyle w:val="InternetLink"/>
                  <w:rFonts w:ascii="Times New Roman;serif" w:hAnsi="Times New Roman;serif"/>
                  <w:b w:val="false"/>
                  <w:color w:val="0000FF"/>
                  <w:sz w:val="20"/>
                  <w:u w:val="single"/>
                </w:rPr>
                <w:t>Consolidated Statements of Cash Flows for the Years Ended December 31, 2025 and 2024</w:t>
              </w:r>
            </w:hyperlink>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63">
              <w:r>
                <w:rPr>
                  <w:rStyle w:val="InternetLink"/>
                  <w:rFonts w:ascii="Times New Roman;serif" w:hAnsi="Times New Roman;serif"/>
                  <w:b w:val="false"/>
                  <w:color w:val="000080"/>
                  <w:sz w:val="20"/>
                  <w:u w:val="single"/>
                </w:rPr>
                <w:t>8</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Notes to Consolidated Financial Statements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3051F2"/>
                <w:sz w:val="20"/>
                <w:u w:val="single"/>
              </w:rPr>
              <w:t>F-</w:t>
            </w:r>
            <w:hyperlink w:anchor="id7a0a8ff96e74680b49ca273e8b89a22_166">
              <w:r>
                <w:rPr>
                  <w:rStyle w:val="InternetLink"/>
                  <w:rFonts w:ascii="Times New Roman;serif" w:hAnsi="Times New Roman;serif"/>
                  <w:b w:val="false"/>
                  <w:color w:val="000080"/>
                  <w:sz w:val="20"/>
                  <w:u w:val="singl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left"/>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Report of Independent Registered Public Accounting Firm PCAOB ID 1013</w:t>
      </w:r>
    </w:p>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and Board of Directors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CaliberCos, Inc and Subsidiaries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Scottsdale, Arizona </w:t>
      </w:r>
    </w:p>
    <w:p>
      <w:pPr>
        <w:pStyle w:val="TextBody"/>
        <w:bidi w:val="0"/>
        <w:spacing w:lineRule="auto" w:line="288" w:before="200" w:after="283"/>
        <w:jc w:val="both"/>
        <w:rPr/>
      </w:pPr>
      <w:r>
        <w:rPr>
          <w:rFonts w:ascii="Times New Roman;serif" w:hAnsi="Times New Roman;serif"/>
          <w:b/>
          <w:color w:val="000000"/>
          <w:sz w:val="20"/>
        </w:rPr>
        <w:t>Opinion on the Consolidated Financial Statements</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rPr>
        <w:t>We have audited the accompanying consolidated balance sheets of CaliberCos, Inc. and Subsidiaries (the “Company”) as of December 31, 2025, and 2024, the related consolidated statements of operations, stockholders’ equity, and cash flows for each of the two years ended December 31, 2025, and 2024,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and 2024</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 conformity with accounting principles generally accepted in the United States of America.</w:t>
      </w:r>
    </w:p>
    <w:p>
      <w:pPr>
        <w:pStyle w:val="TextBody"/>
        <w:bidi w:val="0"/>
        <w:spacing w:lineRule="auto" w:line="288" w:before="200" w:after="283"/>
        <w:jc w:val="both"/>
        <w:rPr/>
      </w:pPr>
      <w:r>
        <w:rPr>
          <w:rFonts w:ascii="Times New Roman;serif" w:hAnsi="Times New Roman;serif"/>
          <w:b/>
          <w:color w:val="000000"/>
          <w:sz w:val="20"/>
        </w:rPr>
        <w:t>Substantial Doubt about the Company’s Ability to Continue as a Going Concern</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assuming that the Company will continue as a going concern. As discussed in Note 1 to the consolidated financial statements, the Company has incurred significant operating losses, and negative cash flows from operations. The Company is dependent on its ability to increase revenues and obtain financing to continue operations. These conditions raise substantial doubt about the Company’s ability to continue as a going concern. Management’s plans regarding those matters are also described in Note 1. The consolidated financial statements do not include any adjustments that might result from the outcome of this uncertainty. </w:t>
      </w:r>
    </w:p>
    <w:p>
      <w:pPr>
        <w:pStyle w:val="TextBody"/>
        <w:bidi w:val="0"/>
        <w:spacing w:lineRule="auto" w:line="288" w:before="200" w:after="283"/>
        <w:jc w:val="both"/>
        <w:rPr/>
      </w:pPr>
      <w:r>
        <w:rPr>
          <w:rFonts w:ascii="Times New Roman;serif" w:hAnsi="Times New Roman;serif"/>
          <w:b/>
          <w:color w:val="000000"/>
          <w:sz w:val="20"/>
        </w:rPr>
        <w:t>Basis for Opinion</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any audits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uto" w:line="288" w:before="200" w:after="283"/>
        <w:jc w:val="both"/>
        <w:rPr/>
      </w:pPr>
      <w:r>
        <w:rPr>
          <w:rFonts w:ascii="Times New Roman;serif" w:hAnsi="Times New Roman;serif"/>
          <w:b/>
          <w:color w:val="000000"/>
          <w:sz w:val="20"/>
        </w:rPr>
        <w:t>Critical Audit Matter</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audits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200" w:after="283"/>
        <w:jc w:val="both"/>
        <w:rPr/>
      </w:pPr>
      <w:r>
        <w:rPr>
          <w:rFonts w:ascii="Times New Roman;serif" w:hAnsi="Times New Roman;serif"/>
          <w:b/>
          <w:color w:val="000000"/>
          <w:sz w:val="20"/>
        </w:rPr>
        <w:t>Valuation of Crypto Assets Held on the Balance Sheet</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shd w:fill="FFFFFF" w:val="clear"/>
        </w:rPr>
        <w:t>Critical Audit Matter Description</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As described in Notes 1, 2 and 4 to the consolidated financial statements, the Board of Directors </w:t>
      </w:r>
      <w:r>
        <w:rPr>
          <w:rFonts w:ascii="Times New Roman;serif" w:hAnsi="Times New Roman;serif"/>
          <w:b w:val="false"/>
          <w:color w:val="000000"/>
          <w:sz w:val="20"/>
        </w:rPr>
        <w:t xml:space="preserve">approved the adoption of a digital asset treasury strategy and a digital asset treasury policy. Under this strategy and policy, the Company may allocate a portion of its treasury funds to acquire cryptocurrencies. The Company accounts and presents its digital assets in accordance with Accounting Standards Update 2023-08, Intangibles-Goodwill and Other-Crypto Assets (Subtopic 350-60), with initial measurement at cost plus transaction fees directly attributable to each acquisition, and the Company continues to track cost basis using the specific-identification method. At each reporting date, the Company remeasures its digital assets at fair value, determined under ASC 820, Fair Value Measurement, based on quoted (unadjusted) prices on the Coinbase exchange, the active exchange that the Company has determined is its principal market for its digital assets (Level 1 inputs), with changes recognized in unrealized gains (losses) on digital assets, net, in the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of the valuation of crypto assets that are held on the balance sheet is a critical audit matter includes the complexity of the digital ecosystem, digital assets exhibit extreme price volatility, fragmented pricing across exchanges, and an absence of centralized valuation sources. Auditors must determine whether management’s valuation approach is reasonable, which often involves challenging and subjective judgment. </w:t>
      </w:r>
    </w:p>
    <w:p>
      <w:pPr>
        <w:pStyle w:val="TextBody"/>
        <w:bidi w:val="0"/>
        <w:spacing w:lineRule="auto" w:line="288" w:before="200" w:after="283"/>
        <w:jc w:val="both"/>
        <w:rPr/>
      </w:pPr>
      <w:r>
        <w:rPr>
          <w:rFonts w:ascii="Times New Roman;serif" w:hAnsi="Times New Roman;serif"/>
          <w:b w:val="false"/>
          <w:color w:val="000000"/>
          <w:sz w:val="20"/>
          <w:shd w:fill="FFFFFF" w:val="clear"/>
        </w:rPr>
        <w:t>How the Critical Matter Was Addressed in the Audit</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shd w:fill="FFFFFF" w:val="clear"/>
        </w:rPr>
        <w:t>The primary audit procedures to address this critical audit matter included:</w:t>
      </w:r>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Obtained an understanding over the Company’s process and controls for evaluating the estimate in the fair valuation of crypto assets and related fair market valuation gains or losses.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Utilizing an independent third-party pricing service to reprice the crypto assets held at December 31, 2025 and selected transactions for the year then ended.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Confirmed the crypto assets held at December 31, 2025 with the Company’s third-party custodian noting the custodian is a reputable digital asset platform.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Obtained an inspected third-party custodian SOC 1, Type 2 certification. </w:t>
      </w:r>
    </w:p>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val="false"/>
          <w:color w:val="000000"/>
          <w:sz w:val="20"/>
          <w:shd w:fill="FFFFFF" w:val="clear"/>
        </w:rPr>
        <w:t>/s/ Urish Popeck &amp; Co., LLC</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2024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Pittsburgh, Pennsylvania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March 25, 2026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8"/>
        <w:gridCol w:w="2129"/>
        <w:gridCol w:w="2118"/>
        <w:gridCol w:w="245"/>
        <w:gridCol w:w="961"/>
        <w:gridCol w:w="126"/>
        <w:gridCol w:w="109"/>
        <w:gridCol w:w="109"/>
        <w:gridCol w:w="109"/>
        <w:gridCol w:w="243"/>
        <w:gridCol w:w="956"/>
        <w:gridCol w:w="182"/>
      </w:tblGrid>
      <w:tr>
        <w:trPr/>
        <w:tc>
          <w:tcPr>
            <w:tcW w:w="2918"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allowance of $909 and $0, respectively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$4,071 and $3,985,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no allowance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allowance of zero and $28,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AA cumulative redeemable preferred stock, net of issuance costs, $25.00 per share stated value, 800,000 shares authorized, 221,434 and zero shares issued and outstanding as of December 31, 2025 and 2024,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582"/>
        <w:gridCol w:w="2247"/>
        <w:gridCol w:w="2253"/>
        <w:gridCol w:w="252"/>
        <w:gridCol w:w="991"/>
        <w:gridCol w:w="130"/>
        <w:gridCol w:w="109"/>
        <w:gridCol w:w="109"/>
        <w:gridCol w:w="109"/>
        <w:gridCol w:w="251"/>
        <w:gridCol w:w="985"/>
        <w:gridCol w:w="187"/>
      </w:tblGrid>
      <w:tr>
        <w:trPr/>
        <w:tc>
          <w:tcPr>
            <w:tcW w:w="2582"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non-cumulative convertible preferred stock, $0.001 par value; 22,500,000 authorized and 5,875 and 5,000 shares issued and outstanding as of December 31, 2025 and 2024, respectively</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B convertible preferred stock, $0.001 par value; 50,000 authorized and 15,868 and zero shares issued and outstanding as of December 31, 2025 and 2024, respectively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100,000,000 shares authorized, 6,534,319 and 759,370 shares issued and outstanding as of December 31, 2025 and 2024, respectively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15,000,000 shares authorized, 370,822 shares issued and outstanding as December 31, 2025 and 2024</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 attributable to CaliberCos Inc.</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noncontrolling interests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2142"/>
        <w:gridCol w:w="1879"/>
        <w:gridCol w:w="1897"/>
        <w:gridCol w:w="109"/>
        <w:gridCol w:w="109"/>
        <w:gridCol w:w="192"/>
        <w:gridCol w:w="192"/>
        <w:gridCol w:w="374"/>
        <w:gridCol w:w="1411"/>
        <w:gridCol w:w="192"/>
        <w:gridCol w:w="109"/>
        <w:gridCol w:w="109"/>
        <w:gridCol w:w="109"/>
        <w:gridCol w:w="211"/>
        <w:gridCol w:w="794"/>
        <w:gridCol w:w="109"/>
        <w:gridCol w:w="109"/>
        <w:gridCol w:w="158"/>
      </w:tblGrid>
      <w:tr>
        <w:trPr/>
        <w:tc>
          <w:tcPr>
            <w:tcW w:w="214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3348" w:type="dxa"/>
        <w:jc w:val="center"/>
        <w:tblInd w:w="0" w:type="dxa"/>
        <w:tblLayout w:type="fixed"/>
        <w:tblCellMar>
          <w:top w:w="28" w:type="dxa"/>
          <w:left w:w="28" w:type="dxa"/>
          <w:bottom w:w="28" w:type="dxa"/>
          <w:right w:w="28" w:type="dxa"/>
        </w:tblCellMar>
      </w:tblPr>
      <w:tblGrid>
        <w:gridCol w:w="650"/>
        <w:gridCol w:w="215"/>
        <w:gridCol w:w="216"/>
        <w:gridCol w:w="203"/>
        <w:gridCol w:w="203"/>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231"/>
        <w:gridCol w:w="235"/>
        <w:gridCol w:w="171"/>
        <w:gridCol w:w="109"/>
        <w:gridCol w:w="109"/>
        <w:gridCol w:w="109"/>
        <w:gridCol w:w="195"/>
        <w:gridCol w:w="211"/>
        <w:gridCol w:w="109"/>
        <w:gridCol w:w="109"/>
        <w:gridCol w:w="109"/>
        <w:gridCol w:w="109"/>
        <w:gridCol w:w="202"/>
        <w:gridCol w:w="204"/>
        <w:gridCol w:w="171"/>
        <w:gridCol w:w="109"/>
        <w:gridCol w:w="109"/>
        <w:gridCol w:w="109"/>
        <w:gridCol w:w="181"/>
        <w:gridCol w:w="406"/>
        <w:gridCol w:w="109"/>
        <w:gridCol w:w="109"/>
        <w:gridCol w:w="109"/>
        <w:gridCol w:w="109"/>
        <w:gridCol w:w="181"/>
        <w:gridCol w:w="541"/>
        <w:gridCol w:w="109"/>
        <w:gridCol w:w="109"/>
        <w:gridCol w:w="109"/>
        <w:gridCol w:w="109"/>
        <w:gridCol w:w="181"/>
        <w:gridCol w:w="581"/>
        <w:gridCol w:w="109"/>
        <w:gridCol w:w="109"/>
        <w:gridCol w:w="109"/>
        <w:gridCol w:w="109"/>
        <w:gridCol w:w="222"/>
        <w:gridCol w:w="664"/>
        <w:gridCol w:w="135"/>
        <w:gridCol w:w="327"/>
        <w:gridCol w:w="201"/>
        <w:gridCol w:w="602"/>
        <w:gridCol w:w="173"/>
      </w:tblGrid>
      <w:tr>
        <w:trPr/>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Redemptions of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(2,051)</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23,842 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preferred stock,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Consolidation of VIE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23,333 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VIEs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Balances as of December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24,898 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26,231 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2582"/>
        <w:gridCol w:w="2234"/>
        <w:gridCol w:w="2249"/>
        <w:gridCol w:w="109"/>
        <w:gridCol w:w="109"/>
        <w:gridCol w:w="109"/>
        <w:gridCol w:w="211"/>
        <w:gridCol w:w="790"/>
        <w:gridCol w:w="109"/>
        <w:gridCol w:w="109"/>
        <w:gridCol w:w="109"/>
        <w:gridCol w:w="109"/>
        <w:gridCol w:w="211"/>
        <w:gridCol w:w="790"/>
        <w:gridCol w:w="109"/>
        <w:gridCol w:w="109"/>
        <w:gridCol w:w="157"/>
      </w:tblGrid>
      <w:tr>
        <w:trPr/>
        <w:tc>
          <w:tcPr>
            <w:tcW w:w="2582"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6" w:type="dxa"/>
            <w:gridSpan w:val="2"/>
            <w:tcBorders/>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gain on lease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notes payable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disposition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advanced key money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 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437" w:type="dxa"/>
        <w:jc w:val="center"/>
        <w:tblInd w:w="0" w:type="dxa"/>
        <w:tblLayout w:type="fixed"/>
        <w:tblCellMar>
          <w:top w:w="28" w:type="dxa"/>
          <w:left w:w="28" w:type="dxa"/>
          <w:bottom w:w="28" w:type="dxa"/>
          <w:right w:w="28" w:type="dxa"/>
        </w:tblCellMar>
      </w:tblPr>
      <w:tblGrid>
        <w:gridCol w:w="2344"/>
        <w:gridCol w:w="2053"/>
        <w:gridCol w:w="2068"/>
        <w:gridCol w:w="109"/>
        <w:gridCol w:w="109"/>
        <w:gridCol w:w="109"/>
        <w:gridCol w:w="228"/>
        <w:gridCol w:w="749"/>
        <w:gridCol w:w="118"/>
        <w:gridCol w:w="118"/>
        <w:gridCol w:w="118"/>
        <w:gridCol w:w="118"/>
        <w:gridCol w:w="228"/>
        <w:gridCol w:w="587"/>
        <w:gridCol w:w="118"/>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loan extinguishment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redeemable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7186" w:type="dxa"/>
        <w:jc w:val="center"/>
        <w:tblInd w:w="0" w:type="dxa"/>
        <w:tblLayout w:type="fixed"/>
        <w:tblCellMar>
          <w:top w:w="28" w:type="dxa"/>
          <w:left w:w="28" w:type="dxa"/>
          <w:bottom w:w="28" w:type="dxa"/>
          <w:right w:w="28" w:type="dxa"/>
        </w:tblCellMar>
      </w:tblPr>
      <w:tblGrid>
        <w:gridCol w:w="1525"/>
        <w:gridCol w:w="1342"/>
        <w:gridCol w:w="1347"/>
        <w:gridCol w:w="109"/>
        <w:gridCol w:w="109"/>
        <w:gridCol w:w="109"/>
        <w:gridCol w:w="211"/>
        <w:gridCol w:w="617"/>
        <w:gridCol w:w="109"/>
        <w:gridCol w:w="109"/>
        <w:gridCol w:w="109"/>
        <w:gridCol w:w="109"/>
        <w:gridCol w:w="211"/>
        <w:gridCol w:w="798"/>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200" w:after="283"/>
        <w:jc w:val="both"/>
        <w:rPr/>
      </w:pPr>
      <w:r>
        <w:rPr>
          <w:rFonts w:ascii="Times New Roman;serif" w:hAnsi="Times New Roman;serif"/>
          <w:b w:val="false"/>
          <w:color w:val="000000"/>
          <w:sz w:val="20"/>
        </w:rPr>
        <w:t>CaliberCos Inc., a Delaware corporation, and its wholly-owned subsidiaries (collectively, the “Company”, “we”, “our”) is an alternative asset manager of private syndication and direct</w:t>
      </w:r>
      <w:r>
        <w:rPr>
          <w:color w:val="000000"/>
          <w:shd w:fill="FFFFFF" w:val="clear"/>
        </w:rPr>
        <w:t xml:space="preserve"> </w:t>
      </w:r>
      <w:r>
        <w:rPr>
          <w:rFonts w:ascii="Times New Roman;serif" w:hAnsi="Times New Roman;serif"/>
          <w:b w:val="false"/>
          <w:color w:val="000000"/>
          <w:sz w:val="20"/>
          <w:shd w:fill="FFFFFF" w:val="clear"/>
        </w:rPr>
        <w:t xml:space="preserve">investment real estate funds complemented with being a provider of a full suite of traditional real estate services, and a holder of Digital Asset Treasury (“DAT”) strategy in Chainlink (“LINK”).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December 31, 2025, the Company had operations </w:t>
      </w:r>
      <w:r>
        <w:rPr>
          <w:rFonts w:ascii="Times New Roman;serif" w:hAnsi="Times New Roman;serif"/>
          <w:b w:val="false"/>
          <w:color w:val="000000"/>
          <w:sz w:val="20"/>
        </w:rPr>
        <w:t>in Arizona with a focus on hospitality, multifamily, and multi-tenant industrial real estate.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general, the Company’s Platform is comprised of investments in digital assets through its corporate treasury and in a family of private equity real estate (“PERE”) funds which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consolidated financial statements. See Note 2 – Summary of Significant Accounting Policies for more detail.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Reverse Stock Split: 1-for-20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share and per share amounts in the accompanying condensed consolidated financial statements have been retroactively adjusted to reflect the Reverse Stock Split for all periods presented.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Securities Purchase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securities purchase agreement (the “Purchase Agreement”) with Mast Hill Fund, L.P. (the “Investor”) as the purchaser, pursuant to which the Company issued the Investor a senior secured promissory note in the aggregate principal amount of up to $1.7 million (as the principal amount thereof may be increased pursuant to the terms thereof), a common stock purchase warrant for the purchase of 10,000 shares of Class A Common Stock, with an initial exercise price of $15.00 per share, and 10,000 shares of Common Stock (the “Commitment Shares”).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entered into a registration rights agreement (the “RRA”) with the Investor to provide certain registration rights under the Securities Act of 1933, as amended (the “Securities Act”), and the rules and regulations thereunder, or any similar successor statute, and applicable state securities laws. The Company agreed to file with the Securities and Exchange Commission (“SEC”) an initial Registration Statement covering the maximum number of Registrable Securities (as defined in the RRA) within ten (10) business days from the date that the Company filed its Form 10-K with the SEC for the period ended December 31,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Equity Line of Credit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Purchase Agreement with the Investor above, the Company entered into an equity purchase agreement (the “Equity Purchase Agreement”) with the Investor pursuant to which the Company may sell and issue to the Investor, and the Investor may purchase from the Company, up to $25.0 million of Common Stock (the “Put Shares”). Under the Equity Purchase Agreement, the Company has the right, but not the obligation, to direct the Investor, by its delivery to the Investor of a put notice from time to time, to purchase Put Shares (i) in a minimum amount not less than $5,000 and (ii) in a maximum amount up to the lesser of (a) $500,000 or (b) 40% of the Average Daily Trading Value (as defined in the Equity Purchase Agreement). In connection with the Equity Purchase Agreement, the Company issued the Investor a five-year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 purchase warrant for the purchase of 10,000 shares of the Common Stock at an initial exercise price of $30 per share (the “ELOC Warrant”).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shall not affect any sales of the Put Shares under the Equity Purchase Agreement and the Investor shall not have the obligation to purchase Put Shares under the Equity Purchase Agreement to the extent that such issuance would exceed the Exchange Cap (as defined below). Shareholder approval is required to effectuate the transactions contemplated by the Equity Purchase Agreement, including but not limited to the issuance of Common Stock and the ELOC Warrant in excess of 78,441 shares of Common Stock (the “Exchange Cap”).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put notices requiring the Investor to purchase a total of 3,006,134 shares of common stock for net proceeds of $6.4 million. No put notices pursuant to the Equity Purchase agreement were issued prior to July 16,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ATM Equity Distribution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22, 2025, the Company entered into an at-the-market (“ATM”) equity distribution agreement providing for the sale of up to $10.3 million of our Class A common stock. During the year ended December 31, 2025, we have issued 1,671,568 shares under the ATM program for net proceeds of $8.4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Liquidity and Going Concern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prepared in accordance with generally accepted accounting principles in the United States of America (“U.S. GAAP”) applicable to a going concern, which contemplates the realization of assets and the satisfaction of liabilities in the normal course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a portfolio of corporate notes, whose composition and characteristics are similar to those reported in prior periods. At December 31, 2025, the portfolio consisted of 178 unsecured notes with an aggregate principal balance of $29.6 million. As of March 25, 2026, an aggregate of $24.5 million of the corporate and convertible notes have matured or will mature within the 12-month period subsequent to when these financial statements were issued. The notes generally have either a 12-month or 36-month term, with the 12-month note holders having the option to extend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the Company incurred recurring operating losses and negative cash flow from operations, and could experience additional future operating losses and negative cash flow in the near term, combined with the fact that the Company does not have sufficient cash on hand to satisfy the total of the notes that mature within the next 12 months, these conditions and events raise substantial doubt about the Company’s ability to continue as a going concern. In response to these conditions, management considered the impact of these near-term maturities on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the Company intends to continue to implement the following strategies: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i.Raise $20 million of preferred stock series AA financing through its Reg A+ offering, which was qualified on March 12, 2025. From program inception through March 25, 2026, the Company has raised $6.4 million of Series AA preferred stock.</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ii.Refinance its existing 12-month term notes into a new 36-month term corporate note program. From program inception through March 25, 2026, the Company has successfully refinanced $6.4 million of 12-month term corporate notes into its 36-month term corporate note program.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iii.Convert corporate notes into shares of Caliber common stock. In October 2025, the Company launched its note conversion program (the “Program”) whereby holders (the “Note Holders”) of outstanding promissory notes (the “Notes”) will convert and cancel all or part of the Note Holders’ Notes in exchange for shares of Class A common stock, par value $0.001 (the “Conversion Agreement”) at a per share conversion price equaling the lower of (i) the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closing price of the Company’s Class A common stock over the five trading days prior to the execution of the respective Conversion Agreement, or the (ii) closing bid price of the Company’s Class A common stock the business day preceding the execution of the respective Conversion Agreement (the “Conversion Prices”). From program inception through March 25, 2026, we have successfully converted $1.9 million of corporate notes into 564,731 shares of Class A common stock. The Conversion Prices ranged from $3.14 to $3.72 per share.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iv.Raise equity capital in support of its Chainlink (“LINK”) strategy through its approved ELOC and ATM facilities, with a portion of the proceeds allocated to general corporate purposes. From program inception through March 25, 2026, the Company generated $37.7 million million in net cash from equity issuances across all 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financing actions noted, management continues to execute various plans implemented in the year to address operating losses and near-term maturities or demands for repayment of its notes. Consistent with reported actions taken in prior reporting periods, management plans to continue to i) reduce operating costs, ii) collect all or part of its $10.7 million in accounts receivables, iii) collect all or part of its $11.6 million in investments from its managed funds, iv) increase capital raise through continued expansion of fundraising channels, v) sell or accept investment into its corporate headquarters, vi) place debt on unencumbered assets, and/or vii) generate planned cash from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as part of the execution of our aforementioned plans, we raised $33.8 million net in new equity in support of the Company’s LINK strategy, investing $12.6 million in LINK and maintaining $2.5 million in unrestricted cash on hand. The Company collected $2.1 million in notes receivable, $12.5 million in accounts receivable, and $2.0 million in redemptions of investments from its managed funds. In addition, the Company has implemented broad-based cost reductions, most notably being further workforce reductions, which are expected to result in annualized cost savings of $3.9 million in compensation and employee benefit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consideration of the implemented and planned actions, management concluded these plans are not within the Company’s control and therefore cannot be deemed probable. As a result, the Company has concluded that management’s plans do not alleviate substantial doubt about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prepared on the accrual basis of accounting in accordance with U.S. GAAP. The accompanying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consolidated balance sheets, statements of operations, and statements of changes in stockholders’ equity. All intercompany balances and transactions have been eliminated in consolidation.</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entity is a variable interest entity (“VIE”) based on several factors, including whether the equity holders, as a group, lack the characteristics of a controlling financial interest. The Company analyzes any investments in VIEs to determine if the Company is the primary beneficiary. A reporting entity is determined to be the primary beneficiary if it holds a controlling financial interest in a VIE.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The Company consolidates any VIEs for which the Company is the primary beneficiary and the Company discloses its maximum exposure to loss related to the consolidated VIEs. See Note 3 – VIEs for more detail.</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Entities that do not qualify as VIEs are generally assessed for consolidation as voting interest entities (“VOEs”). For VOEs, the Company consolidates an entity if it has a controlling financial interest. The Company has a controlling financial interest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VOE if (i) for legal entities other than partnerships, the Company owns a majority voting interest in the entity or, for limited partnerships and similar entities, the Company owns a majority of the entity’s kick-out rights through voting limited partnership interests and (ii) non-controlling shareholders or partners do not hold substantive participating rights, and no other conditions exist that would indicate that the Company does not control the entity.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conformity with U.S. GAAP requires the Company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cash held in escrow accounts by contractual agreement with lenders as part of financial loan covenant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No. 2023-08, Intangibles—Goodwill and Other—Crypto Assets (Subtopic 350-60): Accounting for and Disclosure of Crypto Assets (“ASU 2023-08”). ASU 2023-08 requires in-scope crypto assets (including the Company's LINK holdings) to be measured at fair value in the statement of financial position, with gains and losses from changes in the fair value of such crypto assets recognized in net income each reporting period. ASU 2023-08 also requires certain interim and annual disclosures for crypto assets within the scope of the standard. The Company adopted this guidance effective September 9, 2025, upon the completion of its initial purchase of LINK as part of the inauguration of its digital asset treasury strategy.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initially records its LINK purchases at cost, with any subsequent changes in fair value recognized as incurred in the Company's consolidated statements of operations. The fair value of the Company’s LINK is adjusted and disclosed within the Company's consolidated balance sheets at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A deferred tax asset or liability is recorded for subsequent changes in fair value of the Company’s digital assets, representing the temporary difference between the carrying amount and tax basis of the assets.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Company’s digital asset treasury strategy, its intent is to make consistent purchases of LINK over time, establishing a material position in LINK holdings within its treasury. In the event of a sale, the Company will calculate the gain or loss to be recognized as the difference between the sales price, net of transaction costs, and carrying value of the LINK sold immediately prior to sale. The Company uses the first-in, first-out cost basis method when calculating the gain or loss on sale.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 in Unconsolidated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entity is not a VIE, the Company’s determination of the appropriate accounting method with respect to our investments in limited liability companies and other investments is based on voting control. For the Company’s managing member interests in limited liability companies, the Company is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The Company accounts for our non-controlling investments in these entities under the equity method. The Company’s investments in unconsolidated subsidiaries in which we can exercise significant influence over operating and financial policies, but do not control, or entities which are VIEs in which we are not the primary beneficiary are accounted for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equity method. The equity method of accounting requires the investment to be initially recorded at cost and subsequently adjusted for the Company’s share of equity in the equity method investment’s earnings and distributions. The Company’s share of the earnings or loss from equity method investments is included in other income (expenses), net on the accompanying consolidated statements of operations. The Company evaluates its investments in unconsolidated entities for impairment when events and circumstances indicate that the fair value of the entities might be less than the carrying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the Company’s control or influence, could result in a different accounting treatment, such as consolidation. While consolidating an investment generally would have no impact on the Company’s net income or stockholders’ deficit, consolidation does impact the individual income statement and balance sheet line items on the Company’s consolidated financial statements, by effectively “grossing up” the Company’s consolidated statements of operations and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carrying amount of the Company’s investments in unconsolidated entities was $11.6 million, and $15.6 million, respectively, net of $6.9 million and $4.0 million, respectively, of impairments primarily related to the winding down of Caliber Fixed Income Fund III (“CFIF III”)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certain situations, the Company has invested only a nominal amount of cash, or no cash at all, into a venture. As the manager of the venture, the Company is entitled to 15.0% – 35.0% of the residual cash flow produced by the venture after the payment of any priority returns. Under the equity method, impairment losses are recognized upon evidence of other-than-temporary losses of value. For the year ended December 31, 2025, the Company had impairment losses of $3.5 million related to its investments in unconsolidated entities. There were no impairment losses during the year ended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depreciation expense for the Company was $0.7 million and $0.6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the Company assesses its recoverability by comparing the carrying amount to the Company’s estimate of the undiscounted net future cash flows resulting from the use of the asset, excluding interest charges. If the carrying amount exceeds the aggregate undiscounted future cash flows, the Company recognizes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had no impairment losses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the Company’s revenues are generated from the activities completed through its Platform, including the management, ownership and/or operations of real estate assets located in Alaska, Arizona, Colorado, Kansas, Texas, and Virginia. The Company mitigates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across hospitality, multi-family, and multi-tenant industrial asset types;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Noncontrolling Interests in Consolidated Real Estate Partnerships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the unaffiliated partners’ interests in the net assets of the Company’s consolidated real estate partnerships as noncontrolling interests within the accompanying consolidated statements of changes in stockholders’ equity. Noncontrolling interests consist of equity interests held by limited partners in consolidated real estate partnerships. The Company attributes to noncontrolling interests their share of income or loss of the consolidated partnerships based on the Company’s proportionate interest in the results of operations of the partnerships, including the Company’s share of losses even if such attribution results in a deficit noncontrolling interest balance within our equity and partners’ capital accounts.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partnership agreements generally require the partnerships to be liquidated following the sale of the underlying real estate assets. As the general partner in these partnerships, the Company ordinarily controls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the Company manages,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the Company’s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revenue recognition policy related to the fees the Company earns from providing services under its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Trust’s enterprise value and is reimbursed for certain costs incurred on behalf of the Caliber Hospitality Trust. These revenues are included in asset management revenues in the accompanying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the Company is entitled to an allocation of investment returns, generated within the investment funds which we manage, based on a contractual formula. The Company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Lessor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third-party, the Company classifies the lease as a direct financing lease. All other leases are classified as operating leases. The Company did not have any sales-type or direct financing leases as of December 31, 2025 and 2024. For operating leases with minimum scheduled rent increases, the Company recognizes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identified two separate lease components as follows: i) land lease component, and ii) single property lease component comprised of building, land improvements and tenant improvements. The Company’s leases also contain provisions for tenants to reimburse the Company for maintenance and other property operating expenses, which are non-lease components.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Lessee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in exchange for consideration. Lease classification tests and measurement procedures are performed at the lease commencement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impairment assessment for ROU assets is consistent with the impairment analysis for the Company's other long-lived assets and is reviewed quarterly.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primarily consist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If the collectability of a receivable is uncertain, the Company will record an increase in the allowance for doubtful accounts. Amounts that are determined to be uncollectible with a high degree of certainty are written off through bad debt expense, which is included in operating costs on the accompanying consolidated statements of operations.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 is computed by dividing net income (loss) attributable to the Company by the weighted average number of shares outstanding during each period. The computation of diluted income (loss) per share attributable to common stockholders further assumes the potential dilutive effect of potential common shares, which includes common shares, consisting of (a) stock options and warrants using the treasury stock method, and (b) convertible debt and preferred stock using the if-converted method. To the extent the inclusion of potential common shares is anti-dilutive, the potential common shares are excluded from the computation of diluted income (loss) per share attributable to common stockholders. See Note 13 – Net Income (Loss) Per Share for the calculation of earnings per share.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Related Parties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transactions with related parties. Related parties include affiliates of the entity, entities under common control of the Company, significant stockholders and executive management, and other parties that can significantly influence the management and operating policies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The Company accounts for income taxes under the asset and liability method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 likely than not that some portion or all the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reduce the balance of a deferred tax asset if it is determined that it is more likely than not that all or some portion of the deferred tax asset will not be realized due to the lack of sufficient taxable income or other limitation on the Company’s ability to utilize the loss carryforward.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the impact of an income tax position, if that position is more likely than not of being sustained on audit, based on the technical merits of the position. Any related interest and penalties would be classified as income taxes in the accompanying consolidated statements of operations. See Note 10 – Income Taxes for more detail.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the Board of Directors approved the 2024 Incentive Stock Plan (the “2024 Plan”) which was amended and restated in January 2026 to (i) increase the number of shares available for grant of awards by 1,000,000 shares and (ii) to incorporate provisions for annual increases under the 2024 Plan on the first day of each calendar year, beginning on January 1, 2027 and ending on January 1, 2034, equal to 15% of the total shares of our Class A common stock outstanding on the last day of the immediately preceding calendar year.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estimates the fair value of stock options using the Black-Scholes valuation model, which requires certain assumptions that can materially impact the estimation of fair value and related compensation expense. The assumptions used to estimate fair value include the price of our common stock, the expected volatility of our common stock, the risk-free interest rate, and the expected term of stock option awards. Management elected to recognize forfeitures as they occur pursuant to ASU 2016-09,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As a result, no forfeiture rate was assumed. The fair value of restricted stock units is based on the fair value of the Company’s common stock at the date of grant.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18 – Segments for detail of the Company’s segment reporting policy.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for Real Estate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because substantially all the fair value of the gross assets acquired is attributable to the real estate assets acquired.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Acquired real estate properties accounted for as asset acquisitions are recorded at cost, including acquisition and closing costs. The consolidated funds allocate the cost of real estate properties to the tangible and intangible assets and liabilities acquired based on their estimated relative fair values. The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The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asset acquisitions or dispositions by the Company or the consolidated funds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intangible assets consist of lease rights to 100 acres of land located within the Salt River Pima Maricopa Indian Community, comprising seven parcels. The lease rights were acquired in October 2022 for $48.7 million and are being amortized on a straight-line basis over the remaining lease term at acquisition of 66 years. As of December 31, 2025, the carrying value of the lease rights was $46.3 million, net of accumulated amortization, and is included in intangible assets, net, on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Capitalization and Depreciation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The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Depreciation for all tangible real estate assets is calculated using the straight-line method over the estimated useful lives of the assets. The estimated useful lives of our building and building improvements are generally 15 to 40 years. The estimated useful lives of the consolidated funds furniture, fixtures and equipment are generally three to seven years beginning in the first full month the asset is placed in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depreciation expense of the consolidated funds was $1.6 million and $5.6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the consolidated funds assess its recoverability by comparing the carrying amount to our estimate of the undiscounted net future cash flows resulting from the use of the asset, excluding interest charges. If the carrying amount exceeds the aggregate undiscounted future cash flows, the consolidated funds recognize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consolidated funds did not record an impairment loss related to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Deferred financing costs represent costs incurred in connection with obtaining long-term debt and are capitalized and amortized over the term of the related debt obligation using the straight-line method. Capitalized deferred financing costs, net of accumulated amortization, are offset against and included in notes payable, net in the accompanying consolidated balance sheets.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daily,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funds – other revenue includes rental revenue of $0.6 million and $1.4 million for the years ended December 31, 2025 and 2024, respectively. Rental revenue includes the revenues generated primarily by the rental operations of the residential and commercial properties of the consolidated funds. </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at the inception of a new lease arrangement, including new leases that arise from amendments, the consolidated funds assess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consolidated funds obtain a guarantee for the value of the asset from a third-party, the consolidated funds classify the lease as a direct financing lease. All other leases are classified as operating leases. The consolidated funds did not have any sales-type or direct financing leases as of December 31, 2025.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identified two separate lease components as follows: i) land lease component, and ii) single property lease component comprised of building, land improvements and tenant improvements. The consolidated funds leases also contain provisions for tenants to reimburse the consolidated funds for maintenance and other property operating expenses, which are non-lease components. The consolidated funds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consolidated funds - other revenue includes interest income, which is generated by a consolidated funds lending activity. There was no interest income for the year ended December 31, 2025. For the year ended December 31, 2024, there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$5.9 million of interest income. Interest income is recognized on the accrual basis of accounting in accordance with the lending agreements over the term of the respective loan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our consolidated funds,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 that can be accessed at the measurement date.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The Company adopted the Financial Accounting Standards Board (“FASB”) issued ASU 2020-06, </w:t>
      </w:r>
      <w:r>
        <w:rPr>
          <w:rFonts w:ascii="Times New Roman;serif" w:hAnsi="Times New Roman;serif"/>
          <w:b w:val="false"/>
          <w:i/>
          <w:color w:val="000000"/>
          <w:sz w:val="20"/>
        </w:rPr>
        <w:t>Debt – Debt with Conversion and Other Options (Subtopic 470-20) and Derivatives and Hedging – Contracts in Entity’s Own Equity (Subtopic 815-40)</w:t>
      </w:r>
      <w:r>
        <w:rPr>
          <w:rFonts w:ascii="Times New Roman;serif" w:hAnsi="Times New Roman;serif"/>
          <w:b w:val="false"/>
          <w:color w:val="000000"/>
          <w:sz w:val="20"/>
        </w:rPr>
        <w:t>, effective January 1, 2024,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adoption of this guidance did not have a material impact on the Company’s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which serves to improve reportable segment disclosure requirements, primarily through enhanced disclosures about significant segment expenses on both an annual and interim basis. The guidance does not change the definition of a segment, the method for determining segments, or the criteria for aggregating operating segments into reportable segments and is effective for fiscal years beginning after December 15, 2023, and interim periods within fiscal years beginning after December 15, 2024, with early adoption permitted. The Company adopted this guidance effective December 31, 2024. The adoption of this standard did not have a material effect on the Company’s balance sheets, statements of operations, or statements of cash flows, but resulted in additional disclosures in the notes to the financial statements, most notably payroll and payroll related costs as a significant segment expense. See Note 18 – Segments for detail.</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 (Topic 740, Income Taxes)</w:t>
      </w:r>
      <w:r>
        <w:rPr>
          <w:rFonts w:ascii="Times New Roman;serif" w:hAnsi="Times New Roman;serif"/>
          <w:b w:val="false"/>
          <w:color w:val="000000"/>
          <w:sz w:val="20"/>
        </w:rPr>
        <w:t xml:space="preserve">. ASU 2023-09, which enhances the transparency and decision usefulness of income tax disclosures. Adjustments to the annual disclosure of income taxes include: (1) A tabular rate reconciliation comprised of eight specific categories, (2) Incomes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paid, disaggregated between significant national, state, and foreign jurisdictions, (3) Eliminates requirements to disclose the nature and estimate of reasonably possible changes to unrecognized tax benefits in the next 12 months or that an estimated range cannot be made, and (4) Adds a requirement to disclose income (or loss) from continuing operations before income tax expense (or benefit) by national and foreign, and income tax expense (or benefit) from continuing operations disaggregated between national, state and foreign. The ASU is effective for public business entities for fiscal years beginning on or after December 15, 2024. The amendments in ASU 2023-09 were adopted by the Company on a retrospective basis. There was no material impact to the Company's consolidated financial statements as a result of adopting ASU 2023-09.</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to improve the disclosures about a public business entity’s expenses and provide more detailed information about the types of expenses included in 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the adoption of ASU 2024-03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March 2025, the FASB issued Accounting Standards Update (“ASU”) 2025-05, </w:t>
      </w:r>
      <w:r>
        <w:rPr>
          <w:rFonts w:ascii="Times New Roman;serif" w:hAnsi="Times New Roman;serif"/>
          <w:b w:val="false"/>
          <w:i/>
          <w:color w:val="000000"/>
          <w:sz w:val="20"/>
        </w:rPr>
        <w:t>Financial Instruments—Credit Losses (Topic 326): Clarifications to Expected Credit Losses Guidance</w:t>
      </w:r>
      <w:r>
        <w:rPr>
          <w:rFonts w:ascii="Times New Roman;serif" w:hAnsi="Times New Roman;serif"/>
          <w:b w:val="false"/>
          <w:color w:val="000000"/>
          <w:sz w:val="20"/>
        </w:rPr>
        <w:t>. The amendments in ASU 2025-05 are intended to reduce the operational burden associated with applying the current expected credit losses (“CECL”) model to portfolios with large volumes of short-term receivables. The update confirms that entities may apply simple, well-designed loss-rate approaches when estimating expected credit losses and clarifies the interaction between the guidance in Topic 326 and contract assets recognized under Topic 606, Revenue from Contracts with Customers. The amendments are intended to improve consistency and comparability in the application of the CECL model in practice. The amendments in ASU 2025-05 are effective for fiscal years beginning after December 15, 2025, including interim periods within those fiscal years, with early adoption permitted. The Company is currently evaluating the impact of adopting ASU 2025-05 and does not expect the adoption of this standard to have a material impact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ASU 2025-11 are intended to enhance the clarity and usability of the interim reporting guidance in Topic 270. Among other changes, the update defines when the guidance in Topic 270 applies, clarifies what constitutes interim financial statements and accompanying notes prepared in accordance with generally accepted accounting principles (“GAAP”), and organizes existing interim disclosure requirements from across the Codification into Topic 270. The amendments also introduce a disclosure principle requiring entities to disclose events occurring after the end of the most recent annual reporting period that have a material impact on the entity. The amendments in ASU 2025-11 are effective for interim periods within fiscal years beginning after December 15, 2027. Early adoption is permitted. The Company is currently evaluating the impact that the adoption of ASU 2025-11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3 – VIEs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determined that the equity holders in the Company’s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accompanying consolidated financial statements. The Company has provided financial support to certain consolidated VIEs in the form of short-term financing and guarantees of the debts of certain VIEs. In general, the Company’s maximum exposure to loss due to involvement with the consolidated VIEs is limited to the amount of capital investment in the VIE, if any, or the potential obligation to perform on the guarantee of debts.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deconsolidated DoubleTree by Hilton Tucson Convention Center (“TCC”), a VIE which refinanced a loan secured by a hotel property it owns. With the refinancing of this loan, the Company no longer guarantees the debt, and it is therefore not obligated to absorb the respective VIE’s income or loss and is no longer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determined to be the primary beneficiary. The Company aggregates and reports on the results of operations of TCC in consolidated fund revenues and consolidated fund expenses within the accompanying consolidated statements of operations through the date of deconsolidation.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during the year ended December 31, 2025, the Company consolidated Riverwalk 1 HoldCo, LLC, Riverwalk 2 HoldCo, LLC, Riverwalk 3 HoldCo, LLC, Riverwalk 4 HoldCo, LLC, Riverwalk 5 HoldCo, LLC, Riverwalk 6 HoldCo, LLC, and Riverwalk 7 HoldCo, LLC (“Riverwalk”) because the Company was determined to be the primary beneficiary as it had the power to direct the activities and the obligations to absorb their losses through its guarantee of the indebtedness secured by Riverwalk’s assets. The consolidation of Riverwalk consisted of the following, excluding intercompany eliminations at the time of consolidation (in thousands):</w:t>
      </w:r>
    </w:p>
    <w:tbl>
      <w:tblPr>
        <w:tblW w:w="5759" w:type="dxa"/>
        <w:jc w:val="left"/>
        <w:tblInd w:w="0" w:type="dxa"/>
        <w:tblLayout w:type="fixed"/>
        <w:tblCellMar>
          <w:top w:w="28" w:type="dxa"/>
          <w:left w:w="28" w:type="dxa"/>
          <w:bottom w:w="28" w:type="dxa"/>
          <w:right w:w="28" w:type="dxa"/>
        </w:tblCellMar>
      </w:tblPr>
      <w:tblGrid>
        <w:gridCol w:w="1270"/>
        <w:gridCol w:w="1121"/>
        <w:gridCol w:w="1133"/>
        <w:gridCol w:w="434"/>
        <w:gridCol w:w="1484"/>
        <w:gridCol w:w="317"/>
      </w:tblGrid>
      <w:tr>
        <w:trPr/>
        <w:tc>
          <w:tcPr>
            <w:tcW w:w="127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60,547 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L.T.D. Hospitality Group LLC (“L.T.D.”) contributed one hotel from its portfolio to Caliber Hospitality, LP in exchange for $4.9 million in cash, net of closing costs, and $9.6 million in operating partnership units. In conjunction with the L.T.D. contribution, Caliber Hospitality, LP entered a new $14.1 million loan facility with a third-party lender resulting in a consolidation reconsideration event. Upon this reconsideration event, the Company reconsidered its consolidation conclusion, given the change in economics, and concluded that the Company was no longer the primary beneficiary, as its potential obligation to absorb the losses, through its guarantee of the indebtedness secured by the hospitality assets, was no longer significant to Caliber Hospitality, LP or the Caliber Hospitality Trust. As such, during the year ended December 31, 2024, the Company deconsolidated Caliber Hospitality, LP, the Caliber Hospitality Trust, and their consolidated subsidiaries. The Company aggregated and reported the results of operations of these VIEs in consolidated fund revenues and consolidated fund expenses within the accompanying condensed consolidated statements of operations through the date of deconsolidation. Additionally, during year ended December 31, 2024, the Company deconsolidated Elliot, DT Mesa, and CFIF III. The Company’s investment in these assets, as well as the assets of Caliber Hospitality, LP, are no longer eliminated and are included in investments in unconsolidated entities on the accompanying consolidated balance sheets dated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12 – Commitments and Contingencies for additional information related to the commitments and contingencies of these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Digital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digital assets, which are comprised solely of LINK, as indefinite-lived intangible assets in accordance with ASC 350, Intangibles—Goodwill and Other and ASU 2023-08. The Company’s digital assets are initially recorded at cost and then subsequently measured at fair value as of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Changes in fair value are recognized as incurred in the Company's consolidated statements of operations, as “Change in fair value of digital assets”, included below operating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held 562,535, LINK with a cost basis of $12.6 million and a fair value of $6.8 million. All LINK were acquired during the year ended December 31, 2025, and the Company has not sold any of its LINK holdings as of that date. The Company recognized an unrealized loss of $5.8 million or 45.8%, for the year ended December 31, 2025, and the fair value per LINK was $12.18 per token at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unrealized losses on digital assets calculated consistently with ASU 2023-08 (in thousands).</w:t>
      </w:r>
    </w:p>
    <w:tbl>
      <w:tblPr>
        <w:tblW w:w="5828"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243"/>
        <w:gridCol w:w="796"/>
        <w:gridCol w:w="125"/>
        <w:gridCol w:w="125"/>
        <w:gridCol w:w="125"/>
        <w:gridCol w:w="125"/>
        <w:gridCol w:w="243"/>
        <w:gridCol w:w="467"/>
        <w:gridCol w:w="177"/>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amount of the Company’s assets are concentrated in its LINK holdings. LINK is a digital asset, which is a novel asset class subject to significant legal, commercial, regulatory and technical uncertainty. Our LINK holdings do not currently generate any cash flow and involves custodial fees and other costs. Additionally, the price of LINK has historically been highly volatile. A significant decrease in the price of LINK would adversely affect the Company’s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Prepaid and Other Assets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consisted of the following as of December 31, 2025 and 2024 (in thousands):</w:t>
      </w:r>
    </w:p>
    <w:tbl>
      <w:tblPr>
        <w:tblW w:w="6610" w:type="dxa"/>
        <w:jc w:val="left"/>
        <w:tblInd w:w="0" w:type="dxa"/>
        <w:tblLayout w:type="fixed"/>
        <w:tblCellMar>
          <w:top w:w="28" w:type="dxa"/>
          <w:left w:w="28" w:type="dxa"/>
          <w:bottom w:w="28" w:type="dxa"/>
          <w:right w:w="28" w:type="dxa"/>
        </w:tblCellMar>
      </w:tblPr>
      <w:tblGrid>
        <w:gridCol w:w="1009"/>
        <w:gridCol w:w="888"/>
        <w:gridCol w:w="893"/>
        <w:gridCol w:w="387"/>
        <w:gridCol w:w="1135"/>
        <w:gridCol w:w="202"/>
        <w:gridCol w:w="109"/>
        <w:gridCol w:w="109"/>
        <w:gridCol w:w="109"/>
        <w:gridCol w:w="380"/>
        <w:gridCol w:w="1110"/>
        <w:gridCol w:w="279"/>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Pursuit costs </w:t>
            </w:r>
            <w:r>
              <w:rPr>
                <w:rFonts w:ascii="Times New Roman;serif" w:hAnsi="Times New Roman;serif"/>
                <w:b w:val="false"/>
                <w:color w:val="000000"/>
                <w:sz w:val="13"/>
              </w:rPr>
              <w:t>(1)</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right of use assets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consolidated funds consisted of the following as of December 31, 2025 and 2024 (in thousands):</w:t>
      </w:r>
    </w:p>
    <w:tbl>
      <w:tblPr>
        <w:tblW w:w="6354" w:type="dxa"/>
        <w:jc w:val="left"/>
        <w:tblInd w:w="0" w:type="dxa"/>
        <w:tblLayout w:type="fixed"/>
        <w:tblCellMar>
          <w:top w:w="28" w:type="dxa"/>
          <w:left w:w="28" w:type="dxa"/>
          <w:bottom w:w="28" w:type="dxa"/>
          <w:right w:w="28" w:type="dxa"/>
        </w:tblCellMar>
      </w:tblPr>
      <w:tblGrid>
        <w:gridCol w:w="918"/>
        <w:gridCol w:w="804"/>
        <w:gridCol w:w="812"/>
        <w:gridCol w:w="461"/>
        <w:gridCol w:w="1021"/>
        <w:gridCol w:w="242"/>
        <w:gridCol w:w="109"/>
        <w:gridCol w:w="109"/>
        <w:gridCol w:w="109"/>
        <w:gridCol w:w="448"/>
        <w:gridCol w:w="992"/>
        <w:gridCol w:w="329"/>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franchise fees, net</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(2)</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assets primarily consist of accrued straight-line rental receivables related to portions of the Company’s owned headquarters leased to third-party tenants.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Notes Payable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consisted of the following as of December 31, 2025 and 2024 (in thousands):</w:t>
      </w:r>
    </w:p>
    <w:tbl>
      <w:tblPr>
        <w:tblW w:w="10205" w:type="dxa"/>
        <w:jc w:val="left"/>
        <w:tblInd w:w="0" w:type="dxa"/>
        <w:tblLayout w:type="fixed"/>
        <w:tblCellMar>
          <w:top w:w="28" w:type="dxa"/>
          <w:left w:w="28" w:type="dxa"/>
          <w:bottom w:w="28" w:type="dxa"/>
          <w:right w:w="28" w:type="dxa"/>
        </w:tblCellMar>
      </w:tblPr>
      <w:tblGrid>
        <w:gridCol w:w="787"/>
        <w:gridCol w:w="660"/>
        <w:gridCol w:w="645"/>
        <w:gridCol w:w="109"/>
        <w:gridCol w:w="109"/>
        <w:gridCol w:w="109"/>
        <w:gridCol w:w="314"/>
        <w:gridCol w:w="1075"/>
        <w:gridCol w:w="162"/>
        <w:gridCol w:w="109"/>
        <w:gridCol w:w="109"/>
        <w:gridCol w:w="109"/>
        <w:gridCol w:w="314"/>
        <w:gridCol w:w="1075"/>
        <w:gridCol w:w="162"/>
        <w:gridCol w:w="109"/>
        <w:gridCol w:w="109"/>
        <w:gridCol w:w="109"/>
        <w:gridCol w:w="440"/>
        <w:gridCol w:w="440"/>
        <w:gridCol w:w="441"/>
        <w:gridCol w:w="109"/>
        <w:gridCol w:w="109"/>
        <w:gridCol w:w="109"/>
        <w:gridCol w:w="729"/>
        <w:gridCol w:w="680"/>
        <w:gridCol w:w="973"/>
      </w:tblGrid>
      <w:tr>
        <w:trPr/>
        <w:tc>
          <w:tcPr>
            <w:tcW w:w="78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2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2024 - March 2028</w:t>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2024 - May 2025</w:t>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4.30% - 10.00%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2027 - November 2029</w:t>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7.97% - 123.70%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2026 - September 2026</w:t>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corporate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As of December 31,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Gateway II HoldCo, LLC</w:t>
      </w:r>
    </w:p>
    <w:p>
      <w:pPr>
        <w:pStyle w:val="TextBody"/>
        <w:bidi w:val="0"/>
        <w:spacing w:lineRule="auto" w:line="288" w:before="200" w:after="283"/>
        <w:jc w:val="both"/>
        <w:rPr/>
      </w:pPr>
      <w:r>
        <w:rPr>
          <w:rFonts w:ascii="Times New Roman;serif" w:hAnsi="Times New Roman;serif"/>
          <w:b w:val="false"/>
          <w:color w:val="000000"/>
          <w:sz w:val="20"/>
        </w:rPr>
        <w:t>In January 2023, the Company assumed a loan which is secured by the Company’s headquarters office building.</w:t>
      </w:r>
      <w:r>
        <w:rPr>
          <w:color w:val="000000"/>
        </w:rPr>
        <w:t xml:space="preserve"> </w:t>
      </w:r>
      <w:r>
        <w:rPr>
          <w:rFonts w:ascii="Times New Roman;serif" w:hAnsi="Times New Roman;serif"/>
          <w:b w:val="false"/>
          <w:color w:val="000000"/>
          <w:sz w:val="20"/>
        </w:rPr>
        <w:t>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to be met. As of December 31, 2025 and 2024, the outstanding principal balance of the loan was $15.6 million and $15.9 million, respectively. Upon assumption of the loan, the Company is required to abide by a clause in the agreement requiring the Company to transfer funds to a cash management account. As of December 31, 2024, the debt service coverage ratio required by the loan agreement was not satisfied, which per the terms of the agreement required the Company to transfer funds to a cash management account. As of December 31, 2025, the Company is not aware of any non-compliance matters relating to its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Saddleback Ranch,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2026, with all accrued interest added to the outstanding balance monthly. Beginning in February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December 31, 2025, the outstanding principal balance of the loan was $1.3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Notes and Convertible Corporate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until maturity. The loans generally have a 12-month or 36-month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were 178 individual corporate notes outstanding, with an average outstanding principal balance of $0.2 million, interest rates ranging from 8.25% to 12.00%, with weighted average interest rate of 11.14%, and maturity dates ranging from January 2024 to March 2028. At December 31, 2025, the corporate notes outstanding had an aggregate principal balance of $29.6 million, of which $24.5 million of the corporate notes have matured or will mature within the 12-month period subsequent to March 25,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there were 202 individual corporate notes outstanding, with an average outstanding principal balance of $0.2 million, interest rates ranging from 8.25% to 12.00%, with a weighted average interest rate of 11.30%, and maturity dates ranging from April 2023 to December 2027.</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issued corporate notes, generally convertible at $151.40 per common share, except for a secured promissory note issued to Mast Hill (the “Mast Hill Note”) in March 2025, which was convertible at $8.25 per common share, and was repaid in September 2025. Holders may convert all or part of their note principal balance at any time. As of December 31, 2025 and 2024, convertible corporate notes totaled $0.9 million and $1.1 million, respectively. During the year ended December 31, 2025, $1.9 million of debt was converted into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short-term operating loan agreement with an outstanding balance of $0.3 million at December 31, 2025. The short-term operating loan agreement incurs an interest rate of 123.70% and matures in February 2026. In addition, the Company executed insurance premium financing agreements pursuant to which the Company financed certain annual insurance premiums with an aggregate outstanding balance of $0.2 million at December 31, 2025, primarily consisting of premiums for directors’ and officers’ insurance. The insurance premium financing agreements have a weighted average interest rate of 9.67% and mature from February 2026 through September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Minimum Payments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principal repayments of our indebtedness as of December 31, 2025 (in thousands):</w:t>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for the Company was $0.3 million and $0.1 million during the years ended December 31, 2025 and 2024, respectively. There were $0.2 million deferred financing cost write-offs during the year ended December 31, 2025. There were no deferred financing cost write-offs during the year ended December 31, 2024.</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of the consolidated funds consisted of the following as of December 31, 2025 and 2024, respectively (in thousands):</w:t>
      </w:r>
    </w:p>
    <w:tbl>
      <w:tblPr>
        <w:tblW w:w="10205" w:type="dxa"/>
        <w:jc w:val="left"/>
        <w:tblInd w:w="0" w:type="dxa"/>
        <w:tblLayout w:type="fixed"/>
        <w:tblCellMar>
          <w:top w:w="28" w:type="dxa"/>
          <w:left w:w="28" w:type="dxa"/>
          <w:bottom w:w="28" w:type="dxa"/>
          <w:right w:w="28" w:type="dxa"/>
        </w:tblCellMar>
      </w:tblPr>
      <w:tblGrid>
        <w:gridCol w:w="1116"/>
        <w:gridCol w:w="855"/>
        <w:gridCol w:w="855"/>
        <w:gridCol w:w="109"/>
        <w:gridCol w:w="109"/>
        <w:gridCol w:w="109"/>
        <w:gridCol w:w="283"/>
        <w:gridCol w:w="970"/>
        <w:gridCol w:w="146"/>
        <w:gridCol w:w="109"/>
        <w:gridCol w:w="109"/>
        <w:gridCol w:w="109"/>
        <w:gridCol w:w="283"/>
        <w:gridCol w:w="970"/>
        <w:gridCol w:w="146"/>
        <w:gridCol w:w="109"/>
        <w:gridCol w:w="109"/>
        <w:gridCol w:w="109"/>
        <w:gridCol w:w="362"/>
        <w:gridCol w:w="362"/>
        <w:gridCol w:w="363"/>
        <w:gridCol w:w="109"/>
        <w:gridCol w:w="109"/>
        <w:gridCol w:w="109"/>
        <w:gridCol w:w="736"/>
        <w:gridCol w:w="644"/>
        <w:gridCol w:w="646"/>
        <w:gridCol w:w="160"/>
      </w:tblGrid>
      <w:tr>
        <w:trPr/>
        <w:tc>
          <w:tcPr>
            <w:tcW w:w="1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DoubleTree by Hilton Tucson Convention Center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Riverwalk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2024 - September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(1) </w:t>
      </w:r>
      <w:r>
        <w:rPr>
          <w:color w:val="000000"/>
        </w:rPr>
        <w:t>    </w:t>
      </w:r>
      <w:r>
        <w:rPr>
          <w:rFonts w:ascii="Times New Roman;serif" w:hAnsi="Times New Roman;serif"/>
          <w:b w:val="false"/>
          <w:color w:val="000000"/>
          <w:sz w:val="20"/>
        </w:rPr>
        <w:t>As of December 31, 2025.</w:t>
      </w:r>
    </w:p>
    <w:p>
      <w:pPr>
        <w:pStyle w:val="TextBody"/>
        <w:bidi w:val="0"/>
        <w:spacing w:lineRule="auto" w:line="28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During the year ended December 31, 2025, the Company deconsolidated TCC (as discussed in Note 3 – VIEs).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Includes Riverwalk 1 HoldCo, LLC, Riverwalk 2 HoldCo, LLC, Riverwalk 3 HoldCo, LLC, Riverwalk 4 HoldCo, LLC, Riverwalk 5 HoldCo, LLC, Riverwalk 6 HoldCo, LLC, and Riverwalk 7 HoldCo, LLC.</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DoubleTree by Hilton Tucson Convention Center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2019, the consolidated fund entered into a loan agreement which is secured by a deed of trust and assignment of rents of the TCC located in Tucson, Arizona. The loan has a variable interest rate per annum equal to LIBOR plus 2.50%. In connection with the loan, the consolidated fund entered into an interest rate swap agreement, which sets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In May 2024, the consolidated fund terminated the interest rate swap agreement and received $1.6 million. In May 2025, the consolidated fund paid the loan amount outstanding in full.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the consolidated fund entered into a $22.5 million loan agreement which is secured by a deed of trust and assignment of rents of the TCC located in Tucson, Arizona. Per the terms of the loan agreement, the loan has a fixed interest rate of 7.43%, matures in June 2030, and requires interest-only payments until maturity. The terms of the loan do not allow the prepayment of the outstanding balance prior to the maturity date but can be prepaid subject to certain conditions and terms outlined in the loan agreement. The loan is not guaranteed by the Company. During the year ended December 31, 2025, the Company deconsolidated TCC (as discussed in Note 3 –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Riverwalk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October 2022, the consolidated fund entered into a loan agreement which is secured by a deed of trust and assignment of rents of the Riverwalk properties located Scottsdale, Arizona. Through a forbearance agreement executed in December 2025, the loan has a variable interest rate per annum equal to SOFR plus 4.25%, with a floor rate of 6.50%, and matures in September 2027. The forbearance agreement requires monthly interest-only payments and principal payments at various dates throughout the forbearance agreement term. The terms of the forbearance agreement require an exit fee, which is determined by the date the agreement is terminated. The exit fee will be incrementally accrued based upon the termination periods and recorded as interest expense. The loan is guaranteed by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Southpointe Fundco,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March 2025, and September 2025, extension agreements were executed with the lender, extending the maturity date to September 2024, March 2025, September 2025, and March 2026, respectively. The terms of the loan allow the prepayment of the outstanding balance in part or in whole at any time prior to the maturity date with no prepayment penalty. The loan is guaranteed by an individual who is an affiliate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West Frontier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Member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2022 and 2023, Riverwalk, issued unsecured promissory notes to individual investors bearing interest at 10.0%. The notes have maturity dates ranging from September 2024 - September 2026 and require quarterly interest-only payments. The notes may be prepaid, in whole or in part, at any time prior to maturity without penalty. As of December 31, 2025, $4.6 million of the $7.3 million outstanding principal balance had matured and remained unpaid. The Company is actively working with noteholders to satisfy these obligations, and no formal notices of default have been received. The notes continue to accrue interest at the stated rate of 10.0%. Accrued interest related to these notes in aggregate totaled $0.7 million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2022 and 2023, Southpointe Fundco, LLC, issued unsecured promissory notes to individual investors bearing interest at 10.0%. The notes matured in December 2025 and required quarterly interest-only payments. As of December 31, 2025, the outstanding principle balance of $5.6 million had matured and remained unpaid. The Company is actively working with noteholders to satisfy these obligations, and no formal notices of default have been received. The notes continue to accrue interest at the stated rate of 10%. Accrued interest related to these notes in aggregate totaled $0.5 million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Debt Maturities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future aggregate principal repayments due on the consolidated funds notes payable are as follows (in thousands):</w:t>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deferred financing costs was immaterial during the year ended December 31, 2025. Amortization of deferred financing costs was and $0.4 million during the year ended December 31, 2024. During the years ended December 31, 2025 and 2024, there were no deferred financing cost write-offs.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Related Party Transactions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revenues earned for providing services under the Platform as described in the Revenue Recognition section of Note 2 – Summary of Significant Accounting Policies for the years ended December 31, 2025 and 2024.</w:t>
      </w:r>
    </w:p>
    <w:tbl>
      <w:tblPr>
        <w:tblW w:w="5826"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11"/>
        <w:gridCol w:w="721"/>
        <w:gridCol w:w="109"/>
        <w:gridCol w:w="109"/>
        <w:gridCol w:w="109"/>
        <w:gridCol w:w="109"/>
        <w:gridCol w:w="211"/>
        <w:gridCol w:w="72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party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amounts due to the Company from related parties for services performed under the Platform were $9.2 million and $6.2 million, respectively, net of allowance for doubtful accounts of $3.2 million and $3.1 million, respectively, which is included in due from related parties on the accompanying consolidated balance sheets.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notes receivable – related parties as of December 31, 2025 and 2024 (in thousands):</w:t>
      </w:r>
    </w:p>
    <w:tbl>
      <w:tblPr>
        <w:tblW w:w="10205" w:type="dxa"/>
        <w:jc w:val="left"/>
        <w:tblInd w:w="0" w:type="dxa"/>
        <w:tblLayout w:type="fixed"/>
        <w:tblCellMar>
          <w:top w:w="28" w:type="dxa"/>
          <w:left w:w="28" w:type="dxa"/>
          <w:bottom w:w="28" w:type="dxa"/>
          <w:right w:w="28" w:type="dxa"/>
        </w:tblCellMar>
      </w:tblPr>
      <w:tblGrid>
        <w:gridCol w:w="1234"/>
        <w:gridCol w:w="1060"/>
        <w:gridCol w:w="1068"/>
        <w:gridCol w:w="109"/>
        <w:gridCol w:w="109"/>
        <w:gridCol w:w="109"/>
        <w:gridCol w:w="332"/>
        <w:gridCol w:w="974"/>
        <w:gridCol w:w="173"/>
        <w:gridCol w:w="109"/>
        <w:gridCol w:w="109"/>
        <w:gridCol w:w="109"/>
        <w:gridCol w:w="395"/>
        <w:gridCol w:w="876"/>
        <w:gridCol w:w="207"/>
        <w:gridCol w:w="109"/>
        <w:gridCol w:w="109"/>
        <w:gridCol w:w="109"/>
        <w:gridCol w:w="395"/>
        <w:gridCol w:w="395"/>
        <w:gridCol w:w="397"/>
        <w:gridCol w:w="109"/>
        <w:gridCol w:w="109"/>
        <w:gridCol w:w="109"/>
        <w:gridCol w:w="424"/>
        <w:gridCol w:w="396"/>
        <w:gridCol w:w="571"/>
      </w:tblGrid>
      <w:tr>
        <w:trPr/>
        <w:tc>
          <w:tcPr>
            <w:tcW w:w="123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3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Olathe Behavioral Health MezzCo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2027</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Caliber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2027</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DFW Behavioral Health LLC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2026</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Blue Spruce Ridge MezzCo,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Ridge MezzCo,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Ridge II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Ironwood 92 Partners LLC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2027</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Ketch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SF Alaska, LP</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Fixed Income Fund III,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Tax Advantaged Opportunity Zone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J-25 Land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10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Core+ Growth &amp; Income Fund REIT,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December 31, 2025.</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Company entered into unsecured promissory notes with related parties which were repaid or impaired during the year ended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earned $0.3 million and $0.2 million, respectively, of interest in connection with the notes, which is included in interest income on the accompanying consolidated statements of operations. Interest that accrues on certain related party notes receivable can be added to the principal outstanding balance, due at the respective loan maturity date and incurs interest at the respective interest rate. There was $0.2 million of interest due to the Company as of December 31, 2025. There was an immaterial amount of interest due to the Company as of December 31,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December 31, 2025 notes receivable - related parties balance above is net of a $1.0 million allowance for doubtful accounts. There was no allowance at December 31,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various amounts due from and/or due to related parties, including affiliate entities and individuals, for various expenses paid by the Company on their behalf and other charges. These amounts are generally unsecured, interest-free, and due on demand. As of December 31, 2025, other amounts due from related parties were $0.7 million, net of allowance for doubtful accounts of $0.8 million, and are included in due from related parties on the accompanying consolidated balance sheets. As of December 31, 2024, other amounts due from related parties were $0.8 million and are included in due from related parties on the accompanying consolidated balance sheets. As of December 31, 2025 and 2024, other amounts due to related parties from the Company were $0.2 million and $0.3 million, respectively, which are included in due to related parties on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entered into unsecured promissory notes with related parties. The notes may be repaid in whole, or in part, without penalty. The notes receivable – related parties consisted of the following as of December 31, 2025 and 2024 (in thousands):</w:t>
      </w:r>
    </w:p>
    <w:tbl>
      <w:tblPr>
        <w:tblW w:w="10205" w:type="dxa"/>
        <w:jc w:val="left"/>
        <w:tblInd w:w="0" w:type="dxa"/>
        <w:tblLayout w:type="fixed"/>
        <w:tblCellMar>
          <w:top w:w="28" w:type="dxa"/>
          <w:left w:w="28" w:type="dxa"/>
          <w:bottom w:w="28" w:type="dxa"/>
          <w:right w:w="28" w:type="dxa"/>
        </w:tblCellMar>
      </w:tblPr>
      <w:tblGrid>
        <w:gridCol w:w="1095"/>
        <w:gridCol w:w="956"/>
        <w:gridCol w:w="962"/>
        <w:gridCol w:w="109"/>
        <w:gridCol w:w="109"/>
        <w:gridCol w:w="109"/>
        <w:gridCol w:w="427"/>
        <w:gridCol w:w="947"/>
        <w:gridCol w:w="224"/>
        <w:gridCol w:w="109"/>
        <w:gridCol w:w="109"/>
        <w:gridCol w:w="109"/>
        <w:gridCol w:w="359"/>
        <w:gridCol w:w="1053"/>
        <w:gridCol w:w="187"/>
        <w:gridCol w:w="109"/>
        <w:gridCol w:w="109"/>
        <w:gridCol w:w="109"/>
        <w:gridCol w:w="416"/>
        <w:gridCol w:w="416"/>
        <w:gridCol w:w="418"/>
        <w:gridCol w:w="109"/>
        <w:gridCol w:w="109"/>
        <w:gridCol w:w="109"/>
        <w:gridCol w:w="429"/>
        <w:gridCol w:w="414"/>
        <w:gridCol w:w="594"/>
      </w:tblGrid>
      <w:tr>
        <w:trPr/>
        <w:tc>
          <w:tcPr>
            <w:tcW w:w="109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Interest Rate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(1)</w:t>
            </w:r>
          </w:p>
        </w:tc>
      </w:tr>
      <w:tr>
        <w:trPr/>
        <w:tc>
          <w:tcPr>
            <w:tcW w:w="3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Caliber Hospitality, LP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&amp; 51st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(1) </w:t>
      </w:r>
      <w:r>
        <w:rPr>
          <w:color w:val="000000"/>
        </w:rPr>
        <w:t>    </w:t>
      </w:r>
      <w:r>
        <w:rPr>
          <w:rFonts w:ascii="Times New Roman;serif" w:hAnsi="Times New Roman;serif"/>
          <w:b w:val="false"/>
          <w:color w:val="000000"/>
          <w:sz w:val="20"/>
        </w:rPr>
        <w:t>As of December 31, 2025.</w:t>
      </w:r>
    </w:p>
    <w:p>
      <w:pPr>
        <w:pStyle w:val="TextBody"/>
        <w:bidi w:val="0"/>
        <w:spacing w:lineRule="auto" w:line="28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During the year ended December 31, 2025, the Company deconsolidated TCC (as discussed in Note 3 – VIEs), who is the lender of a promissory note with Caliber Hospitality,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consolidated fund did not earn interest in connection with the notes. During the year ended December 31, 2024, the consolidated funds earned $5.9 million of interest in connection with the notes, which is included in consolidated funds – other revenues on the accompanying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$0.2 million and $0.3 million as of December 31, 2025 and 2024, respectively, which is included in prepaid and other assets on the accompanying consolidated balance sheets.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consolidated funds had a note payable outstanding of $2.3 million and $2.0 million, respectively, to CFIF III. The note has a fixed interest rate of 13.00% and matured in September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consolidated funds incurred $0.3 million and $0.3 million, respectively, of interest expense in connection with the notes payable – related parties, which is included in consolidated funds – hospitality expenses and consolidated funds – other expenses on the accompanying consolidated statements of operations. No interest was payable as of December 31, 2025 and 2024.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December 31, 2025 and 2024, there was an immaterial amount of other amounts due from related parties, which is included in prepaid and other assets on the accompanying consolidated balance sheets. As of December 31, 2025 and 2024, there was $0.9 million and $0.1 million, respectively, of other amounts due to related parties, which is included in due to related parties on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Lessee -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is the lessee under one corporate office lease which meets the criteria of an operating lease and has a remaining lease term of 1.8 years and a 9.4% discount rate. As of December 31, 2024, the Company was the lessee under one corporate office lease which meets the criteria of an operating lease which had a remaining lease term of 2.8 years and a 9.4% discount rate. As the Company’s lease does not specifically state an implicit rate, the Company uses a discount rate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 does not reflect all renewal options available to the Company, only those renewal options that the Company has assessed as reasonably certain of being exercised. The operating lease agreement does not contain any material residual value guarantees or material restrictive covenants. As of December 31, 2025, the Company does not have any material operating or financing leases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or that have not yet commenced, or any sale-leaseback arrangements. Variable lease expense is primarily costs reimbursed related to common area maintenance. </w:t>
      </w:r>
    </w:p>
    <w:tbl>
      <w:tblPr>
        <w:tblW w:w="3535"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86"/>
        <w:gridCol w:w="490"/>
        <w:gridCol w:w="148"/>
        <w:gridCol w:w="148"/>
        <w:gridCol w:w="148"/>
        <w:gridCol w:w="148"/>
        <w:gridCol w:w="286"/>
        <w:gridCol w:w="490"/>
        <w:gridCol w:w="20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cash paid for amounts included in the measurement of operating lease liabilities and future maturities of operating lease liabilities are immaterial.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Lessee -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consolidated funds are the lessee under seven ground lease arrangements that meet the criteria of an operating lease which have a weighted average remaining lease term of 62.5 years and a weighted average discount rate of 10.9%. As the consolidated funds leases do not specifically state an implicit rate, the consolidated funds use discount rates indicative of synthetic credit rate based on a market-specific analysis and applied based on the lease term as of the lease commencement date or upon a remeasurement event when calculating the present value of the remaining lease payments. Therefore, the incremental borrowing rate used reflects the cost to borrow on a securitized basis. The remaining lease terms do not reflect all renewal options available to the consolidated funds, only those renewal options that the consolidated funds have assessed as reasonably certain of being exercised. The operating lease agreements do not contain any material residual value guarantees or material restrictive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consolidated funds were not a lessee under any lease arrangements that meet the criteria of an operating lease and did not have any material operating or financing leases with related parties or any sale-leaseback arrangements.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there were no fixed or variable lease expenses for the consolidated funds. During the years ended December 31, 2025 and 2024, there was no cash paid for operating lease liabilities or lease liabilities arising from lease modifications.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maturity of our undiscounted operating lease liabilities over the next five years and thereafter as of December 31, 2025 (in thousands): </w:t>
      </w:r>
    </w:p>
    <w:tbl>
      <w:tblPr>
        <w:tblW w:w="3317" w:type="dxa"/>
        <w:jc w:val="left"/>
        <w:tblInd w:w="0" w:type="dxa"/>
        <w:tblLayout w:type="fixed"/>
        <w:tblCellMar>
          <w:top w:w="28" w:type="dxa"/>
          <w:left w:w="28" w:type="dxa"/>
          <w:bottom w:w="28" w:type="dxa"/>
          <w:right w:w="28" w:type="dxa"/>
        </w:tblCellMar>
      </w:tblPr>
      <w:tblGrid>
        <w:gridCol w:w="688"/>
        <w:gridCol w:w="604"/>
        <w:gridCol w:w="612"/>
        <w:gridCol w:w="109"/>
        <w:gridCol w:w="109"/>
        <w:gridCol w:w="109"/>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Company includes the revenue generated by the rental operations of one commercial office property. As of December 31, 2025, the leases have non-cancelable remaining lease terms from 0.2 years to 10.6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2025, the Company does not have any material related party leases as a lessor. The components of rental revenue for the years ended December 31, 2025 and 2024, are presented in the table below (in thousands). Variable rental revenue is primarily costs reimbursed related to common area maintenance.</w:t>
      </w:r>
    </w:p>
    <w:tbl>
      <w:tblPr>
        <w:tblW w:w="3533"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21"/>
        <w:gridCol w:w="646"/>
        <w:gridCol w:w="114"/>
        <w:gridCol w:w="114"/>
        <w:gridCol w:w="114"/>
        <w:gridCol w:w="114"/>
        <w:gridCol w:w="221"/>
        <w:gridCol w:w="646"/>
        <w:gridCol w:w="161"/>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Company under non-cancellable operating leases over the next five years and thereafter as of December 31, 2025 are as follows (in thousands): </w:t>
      </w:r>
    </w:p>
    <w:tbl>
      <w:tblPr>
        <w:tblW w:w="2254"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consolidated funds includes the revenues generated primarily by the rental operations of one multi-family residential property and two commercial properties. As of December 31, 2025, the leases have non-cancellable remaining lease terms from 0.2 years to 30.9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December 31, 2025, the consolidated funds do not have any material related party leases as a lessor. The components of rental revenue for the years ended December 31, 2025 and 2024 (in thousands) are presented in the table below. Variable rental revenue is primarily costs reimbursed related to common area maintenance.</w:t>
      </w:r>
    </w:p>
    <w:tbl>
      <w:tblPr>
        <w:tblW w:w="3607"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44"/>
        <w:gridCol w:w="540"/>
        <w:gridCol w:w="126"/>
        <w:gridCol w:w="126"/>
        <w:gridCol w:w="126"/>
        <w:gridCol w:w="126"/>
        <w:gridCol w:w="244"/>
        <w:gridCol w:w="715"/>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consolidated funds under non-cancellable operating leases over the next five years and thereafter as of December 31, 2025 are as follows (in thousands): </w:t>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Other Liabilities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Liabilities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Company consisted of the following as of December 31, 2025 and 2024 (in thousands):</w:t>
      </w:r>
    </w:p>
    <w:tbl>
      <w:tblPr>
        <w:tblW w:w="6505" w:type="dxa"/>
        <w:jc w:val="left"/>
        <w:tblInd w:w="0" w:type="dxa"/>
        <w:tblLayout w:type="fixed"/>
        <w:tblCellMar>
          <w:top w:w="28" w:type="dxa"/>
          <w:left w:w="28" w:type="dxa"/>
          <w:bottom w:w="28" w:type="dxa"/>
          <w:right w:w="28" w:type="dxa"/>
        </w:tblCellMar>
      </w:tblPr>
      <w:tblGrid>
        <w:gridCol w:w="970"/>
        <w:gridCol w:w="854"/>
        <w:gridCol w:w="861"/>
        <w:gridCol w:w="461"/>
        <w:gridCol w:w="1021"/>
        <w:gridCol w:w="242"/>
        <w:gridCol w:w="109"/>
        <w:gridCol w:w="109"/>
        <w:gridCol w:w="109"/>
        <w:gridCol w:w="448"/>
        <w:gridCol w:w="992"/>
        <w:gridCol w:w="329"/>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allowance</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net</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tenant security deposits.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Liabilities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consolidated funds consisted of the following as of December 31, 2025 and 2024 (in thousands):</w:t>
      </w:r>
    </w:p>
    <w:tbl>
      <w:tblPr>
        <w:tblW w:w="5665" w:type="dxa"/>
        <w:jc w:val="left"/>
        <w:tblInd w:w="0" w:type="dxa"/>
        <w:tblLayout w:type="fixed"/>
        <w:tblCellMar>
          <w:top w:w="28" w:type="dxa"/>
          <w:left w:w="28" w:type="dxa"/>
          <w:bottom w:w="28" w:type="dxa"/>
          <w:right w:w="28" w:type="dxa"/>
        </w:tblCellMar>
      </w:tblPr>
      <w:tblGrid>
        <w:gridCol w:w="668"/>
        <w:gridCol w:w="586"/>
        <w:gridCol w:w="590"/>
        <w:gridCol w:w="533"/>
        <w:gridCol w:w="914"/>
        <w:gridCol w:w="278"/>
        <w:gridCol w:w="109"/>
        <w:gridCol w:w="109"/>
        <w:gridCol w:w="109"/>
        <w:gridCol w:w="448"/>
        <w:gridCol w:w="992"/>
        <w:gridCol w:w="32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the income tax provision (benefit) from total operations for the years ended December 31, 2025 and 2024 (in thousands):</w:t>
      </w:r>
    </w:p>
    <w:tbl>
      <w:tblPr>
        <w:tblW w:w="5743" w:type="dxa"/>
        <w:jc w:val="left"/>
        <w:tblInd w:w="0" w:type="dxa"/>
        <w:tblLayout w:type="fixed"/>
        <w:tblCellMar>
          <w:top w:w="28" w:type="dxa"/>
          <w:left w:w="28" w:type="dxa"/>
          <w:bottom w:w="28" w:type="dxa"/>
          <w:right w:w="28" w:type="dxa"/>
        </w:tblCellMar>
      </w:tblPr>
      <w:tblGrid>
        <w:gridCol w:w="1199"/>
        <w:gridCol w:w="1056"/>
        <w:gridCol w:w="1059"/>
        <w:gridCol w:w="281"/>
        <w:gridCol w:w="541"/>
        <w:gridCol w:w="145"/>
        <w:gridCol w:w="145"/>
        <w:gridCol w:w="145"/>
        <w:gridCol w:w="145"/>
        <w:gridCol w:w="281"/>
        <w:gridCol w:w="541"/>
        <w:gridCol w:w="205"/>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 (benefit)</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valuation allowance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 (benefit)</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U.S. federal statutory tax rate to the effective income tax rate for the years ended December 31, 2025 and 2024:</w:t>
      </w:r>
    </w:p>
    <w:tbl>
      <w:tblPr>
        <w:tblW w:w="7884" w:type="dxa"/>
        <w:jc w:val="left"/>
        <w:tblInd w:w="0" w:type="dxa"/>
        <w:tblLayout w:type="fixed"/>
        <w:tblCellMar>
          <w:top w:w="28" w:type="dxa"/>
          <w:left w:w="28" w:type="dxa"/>
          <w:bottom w:w="28" w:type="dxa"/>
          <w:right w:w="28" w:type="dxa"/>
        </w:tblCellMar>
      </w:tblPr>
      <w:tblGrid>
        <w:gridCol w:w="1832"/>
        <w:gridCol w:w="1615"/>
        <w:gridCol w:w="1622"/>
        <w:gridCol w:w="334"/>
        <w:gridCol w:w="251"/>
        <w:gridCol w:w="488"/>
        <w:gridCol w:w="196"/>
        <w:gridCol w:w="196"/>
        <w:gridCol w:w="196"/>
        <w:gridCol w:w="334"/>
        <w:gridCol w:w="251"/>
        <w:gridCol w:w="569"/>
      </w:tblGrid>
      <w:tr>
        <w:trPr/>
        <w:tc>
          <w:tcPr>
            <w:tcW w:w="183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passed through to noncontrolling interest, federal tax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passed through to noncontrolling interest, state tax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 VIEs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period return-to-provision adjustments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Company’s deferred tax assets and liabilities as of December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605" cy="14605"/>
                <wp:effectExtent l="0" t="0" r="0" b="0"/>
                <wp:wrapNone/>
                <wp:docPr id="104" name="Frame10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406" w:type="dxa"/>
        <w:jc w:val="left"/>
        <w:tblInd w:w="0" w:type="dxa"/>
        <w:tblLayout w:type="fixed"/>
        <w:tblCellMar>
          <w:top w:w="28" w:type="dxa"/>
          <w:left w:w="28" w:type="dxa"/>
          <w:bottom w:w="28" w:type="dxa"/>
          <w:right w:w="28" w:type="dxa"/>
        </w:tblCellMar>
      </w:tblPr>
      <w:tblGrid>
        <w:gridCol w:w="1301"/>
        <w:gridCol w:w="1140"/>
        <w:gridCol w:w="1144"/>
        <w:gridCol w:w="349"/>
        <w:gridCol w:w="1195"/>
        <w:gridCol w:w="180"/>
        <w:gridCol w:w="109"/>
        <w:gridCol w:w="109"/>
        <w:gridCol w:w="109"/>
        <w:gridCol w:w="344"/>
        <w:gridCol w:w="1175"/>
        <w:gridCol w:w="251"/>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362 basis Step-up</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based compensation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gain/loss on investments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income/loss from partnerships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approximately $81.6 million and $80.7 million of federal and state net operating losses (“NOL”), respectively, available to offset future taxable income. As of December 31, 2024, the Company had approximately $72.3 million and $71.3 million of federal and state NOL, respectively, available to offset future taxable income. The federal NOLs arising in 2017 and prior, if not utilized, begin expiring in the year 2035. Federal NOLs arising in tax years ending after December 31, 2017 can be carried forward indefinitely but are subject to an 80% of taxable income limitation. The Arizona state NOLs arising in 2015, if not utilized, begin expiring in the year 2035. In accordance with Section 382 of the Internal Revenue Code, deductibility of the Company’s federal NOL carryovers may be limited in the event of a change in control of ownership.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assessing the need for a valuation allowance against its net deferred tax assets, the Company considers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the Company considered cumulative tax losses as a significant piece of negative evidence and established a full valuation allowance of $17.9 million and $11.7 million against the Company’s net deferred tax assets as of December 31, 2025 and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changes to the Company’s valuation allowance during the years ended December 31, 2025 and 2024 were as follows (in thousands):</w:t>
      </w:r>
    </w:p>
    <w:tbl>
      <w:tblPr>
        <w:tblW w:w="7209" w:type="dxa"/>
        <w:jc w:val="left"/>
        <w:tblInd w:w="0" w:type="dxa"/>
        <w:tblLayout w:type="fixed"/>
        <w:tblCellMar>
          <w:top w:w="28" w:type="dxa"/>
          <w:left w:w="28" w:type="dxa"/>
          <w:bottom w:w="28" w:type="dxa"/>
          <w:right w:w="28" w:type="dxa"/>
        </w:tblCellMar>
      </w:tblPr>
      <w:tblGrid>
        <w:gridCol w:w="1722"/>
        <w:gridCol w:w="1514"/>
        <w:gridCol w:w="1519"/>
        <w:gridCol w:w="211"/>
        <w:gridCol w:w="721"/>
        <w:gridCol w:w="109"/>
        <w:gridCol w:w="109"/>
        <w:gridCol w:w="109"/>
        <w:gridCol w:w="109"/>
        <w:gridCol w:w="211"/>
        <w:gridCol w:w="72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 recorded during the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at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the following significant taxing jurisdictions: U.S., Alaska, Arizona, California, Colorado, Florida, Missouri, New York, Oregon, South Carolina and Utah. The Company is currently not under income tax examination in any tax jurisdiction.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our tax returns are correct, the final determination of tax examinations and any related litigation could be different from what was reported on the tax returns. We are currently open to audit under the statute of limitations by the United States Internal Revenue Service as well as state taxing authorities for the past four years (three years in some states). However, due to NOL carryforwards not being utilized, all periods are open to potential examinations. Any penalties and interest related to unrecognized tax benefits would be classified as income tax expense in the accompanying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apply U.S. GAAP related to accounting for uncertainty in income taxes, which prescribes a recognition threshold that a tax position is required to meet before recognition in the financial statements and provides guidance on derecognition, measurement, classification, interest and penalties, accounting in interim periods, disclosure and transition issues. We do not believe that there are any positions taken by the Company which would require recognition or disclosure in these financial statements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Supplemental Cash Flow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 for the years ended December 31, 2025 and 2024 (in thousands):</w:t>
      </w:r>
    </w:p>
    <w:tbl>
      <w:tblPr>
        <w:tblW w:w="10205" w:type="dxa"/>
        <w:jc w:val="left"/>
        <w:tblInd w:w="0" w:type="dxa"/>
        <w:tblLayout w:type="fixed"/>
        <w:tblCellMar>
          <w:top w:w="28" w:type="dxa"/>
          <w:left w:w="28" w:type="dxa"/>
          <w:bottom w:w="28" w:type="dxa"/>
          <w:right w:w="28" w:type="dxa"/>
        </w:tblCellMar>
      </w:tblPr>
      <w:tblGrid>
        <w:gridCol w:w="2738"/>
        <w:gridCol w:w="2362"/>
        <w:gridCol w:w="2373"/>
        <w:gridCol w:w="109"/>
        <w:gridCol w:w="109"/>
        <w:gridCol w:w="109"/>
        <w:gridCol w:w="215"/>
        <w:gridCol w:w="630"/>
        <w:gridCol w:w="111"/>
        <w:gridCol w:w="111"/>
        <w:gridCol w:w="111"/>
        <w:gridCol w:w="111"/>
        <w:gridCol w:w="215"/>
        <w:gridCol w:w="738"/>
        <w:gridCol w:w="163"/>
      </w:tblGrid>
      <w:tr>
        <w:trPr/>
        <w:tc>
          <w:tcPr>
            <w:tcW w:w="273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none of which was capitalized for the years ended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bonus settlement via employee accounts receivable offset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capitalized interest of $2 and $3 for the years ended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to return of capital from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the payment of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notes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due from related party due to non-cash investment rollover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 related party due to 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in unconsolidated entities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 of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for investor 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included in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lieu of cash payment for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 rollover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 increase due to rollovers,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notes to preferred stock, including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notes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convertible note and related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Series B - non-cash equity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2673"/>
        <w:gridCol w:w="2317"/>
        <w:gridCol w:w="2327"/>
        <w:gridCol w:w="109"/>
        <w:gridCol w:w="109"/>
        <w:gridCol w:w="109"/>
        <w:gridCol w:w="211"/>
        <w:gridCol w:w="721"/>
        <w:gridCol w:w="109"/>
        <w:gridCol w:w="109"/>
        <w:gridCol w:w="109"/>
        <w:gridCol w:w="109"/>
        <w:gridCol w:w="211"/>
        <w:gridCol w:w="826"/>
        <w:gridCol w:w="156"/>
      </w:tblGrid>
      <w:tr>
        <w:trPr/>
        <w:tc>
          <w:tcPr>
            <w:tcW w:w="2673"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notes receivable - related party due to transfer of pursuit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to return of capital from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related party due to payment of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notes receivable - related party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notes payable - related party due to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line of credit to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 in connection with settlement of notes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nor has it not been notified by any governmental authority of any non-compliance, liability or other claim, in each case, that could result in a material effect on the Company’s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Caliber Tax Advantaged Opportunity Fund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Manager, LLC (the “CTAF Fund Manager”) is a wholly 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December 31, 2025 and 2024, the Company estimated the fair value of CTAF was less than the 6% IRR for the limited partners.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Caliber Tax Advantaged Opportunity Fund II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II Manager, LLC (the “CTAF II Fund Manager”) is a wholly 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December 31, 2025 and 2024, the Company estimated the fair value of CTAF II was less than the 6% IRR for the investor members.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Franchise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which were consolidated during the years ended December 31, 2025 and 2024, are parties to franchise agreements where the fund is required to pay monthly fees, generally consisting of royalty, program, and food and beverage fees. At December 31, 2025, the consolidated hospitality funds were not party to any franchise agreements. During the years ended December 31, 2025 and 2024, the consolidated funds recognized total franchise fees of $0.4 million and $2.9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Net Income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earnings per share calculation and dilutive share calculations below have been affected for the Reverse Stock Split, retroactively,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calculated the basic and diluted earnings per share during the years ended December 31, 2025 and 2024 as follows (in thousands, except per share data):</w:t>
      </w:r>
    </w:p>
    <w:tbl>
      <w:tblPr>
        <w:tblW w:w="7898" w:type="dxa"/>
        <w:jc w:val="left"/>
        <w:tblInd w:w="0" w:type="dxa"/>
        <w:tblLayout w:type="fixed"/>
        <w:tblCellMar>
          <w:top w:w="28" w:type="dxa"/>
          <w:left w:w="28" w:type="dxa"/>
          <w:bottom w:w="28" w:type="dxa"/>
          <w:right w:w="28" w:type="dxa"/>
        </w:tblCellMar>
      </w:tblPr>
      <w:tblGrid>
        <w:gridCol w:w="1916"/>
        <w:gridCol w:w="1684"/>
        <w:gridCol w:w="1694"/>
        <w:gridCol w:w="211"/>
        <w:gridCol w:w="796"/>
        <w:gridCol w:w="109"/>
        <w:gridCol w:w="109"/>
        <w:gridCol w:w="109"/>
        <w:gridCol w:w="109"/>
        <w:gridCol w:w="211"/>
        <w:gridCol w:w="79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CaliberCos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of CaliberCos Inc.</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1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options, net</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warrants, net</w:t>
            </w:r>
          </w:p>
        </w:tc>
        <w:tc>
          <w:tcPr>
            <w:tcW w:w="111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preferred shares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 convertible debt, net</w:t>
            </w:r>
          </w:p>
        </w:tc>
        <w:tc>
          <w:tcPr>
            <w:tcW w:w="1116"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attributable to common shareholders</w:t>
            </w:r>
          </w:p>
        </w:tc>
        <w:tc>
          <w:tcPr>
            <w:tcW w:w="211"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54"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The number of antidilutive shares </w:t>
      </w:r>
      <w:r>
        <w:rPr>
          <w:rFonts w:ascii="Times New Roman;serif" w:hAnsi="Times New Roman;serif"/>
          <w:b w:val="false"/>
          <w:color w:val="000000"/>
          <w:sz w:val="20"/>
          <w:shd w:fill="FFFFFF" w:val="clear"/>
        </w:rPr>
        <w:t xml:space="preserve">consisted of the potential exercise of stock options and warrants, as well as the potential conversion of preferred shares and convertible debt. The following table summarizes these potential exercises and conversions during the </w:t>
      </w:r>
      <w:r>
        <w:rPr>
          <w:rFonts w:ascii="Times New Roman;serif" w:hAnsi="Times New Roman;serif"/>
          <w:b w:val="false"/>
          <w:color w:val="000000"/>
          <w:sz w:val="20"/>
        </w:rPr>
        <w:t>years ended December 31, 2025 and 2024</w:t>
      </w:r>
      <w:r>
        <w:rPr>
          <w:rFonts w:ascii="Times New Roman;serif" w:hAnsi="Times New Roman;serif"/>
          <w:b w:val="false"/>
          <w:color w:val="000000"/>
          <w:sz w:val="20"/>
          <w:shd w:fill="FFFFFF" w:val="clear"/>
        </w:rPr>
        <w:t>, which h</w:t>
      </w:r>
      <w:r>
        <w:rPr>
          <w:rFonts w:ascii="Times New Roman;serif" w:hAnsi="Times New Roman;serif"/>
          <w:b w:val="false"/>
          <w:color w:val="000000"/>
          <w:sz w:val="20"/>
        </w:rPr>
        <w:t>ave been excluded from the computation of diluted earnings per share attributable to common shareholders (in thousands):</w:t>
      </w:r>
    </w:p>
    <w:tbl>
      <w:tblPr>
        <w:tblW w:w="7587" w:type="dxa"/>
        <w:jc w:val="left"/>
        <w:tblInd w:w="0" w:type="dxa"/>
        <w:tblLayout w:type="fixed"/>
        <w:tblCellMar>
          <w:top w:w="28" w:type="dxa"/>
          <w:left w:w="28" w:type="dxa"/>
          <w:bottom w:w="28" w:type="dxa"/>
          <w:right w:w="28" w:type="dxa"/>
        </w:tblCellMar>
      </w:tblPr>
      <w:tblGrid>
        <w:gridCol w:w="1867"/>
        <w:gridCol w:w="1642"/>
        <w:gridCol w:w="1651"/>
        <w:gridCol w:w="256"/>
        <w:gridCol w:w="256"/>
        <w:gridCol w:w="256"/>
        <w:gridCol w:w="256"/>
        <w:gridCol w:w="256"/>
        <w:gridCol w:w="256"/>
        <w:gridCol w:w="256"/>
        <w:gridCol w:w="256"/>
        <w:gridCol w:w="379"/>
      </w:tblGrid>
      <w:tr>
        <w:trPr/>
        <w:tc>
          <w:tcPr>
            <w:tcW w:w="186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stock options were exercised</w:t>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warrants were exercised</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preferred shares were converted</w:t>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convertible debt were converted</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Fair Value of Financial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Company’s variable rate and short-term debt as of December 31, 2025 and 2024, approximated fair value. The fair value of the Company’s fixed rate debt was measured with</w:t>
      </w:r>
      <w:r>
        <w:rPr>
          <w:color w:val="000000"/>
          <w:shd w:fill="FFFFFF" w:val="clear"/>
        </w:rPr>
        <w:t xml:space="preserve"> </w:t>
      </w:r>
      <w:r>
        <w:rPr>
          <w:rFonts w:ascii="Times New Roman;serif" w:hAnsi="Times New Roman;serif"/>
          <w:b w:val="false"/>
          <w:color w:val="000000"/>
          <w:sz w:val="20"/>
          <w:shd w:fill="FFFFFF" w:val="clear"/>
        </w:rPr>
        <w:t>Level 2 inputs. The estimated fair value of the Company’s instruments below was determined by management based on a discounted f</w:t>
      </w:r>
      <w:r>
        <w:rPr>
          <w:rFonts w:ascii="Times New Roman;serif" w:hAnsi="Times New Roman;serif"/>
          <w:b w:val="false"/>
          <w:color w:val="000000"/>
          <w:sz w:val="20"/>
        </w:rPr>
        <w:t>uture cash-flow model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616" w:type="dxa"/>
        <w:jc w:val="left"/>
        <w:tblInd w:w="0" w:type="dxa"/>
        <w:tblLayout w:type="fixed"/>
        <w:tblCellMar>
          <w:top w:w="28" w:type="dxa"/>
          <w:left w:w="28" w:type="dxa"/>
          <w:bottom w:w="28" w:type="dxa"/>
          <w:right w:w="28" w:type="dxa"/>
        </w:tblCellMar>
      </w:tblPr>
      <w:tblGrid>
        <w:gridCol w:w="761"/>
        <w:gridCol w:w="668"/>
        <w:gridCol w:w="6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Saddleback Ranch,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the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consolidated funds’ variable rate debt and short-term debt as of December 31, 2025 and 2024, approximated fair value. The fair value of the consolidated funds’ fixed rate debt was measured with Level 2 inputs. The estimated fair values for the consolidated funds’ instruments below were determined by management based on a discounted future cash-flow model (in thousands):</w:t>
      </w:r>
    </w:p>
    <w:tbl>
      <w:tblPr>
        <w:tblW w:w="7514" w:type="dxa"/>
        <w:jc w:val="left"/>
        <w:tblInd w:w="0" w:type="dxa"/>
        <w:tblLayout w:type="fixed"/>
        <w:tblCellMar>
          <w:top w:w="28" w:type="dxa"/>
          <w:left w:w="28" w:type="dxa"/>
          <w:bottom w:w="28" w:type="dxa"/>
          <w:right w:w="28" w:type="dxa"/>
        </w:tblCellMar>
      </w:tblPr>
      <w:tblGrid>
        <w:gridCol w:w="816"/>
        <w:gridCol w:w="716"/>
        <w:gridCol w:w="718"/>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 Derivative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 Management Objective of Using Derivatives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utilize derivative instruments, including interest rate caps and swaps, to reduce interest rate risk associated with its borrowings. The consolidated funds do not intend to utilize derivatives for purposes other than interest rate risk management.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consolidated funds did not have any derivatives designated as hedging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consolidated funds did not have any non-designated derivatives.</w:t>
      </w:r>
    </w:p>
    <w:p>
      <w:pPr>
        <w:pStyle w:val="TextBody"/>
        <w:bidi w:val="0"/>
        <w:spacing w:lineRule="auto" w:line="288" w:before="200" w:after="283"/>
        <w:jc w:val="both"/>
        <w:rPr/>
      </w:pPr>
      <w:r>
        <w:rPr>
          <w:rFonts w:ascii="Times New Roman;serif" w:hAnsi="Times New Roman;serif"/>
          <w:b w:val="false"/>
          <w:color w:val="000000"/>
          <w:sz w:val="20"/>
        </w:rPr>
        <w:t xml:space="preserve">The following table presents the consolidated funds’ gain or loss recognized in consolidated funds </w:t>
      </w:r>
      <w:r>
        <w:rPr>
          <w:color w:val="000000"/>
        </w:rPr>
        <w:t xml:space="preserve">– </w:t>
      </w:r>
      <w:r>
        <w:rPr>
          <w:rFonts w:ascii="Times New Roman;serif" w:hAnsi="Times New Roman;serif"/>
          <w:b w:val="false"/>
          <w:color w:val="000000"/>
          <w:sz w:val="20"/>
        </w:rPr>
        <w:t>hospitality expenses in the accompanying consolidated statements of operations for years ended December 31, 2025 and 2024 (in thousands):</w:t>
      </w:r>
    </w:p>
    <w:tbl>
      <w:tblPr>
        <w:tblW w:w="8315"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169"/>
        <w:gridCol w:w="1169"/>
        <w:gridCol w:w="1172"/>
        <w:gridCol w:w="109"/>
        <w:gridCol w:w="109"/>
        <w:gridCol w:w="109"/>
        <w:gridCol w:w="272"/>
        <w:gridCol w:w="523"/>
        <w:gridCol w:w="140"/>
        <w:gridCol w:w="140"/>
        <w:gridCol w:w="140"/>
        <w:gridCol w:w="140"/>
        <w:gridCol w:w="272"/>
        <w:gridCol w:w="601"/>
        <w:gridCol w:w="198"/>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cap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 ended December 31, 2024, the interest rate swap was terminated.</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year ended December 31, 2024, the Company deconsolidated Caliber Hospitality, LP and the Caliber Hospitality Trust, which included activity from six hospitality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16 – Stockholders’ Equity and Stock-based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year ended December 31, 2025, the Company was authorized to issue 137,500,000 shares of its capital stock, consisting of (i) 100,000,000 shares of Class A common stock, par value of $0.001 per share, (ii) 15,000,000 shares of Class B common stock, par value of $0.001 per share, and (b) 22,500,000 shares of preferred stock, par value $0.001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amended and restated Article 4.01 of its Certificate of Incorporation to increase its authorized capital stock to 537,500,000 shares. The authorized shares consist of (i) 100,000,000 shares of Class A common stock, par value of $0.001 per share, (ii) 15,000,000 shares of Class B common stock, par value of $0.001 per share, and (b) 22,500,000 shares of preferred stock, par value $0.001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B common stock is identical in all respects to Class A common stock, except it is entitled to 10 votes per share and is convertible at any time on a one-for-one basis into shares of Class A common stock. All other rights, privileges, and rank will be shared equally and be identical in all respects as to all matters. The Class B common stock 10 votes per share entitlement is set to expire on May 15, 2026, at which time both Class A and Class B common stock will be allowed one vote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common stock shall be entitled to receive dividends when, as, and if declared by the board of directors. The holders of common stock shall at all times vote together as one class on all matters. Class A common stock shall be entitled to one vote for each share of common stock and Class B common stock shall be entitled to 10 votes for each share of common stock through May 15, 2026, at which time both Class A and Class B common stock will be allowed one vote per share. No holder of shares of common stock shall have the right to cumulate votes. In the event of liquidation, subject to the prior rights of holders of preferred stock to share ratably in the Company’s assets, the holders of common stock and holders of any shares of preferred stock which are not entitled to any preference in liquidation shall share equally and ratably in the Company’s assets available for distribution after giving effect to any liquidation preference of shares of preferred stock. The holders of Class A common stock shall not have any conversion, redemption, or other preemptive rights. The holders of Class B common stock are entitled to a conversion upon notice or an automatic conversion upon transfer at which time the Class B Common stockholder will be entitled to one fully paid and nonassessable share of Class A common stock. In addition, Class B common stock shall not have any redemption or other preemptive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Reverse Stock Split, the Company had warrants outstanding to purchase a total of 2,201,123 shares of Class A common stock, at weighted average exercise price of $0.96 per share. As a result of the Reverse Stock Split, and pursuant to the terms of the applicable warrant agreement, the number of warrants outstanding to purchase a share of Class A Common Stock was proportionately decreased at a 20:1 ratio consistent with the 20:1 increase in the price of a share of Class A Common Stock. There was no change in the value of the warrant because of this adjustment. The warrant disclosure below has been affected by the Reverse Stock Split.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accompanying consolidated balance sheets. At December 31, 2025 and 2024, the Company had warrants outstanding to purchase 129,040 and 52,943 shares of Class A Common Stock, respectively, with a weighted average exercise price per share of $16.49 and $16.41, respectively, and weighted average remaining exercise periods of 4.1 and 4.7 years,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Incentive Stock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the Company’s Board of Directors approved the 2024 Incentive Stock Plan (the “2024 Plan”), which is used for share-based compensation awards granted after to its adoption. Consistent with the 2017 Incentive Stock Plan (the “2017 Plan”), which the 2024 Plan superseded, the 2024 Plan allows the Company to: (i) grant stock awards, (ii) grant stock options,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(iii) offer restricted stock purchases to directors, executives and selected employees, consultants, and advisors. No new share-based compensation awards are granted under the 2017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the Board of Directors approved the 2024 Incentive Stock Plan (the “2024 Plan”) which was amended and restated in January 2026 to (i) increase the number of shares available for grant of awards by 1,000,000 shares and (ii) to incorporate provisions for annual increases under the 2024 Plan on the first day of each calendar year, beginning on January 1, 2027 and ending on January 1, 2034, equal to 15% of the total shares of our Class A common stock outstanding on the last day of the immediately preceding calendar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stock options to certain employees and directors. Stock options may vest upon grant, cliff vest on a specified future date, vest ratably over time, or include a combination of these vesting terms. Options granted to employees generally have a requisite service period of up to four years and vest ratably over that period. Such options become fully vested upon the recipient’s continued service through the end of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estimates the grant-date fair value of stock options using the Black-Scholes valuation model, which requires the use of certain assumptions. These assumptions include the fair value of the Company’s common stock, expected volatility, the risk-free interest rate, and the expected term of the stock option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inputs and assumptions were used to calculate the weighted average fair values of options granted for the years ended December 31, 2025 and 2024:</w:t>
      </w:r>
    </w:p>
    <w:p>
      <w:pPr>
        <w:pStyle w:val="TextBody"/>
        <w:bidi w:val="0"/>
        <w:spacing w:before="0" w:after="0"/>
        <w:jc w:val="both"/>
        <w:rPr/>
      </w:pPr>
      <w:r>
        <w:rPr/>
      </w:r>
    </w:p>
    <w:tbl>
      <w:tblPr>
        <w:tblW w:w="5065" w:type="dxa"/>
        <w:jc w:val="left"/>
        <w:tblInd w:w="0" w:type="dxa"/>
        <w:tblLayout w:type="fixed"/>
        <w:tblCellMar>
          <w:top w:w="28" w:type="dxa"/>
          <w:left w:w="28" w:type="dxa"/>
          <w:bottom w:w="28" w:type="dxa"/>
          <w:right w:w="28" w:type="dxa"/>
        </w:tblCellMar>
      </w:tblPr>
      <w:tblGrid>
        <w:gridCol w:w="755"/>
        <w:gridCol w:w="663"/>
        <w:gridCol w:w="666"/>
        <w:gridCol w:w="466"/>
        <w:gridCol w:w="240"/>
        <w:gridCol w:w="599"/>
        <w:gridCol w:w="109"/>
        <w:gridCol w:w="109"/>
        <w:gridCol w:w="109"/>
        <w:gridCol w:w="447"/>
        <w:gridCol w:w="231"/>
        <w:gridCol w:w="67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- 36%</w:t>
            </w:r>
          </w:p>
        </w:tc>
      </w:tr>
      <w:tr>
        <w:trPr/>
        <w:tc>
          <w:tcPr>
            <w:tcW w:w="20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0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599"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671"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3.69% - 4.16%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3.63% - 4.52%</w:t>
            </w:r>
          </w:p>
        </w:tc>
      </w:tr>
      <w:tr>
        <w:trPr/>
        <w:tc>
          <w:tcPr>
            <w:tcW w:w="208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w:t>
            </w:r>
          </w:p>
        </w:tc>
        <w:tc>
          <w:tcPr>
            <w:tcW w:w="46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option activity of the Company for the years ended December 31, 2025 and 2024:</w:t>
      </w:r>
    </w:p>
    <w:p>
      <w:pPr>
        <w:pStyle w:val="TextBody"/>
        <w:bidi w:val="0"/>
        <w:spacing w:before="0" w:after="0"/>
        <w:jc w:val="both"/>
        <w:rPr/>
      </w:pPr>
      <w:r>
        <w:rPr/>
      </w:r>
    </w:p>
    <w:tbl>
      <w:tblPr>
        <w:tblW w:w="10157" w:type="dxa"/>
        <w:jc w:val="left"/>
        <w:tblInd w:w="0" w:type="dxa"/>
        <w:tblLayout w:type="fixed"/>
        <w:tblCellMar>
          <w:top w:w="28" w:type="dxa"/>
          <w:left w:w="28" w:type="dxa"/>
          <w:bottom w:w="28" w:type="dxa"/>
          <w:right w:w="28" w:type="dxa"/>
        </w:tblCellMar>
      </w:tblPr>
      <w:tblGrid>
        <w:gridCol w:w="994"/>
        <w:gridCol w:w="874"/>
        <w:gridCol w:w="876"/>
        <w:gridCol w:w="424"/>
        <w:gridCol w:w="424"/>
        <w:gridCol w:w="426"/>
        <w:gridCol w:w="109"/>
        <w:gridCol w:w="109"/>
        <w:gridCol w:w="109"/>
        <w:gridCol w:w="378"/>
        <w:gridCol w:w="1106"/>
        <w:gridCol w:w="195"/>
        <w:gridCol w:w="109"/>
        <w:gridCol w:w="109"/>
        <w:gridCol w:w="109"/>
        <w:gridCol w:w="559"/>
        <w:gridCol w:w="559"/>
        <w:gridCol w:w="561"/>
        <w:gridCol w:w="109"/>
        <w:gridCol w:w="109"/>
        <w:gridCol w:w="109"/>
        <w:gridCol w:w="457"/>
        <w:gridCol w:w="1008"/>
        <w:gridCol w:w="3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w:t>
              <w:br/>
              <w:t>Value</w:t>
              <w:br/>
              <w:t>(in thousands)</w:t>
            </w:r>
          </w:p>
        </w:tc>
      </w:tr>
      <w:tr>
        <w:trPr/>
        <w:tc>
          <w:tcPr>
            <w:tcW w:w="2744"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2023</w:t>
            </w:r>
          </w:p>
        </w:tc>
        <w:tc>
          <w:tcPr>
            <w:tcW w:w="127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9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3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w:t>
            </w:r>
          </w:p>
        </w:tc>
        <w:tc>
          <w:tcPr>
            <w:tcW w:w="12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9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2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100.14 </w:t>
            </w:r>
          </w:p>
        </w:tc>
        <w:tc>
          <w:tcPr>
            <w:tcW w:w="19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Nonemployee</w:t>
            </w:r>
          </w:p>
        </w:tc>
        <w:tc>
          <w:tcPr>
            <w:tcW w:w="12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9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27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91.73 </w:t>
            </w:r>
          </w:p>
        </w:tc>
        <w:tc>
          <w:tcPr>
            <w:tcW w:w="19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cost related to nonvested stock options was $0.1 million, which is expected to be recognized over a weighted-average period of 2.1 years. As of December 31, 2024, total unrecognized compensation cost related to nonvested stock options was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restricted stock units (“RSUs”) to certain employees and directors under its equity incentive plans. RSUs generally vest over a requisite service period and are settled in shares of the Company’s common stock upon vesting.</w:t>
      </w:r>
    </w:p>
    <w:p>
      <w:pPr>
        <w:pStyle w:val="TextBody"/>
        <w:bidi w:val="0"/>
        <w:spacing w:before="0" w:after="0"/>
        <w:jc w:val="both"/>
        <w:rPr/>
      </w:pPr>
      <w:r>
        <w:rPr/>
      </w:r>
    </w:p>
    <w:tbl>
      <w:tblPr>
        <w:tblW w:w="7525" w:type="dxa"/>
        <w:jc w:val="left"/>
        <w:tblInd w:w="0" w:type="dxa"/>
        <w:tblLayout w:type="fixed"/>
        <w:tblCellMar>
          <w:top w:w="28" w:type="dxa"/>
          <w:left w:w="28" w:type="dxa"/>
          <w:bottom w:w="28" w:type="dxa"/>
          <w:right w:w="28" w:type="dxa"/>
        </w:tblCellMar>
      </w:tblPr>
      <w:tblGrid>
        <w:gridCol w:w="1603"/>
        <w:gridCol w:w="1409"/>
        <w:gridCol w:w="1413"/>
        <w:gridCol w:w="349"/>
        <w:gridCol w:w="349"/>
        <w:gridCol w:w="351"/>
        <w:gridCol w:w="109"/>
        <w:gridCol w:w="109"/>
        <w:gridCol w:w="109"/>
        <w:gridCol w:w="371"/>
        <w:gridCol w:w="1083"/>
        <w:gridCol w:w="270"/>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Fair Value</w:t>
            </w:r>
          </w:p>
        </w:tc>
      </w:tr>
      <w:tr>
        <w:trPr/>
        <w:tc>
          <w:tcPr>
            <w:tcW w:w="4425"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2023</w:t>
            </w:r>
          </w:p>
        </w:tc>
        <w:tc>
          <w:tcPr>
            <w:tcW w:w="104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154,548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2024</w:t>
            </w:r>
          </w:p>
        </w:tc>
        <w:tc>
          <w:tcPr>
            <w:tcW w:w="104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2025</w:t>
            </w:r>
          </w:p>
        </w:tc>
        <w:tc>
          <w:tcPr>
            <w:tcW w:w="104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198,247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restricted stock units are subject to forfeiture if the participant does not meet certain conditions, such as continued employment and/or the attainment of a specified performance target over the specified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cost related to nonvested RSUs was $2.1 million, which is expected to be recognized over a weighted-average period of 2.0 years. As of December 31, 2024, total unrecognized compensation cost related to nonvested RSUs was $4.9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cost is recognized on a straight-line basis over the requisite service period. For the years ended December 31, 2025 and 2024, the Company recognized total stock-based compensation expense of $1.7 million and $2.4 million, respectively, which is included in operating costs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17 – Preferred Stock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Series A Convertible Preferred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entered in to an offering agreement to issue up to $15.0 million, of Series A Convertible Preferred Stock (“Series A Preferred”) and warrants to purchase its Class A Common Stock, with a stated value of $400 per share and a 12% annual, non-cumulative dividend payable annually in cash or shares of common stock, at the Company’s discretion.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Series A Preferred is convertible anytime at the option of the stockholder, in four sequential tranches. Each tranche allows the stockholder to convert up to 25% of its initial investment, beginning at a conversion price of $0.51 per share of common stock, and increasing in 50% increments for each successive tranche. Each tranche of Series A Preferred is mandatorily convertible if the market price of common stock is 200% higher than any respective tranche’s conversion price for 20 of 30 consecutive trading days.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5,875 and 5,000 shares, respectively, of its Series A Preferred stock issued and outstanding, representing additional paid-in capital of $2.4 million and $2.0 million.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Series AA Cumulative Redeemable Preferred Stock (Reg A+) - Liability Classified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qualified its preferred stock series AA financing, registered under regulation A+, with the SEC in March 2025. The Company is authorized to issue up to 800,000 shares of the Series AA Cumulative Redeemable Preferred Stock (“Series AA Preferred”) for gross proceeds of $20.0 million. The Series AA Preferred shares have a stated value of $25 per share and a cumulative monthly cash dividend equal to 9.5% per annum. If the Company does not make an interest payment within 30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an unpaid month, it goes into default. In the event of default, the cash dividend rate increases to 18.0% per annum until cured.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Series AA Preferred may elect to convert all or any portion of their preferred stock to equivalent shares of Class A Common stock, after the third anniversary of the issuance date. The Company can redeem the Series AA Preferred at any time at no cost. The stockholder can redeem at any time as well; however, if redeemed in year one, two, or three, the redemptions would be subject to a 10%, 8%, or 6% redemption fee, respectively. Redemption of the Series AA Preferred at stated value is mandatory on the third anniversary of the issuance date.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Series AA Preferred is classified as a liability on the accompanying consolidated balance sheets, rather than in shareholders’ equity, due to its contractual obligation to redeem the shares for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221,434 shares of its Series AA Preferred issued and outstanding, representing funds raised to date of $5.1 million, net of issuance costs.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Series B Preferred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filed a Certificate of Designation with the Secretary of State of Delaware designating Series B Preferred Stock, par value $0.001 per share. Each share has a stated value of $1,000 and is convertible at the option of the holder into shares of Class A Common Stock at a conversion price of $250 per share, subject to adjustment as defined in the Certificate of Designation.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Series B Preferred Stock does not have voting rights, except as required by law. In the event of liquidation, dissolution, or winding up of the Company, holders are entitled to receive distributions in preference to holders of common stock, but junior to Series A and Series AA Preferred Stock. The Series B ranks pari passu with any preferred stock of substantially similar rights and preferences.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15,868 shares of its Series B Preferred Stock issued and outstanding, for total gross proceeds of $15.9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18 –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through one reportable segment, its asset management platform which it refers to simply as “Platform”. The Company’s chief operating decision maker (“CODM”) is the Company’s Chief Executive Officer, John C. Loeffler. The Company’s CODM assesses performance and allocates resources based on the results of Platform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assesses revenue, operating costs and key operating statistics to evaluate performance and allocate resources on a basis that eliminates the impact of the consolidated funds (intercompany eliminations required by U.S. GAAP) and noncontrolling interests. Operating costs consist primarily of payroll-related costs that are provided quarterly to the CODM. Platform payroll and payroll related costs were $12.2 million and $17.8 million for the years ended December 31, 2025 and 2024, respectively. Management concluded that the consolidated funds do not meet the requirements in ASC 280, Segment Reporting, of operating 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total Platform revenues were $15.2 million and $20.9 million, respectively, representing a period-over-period decrease of 27.5%. The table below compares the revenues earned for providing services under the Company’s asset management Platform as described in the Revenue Recognition section of Note 2 – Summary of Significant Accounting Policies for the year ended December 31, 2025, to the revenues earned for the same period in 2024 (in thousands).</w:t>
      </w:r>
    </w:p>
    <w:tbl>
      <w:tblPr>
        <w:tblW w:w="8566" w:type="dxa"/>
        <w:jc w:val="left"/>
        <w:tblInd w:w="0" w:type="dxa"/>
        <w:tblLayout w:type="fixed"/>
        <w:tblCellMar>
          <w:top w:w="28" w:type="dxa"/>
          <w:left w:w="28" w:type="dxa"/>
          <w:bottom w:w="28" w:type="dxa"/>
          <w:right w:w="28" w:type="dxa"/>
        </w:tblCellMar>
      </w:tblPr>
      <w:tblGrid>
        <w:gridCol w:w="1080"/>
        <w:gridCol w:w="947"/>
        <w:gridCol w:w="958"/>
        <w:gridCol w:w="211"/>
        <w:gridCol w:w="721"/>
        <w:gridCol w:w="109"/>
        <w:gridCol w:w="109"/>
        <w:gridCol w:w="109"/>
        <w:gridCol w:w="109"/>
        <w:gridCol w:w="691"/>
        <w:gridCol w:w="1576"/>
        <w:gridCol w:w="358"/>
        <w:gridCol w:w="109"/>
        <w:gridCol w:w="109"/>
        <w:gridCol w:w="109"/>
        <w:gridCol w:w="245"/>
        <w:gridCol w:w="837"/>
        <w:gridCol w:w="17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65" w:type="dxa"/>
        <w:jc w:val="left"/>
        <w:tblInd w:w="0" w:type="dxa"/>
        <w:tblLayout w:type="fixed"/>
        <w:tblCellMar>
          <w:top w:w="28" w:type="dxa"/>
          <w:left w:w="28" w:type="dxa"/>
          <w:bottom w:w="28" w:type="dxa"/>
          <w:right w:w="28" w:type="dxa"/>
        </w:tblCellMar>
      </w:tblPr>
      <w:tblGrid>
        <w:gridCol w:w="1080"/>
        <w:gridCol w:w="947"/>
        <w:gridCol w:w="958"/>
        <w:gridCol w:w="211"/>
        <w:gridCol w:w="721"/>
        <w:gridCol w:w="109"/>
        <w:gridCol w:w="109"/>
        <w:gridCol w:w="109"/>
        <w:gridCol w:w="109"/>
        <w:gridCol w:w="580"/>
        <w:gridCol w:w="1740"/>
        <w:gridCol w:w="304"/>
        <w:gridCol w:w="109"/>
        <w:gridCol w:w="109"/>
        <w:gridCol w:w="109"/>
        <w:gridCol w:w="245"/>
        <w:gridCol w:w="837"/>
        <w:gridCol w:w="17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loss to the most comparable U.S. GAAP measure for the years ended December 31,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281"/>
        <w:gridCol w:w="983"/>
        <w:gridCol w:w="147"/>
        <w:gridCol w:w="109"/>
        <w:gridCol w:w="109"/>
        <w:gridCol w:w="109"/>
        <w:gridCol w:w="691"/>
        <w:gridCol w:w="1576"/>
        <w:gridCol w:w="358"/>
        <w:gridCol w:w="109"/>
        <w:gridCol w:w="109"/>
        <w:gridCol w:w="109"/>
        <w:gridCol w:w="241"/>
        <w:gridCol w:w="842"/>
        <w:gridCol w:w="178"/>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6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9615" w:type="dxa"/>
        <w:jc w:val="left"/>
        <w:tblInd w:w="0" w:type="dxa"/>
        <w:tblLayout w:type="fixed"/>
        <w:tblCellMar>
          <w:top w:w="28" w:type="dxa"/>
          <w:left w:w="28" w:type="dxa"/>
          <w:bottom w:w="28" w:type="dxa"/>
          <w:right w:w="28" w:type="dxa"/>
        </w:tblCellMar>
      </w:tblPr>
      <w:tblGrid>
        <w:gridCol w:w="1431"/>
        <w:gridCol w:w="1257"/>
        <w:gridCol w:w="1272"/>
        <w:gridCol w:w="211"/>
        <w:gridCol w:w="796"/>
        <w:gridCol w:w="109"/>
        <w:gridCol w:w="109"/>
        <w:gridCol w:w="109"/>
        <w:gridCol w:w="109"/>
        <w:gridCol w:w="580"/>
        <w:gridCol w:w="1740"/>
        <w:gridCol w:w="304"/>
        <w:gridCol w:w="109"/>
        <w:gridCol w:w="109"/>
        <w:gridCol w:w="109"/>
        <w:gridCol w:w="241"/>
        <w:gridCol w:w="842"/>
        <w:gridCol w:w="178"/>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0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7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30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w:t>
            </w:r>
          </w:p>
        </w:tc>
        <w:tc>
          <w:tcPr>
            <w:tcW w:w="17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0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7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assets to the most comparable U.S. GAAP measure for the years ended December 31, 2025 and 2024 (in thousands):</w:t>
      </w:r>
    </w:p>
    <w:tbl>
      <w:tblPr>
        <w:tblW w:w="8835" w:type="dxa"/>
        <w:jc w:val="left"/>
        <w:tblInd w:w="0" w:type="dxa"/>
        <w:tblLayout w:type="fixed"/>
        <w:tblCellMar>
          <w:top w:w="28" w:type="dxa"/>
          <w:left w:w="28" w:type="dxa"/>
          <w:bottom w:w="28" w:type="dxa"/>
          <w:right w:w="28" w:type="dxa"/>
        </w:tblCellMar>
      </w:tblPr>
      <w:tblGrid>
        <w:gridCol w:w="1173"/>
        <w:gridCol w:w="1036"/>
        <w:gridCol w:w="1046"/>
        <w:gridCol w:w="211"/>
        <w:gridCol w:w="721"/>
        <w:gridCol w:w="109"/>
        <w:gridCol w:w="109"/>
        <w:gridCol w:w="109"/>
        <w:gridCol w:w="109"/>
        <w:gridCol w:w="580"/>
        <w:gridCol w:w="1740"/>
        <w:gridCol w:w="304"/>
        <w:gridCol w:w="109"/>
        <w:gridCol w:w="109"/>
        <w:gridCol w:w="109"/>
        <w:gridCol w:w="245"/>
        <w:gridCol w:w="837"/>
        <w:gridCol w:w="179"/>
      </w:tblGrid>
      <w:tr>
        <w:trPr/>
        <w:tc>
          <w:tcPr>
            <w:tcW w:w="117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35" w:type="dxa"/>
        <w:jc w:val="left"/>
        <w:tblInd w:w="0" w:type="dxa"/>
        <w:tblLayout w:type="fixed"/>
        <w:tblCellMar>
          <w:top w:w="28" w:type="dxa"/>
          <w:left w:w="28" w:type="dxa"/>
          <w:bottom w:w="28" w:type="dxa"/>
          <w:right w:w="28" w:type="dxa"/>
        </w:tblCellMar>
      </w:tblPr>
      <w:tblGrid>
        <w:gridCol w:w="1173"/>
        <w:gridCol w:w="1036"/>
        <w:gridCol w:w="1046"/>
        <w:gridCol w:w="211"/>
        <w:gridCol w:w="721"/>
        <w:gridCol w:w="109"/>
        <w:gridCol w:w="109"/>
        <w:gridCol w:w="109"/>
        <w:gridCol w:w="109"/>
        <w:gridCol w:w="580"/>
        <w:gridCol w:w="1740"/>
        <w:gridCol w:w="304"/>
        <w:gridCol w:w="109"/>
        <w:gridCol w:w="109"/>
        <w:gridCol w:w="109"/>
        <w:gridCol w:w="245"/>
        <w:gridCol w:w="837"/>
        <w:gridCol w:w="179"/>
      </w:tblGrid>
      <w:tr>
        <w:trPr/>
        <w:tc>
          <w:tcPr>
            <w:tcW w:w="117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19 –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evaluated events and transactions that occurred after December 31, 2025 through March 25, 2026, the date these consolidated financial statements were available to be issued. The following events are in addition to those matters discussed in Note 6 – 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Company’s board of directors and stockholders approved an amendment to the CaliberCos Inc. 2024 Equity Incentive Plan. The amendment increased the aggregate number of shares of common stock available for issuance under the Plan to 1,200,000 shares. In addition, the amendment provides for automatic annual increases to the share reserve beginning January 1, 2027 (or the first business day of the calendar year, if applicable), equal to 15% of the Company’s outstanding common stock as of December 31 of the preceding year. All other terms and provisions of the Plan remain unchanged.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an institutional investor exercised its right to convert its holdings of the Company’s Series B Preferred Stock into shares of the Company’s Class A common stock. On March 12, 2026, the holder exercised its conversion rights and converted all 15,868 shares of Series B Preferred Stock into 63,472 shares of the Company’s common stock, based on a conversion price of $250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d7a0a8ff96e74680b49ca273e8b89a22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 March 2026, the Company’s Board of Directors approved the creation of a new class of Series AAA Preferred Stock with a stated value of $1,000 per share. The purpose of the issuance is to facilitate the conversion of existing unsecured subordinated promissory notes held by Caliber noteholders into equity through cancellation of such notes in exchange for shares of Series AAA Preferred Stock.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CALIBERCOS INC.</w:t>
      </w:r>
    </w:p>
    <w:tbl>
      <w:tblPr>
        <w:tblW w:w="4647" w:type="dxa"/>
        <w:jc w:val="center"/>
        <w:tblInd w:w="0" w:type="dxa"/>
        <w:tblLayout w:type="fixed"/>
        <w:tblCellMar>
          <w:top w:w="28" w:type="dxa"/>
          <w:left w:w="28" w:type="dxa"/>
          <w:bottom w:w="28" w:type="dxa"/>
          <w:right w:w="28" w:type="dxa"/>
        </w:tblCellMar>
      </w:tblPr>
      <w:tblGrid>
        <w:gridCol w:w="1358"/>
        <w:gridCol w:w="1194"/>
        <w:gridCol w:w="1197"/>
        <w:gridCol w:w="109"/>
        <w:gridCol w:w="109"/>
        <w:gridCol w:w="109"/>
        <w:gridCol w:w="167"/>
        <w:gridCol w:w="167"/>
        <w:gridCol w:w="237"/>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Auction Homes,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Companies,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Management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Lending,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O-Zone Fund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O-Zone Fund II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Opportunistic Growth Fund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Realty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Canyon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CBH 1 Phoenix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CFIF III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 Ocotillo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CHPH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Circle Lofts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Commons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DFW Behavioral Health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II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 Mesa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&amp; 51st Street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 Hotel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Ironwood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Lorca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Olathe Behavioral Health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Pickleball at Riverwalk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Pima Center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Ridge II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1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2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3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4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5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CALIBERCOS INC.</w:t>
      </w:r>
    </w:p>
    <w:tbl>
      <w:tblPr>
        <w:tblW w:w="4558" w:type="dxa"/>
        <w:jc w:val="center"/>
        <w:tblInd w:w="0" w:type="dxa"/>
        <w:tblLayout w:type="fixed"/>
        <w:tblCellMar>
          <w:top w:w="28" w:type="dxa"/>
          <w:left w:w="28" w:type="dxa"/>
          <w:bottom w:w="28" w:type="dxa"/>
          <w:right w:w="28" w:type="dxa"/>
        </w:tblCellMar>
      </w:tblPr>
      <w:tblGrid>
        <w:gridCol w:w="1325"/>
        <w:gridCol w:w="1165"/>
        <w:gridCol w:w="1170"/>
        <w:gridCol w:w="109"/>
        <w:gridCol w:w="109"/>
        <w:gridCol w:w="109"/>
        <w:gridCol w:w="167"/>
        <w:gridCol w:w="167"/>
        <w:gridCol w:w="237"/>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6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7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1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2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3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4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5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1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2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3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4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5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1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2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3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4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Development 5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Land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Land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Riverwalk Land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Roosevelt III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Roosevelt Tempe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Saddleback Ranch,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SF Alaska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Southridge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TCC Hotels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Tucson East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FundCo,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MezzCo,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Ridge ManageCo,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incorporation by reference in the Registration Statements on Forms S-3 (No. 333-290640) and (333-280243) and Form S-1 (No. 333-286530) of CaliberCos, Inc. and Subsidiaries (Collectively, the “Company”) of our report dated March 25, 2026 relating to the consolidated financial statements of the Company, which appears in the Company’s Annual Report on Form 10-K for the years ended December 31, 2025 and 2024.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/s/ Urish Popeck &amp; Co., LLC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Pittsburgh, Pennsylvania</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March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935"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09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CaliberCos Inc. (the “Company”) on Form 10-K, for the fiscal year ended December 31, 2025,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935"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CaliberCos Inc. (the “Company”) on Form 10-K, for the fiscal year ended December 31, 2025,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09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ix?doc=/Archives/edgar/data/0001627282/000162728224000136/cwd-20241126.htm" TargetMode="External"/><Relationship Id="rId7" Type="http://schemas.openxmlformats.org/officeDocument/2006/relationships/hyperlink" Target="https://www.sec.gov/ix?doc=/Archives/edgar/data/0001627282/000162728224000136/cwd-20241126.htm" TargetMode="External"/><Relationship Id="rId8" Type="http://schemas.openxmlformats.org/officeDocument/2006/relationships/hyperlink" Target="https://www.sec.gov/ix?doc=/Archives/edgar/data/0001627282/000162728225000007/cwd-20250305.htm" TargetMode="External"/><Relationship Id="rId9" Type="http://schemas.openxmlformats.org/officeDocument/2006/relationships/hyperlink" Target="https://www.sec.gov/ix?doc=/Archives/edgar/data/0001627282/000162728225000007/cwd-20250305.htm" TargetMode="External"/><Relationship Id="rId10" Type="http://schemas.openxmlformats.org/officeDocument/2006/relationships/hyperlink" Target="https://www.sec.gov/Archives/edgar/data/1627282/000162728225000048/cert_ofxamendmentxrevers.htm" TargetMode="External"/><Relationship Id="rId11" Type="http://schemas.openxmlformats.org/officeDocument/2006/relationships/hyperlink" Target="https://www.sec.gov/Archives/edgar/data/1627282/000162728225000048/cert_ofxamendmentxrevers.htm" TargetMode="External"/><Relationship Id="rId12" Type="http://schemas.openxmlformats.org/officeDocument/2006/relationships/hyperlink" Target="https://www.sec.gov/Archives/edgar/data/1627282/000162728225000079/ex_31x061625certificateofa.htm" TargetMode="External"/><Relationship Id="rId13" Type="http://schemas.openxmlformats.org/officeDocument/2006/relationships/hyperlink" Target="https://www.sec.gov/Archives/edgar/data/1627282/000162728225000079/ex_31x061625certificateofa.htm" TargetMode="External"/><Relationship Id="rId14" Type="http://schemas.openxmlformats.org/officeDocument/2006/relationships/hyperlink" Target="https://www.sec.gov/Archives/edgar/data/1627282/000110465925090624/tm2526187d1_ex3-1.htm" TargetMode="External"/><Relationship Id="rId15" Type="http://schemas.openxmlformats.org/officeDocument/2006/relationships/hyperlink" Target="https://www.sec.gov/Archives/edgar/data/1627282/000110465925090624/tm2526187d1_ex3-1.htm" TargetMode="External"/><Relationship Id="rId16" Type="http://schemas.openxmlformats.org/officeDocument/2006/relationships/hyperlink" Target="https://www.sec.gov/Archives/edgar/data/1627282/000110465926011049/tm265412d1_ex3-1.htm" TargetMode="External"/><Relationship Id="rId17" Type="http://schemas.openxmlformats.org/officeDocument/2006/relationships/hyperlink" Target="https://www.sec.gov/Archives/edgar/data/1627282/000110465926011049/tm265412d1_ex3-1.htm" TargetMode="External"/><Relationship Id="rId18" Type="http://schemas.openxmlformats.org/officeDocument/2006/relationships/hyperlink" Target="https://www.sec.gov/Archives/edgar/data/1627282/000162728225000028/exhibit41-descriptionofsec.htm" TargetMode="External"/><Relationship Id="rId19" Type="http://schemas.openxmlformats.org/officeDocument/2006/relationships/hyperlink" Target="https://www.sec.gov/Archives/edgar/data/1627282/000162728225000028/exhibit41-descriptionofsec.htm" TargetMode="External"/><Relationship Id="rId20" Type="http://schemas.openxmlformats.org/officeDocument/2006/relationships/hyperlink" Target="https://www.sec.gov/Archives/edgar/data/1627282/000110465922112555/tm2228946d1_ex4-1.htm" TargetMode="External"/><Relationship Id="rId21" Type="http://schemas.openxmlformats.org/officeDocument/2006/relationships/hyperlink" Target="https://www.sec.gov/Archives/edgar/data/1627282/000110465922112555/tm2228946d1_ex4-1.htm" TargetMode="External"/><Relationship Id="rId22" Type="http://schemas.openxmlformats.org/officeDocument/2006/relationships/hyperlink" Target="https://www.sec.gov/Archives/edgar/data/1627282/000110465923035668/tm2230806d13_ex4-2.htm" TargetMode="External"/><Relationship Id="rId23" Type="http://schemas.openxmlformats.org/officeDocument/2006/relationships/hyperlink" Target="https://www.sec.gov/Archives/edgar/data/1627282/000110465923035668/tm2230806d13_ex4-2.htm" TargetMode="External"/><Relationship Id="rId24" Type="http://schemas.openxmlformats.org/officeDocument/2006/relationships/hyperlink" Target="https://www.sec.gov/Archives/edgar/data/1627282/000114420419030743/tv515450_ex3-2.htm" TargetMode="External"/><Relationship Id="rId25" Type="http://schemas.openxmlformats.org/officeDocument/2006/relationships/hyperlink" Target="https://www.sec.gov/Archives/edgar/data/1627282/000114420419030743/tv515450_ex3-2.htm" TargetMode="External"/><Relationship Id="rId26" Type="http://schemas.openxmlformats.org/officeDocument/2006/relationships/hyperlink" Target="https://www.sec.gov/Archives/edgar/data/1627282/000162728225000020/exhibit41promissorynotei.htm" TargetMode="External"/><Relationship Id="rId27" Type="http://schemas.openxmlformats.org/officeDocument/2006/relationships/hyperlink" Target="https://www.sec.gov/Archives/edgar/data/1627282/000162728225000020/exhibit41promissorynotei.htm" TargetMode="External"/><Relationship Id="rId28" Type="http://schemas.openxmlformats.org/officeDocument/2006/relationships/hyperlink" Target="https://www.sec.gov/Archives/edgar/data/1627282/000162728225000020/exhibit42commonstockpurc.htm" TargetMode="External"/><Relationship Id="rId29" Type="http://schemas.openxmlformats.org/officeDocument/2006/relationships/hyperlink" Target="https://www.sec.gov/Archives/edgar/data/1627282/000162728225000020/exhibit42commonstockpurc.htm" TargetMode="External"/><Relationship Id="rId30" Type="http://schemas.openxmlformats.org/officeDocument/2006/relationships/hyperlink" Target="https://www.sec.gov/Archives/edgar/data/1627282/000162728225000020/exhibit43commonstockpurc.htm" TargetMode="External"/><Relationship Id="rId31" Type="http://schemas.openxmlformats.org/officeDocument/2006/relationships/hyperlink" Target="https://www.sec.gov/Archives/edgar/data/1627282/000162728225000020/exhibit43commonstockpurc.htm" TargetMode="External"/><Relationship Id="rId32" Type="http://schemas.openxmlformats.org/officeDocument/2006/relationships/hyperlink" Target="https://www.sec.gov/Archives/edgar/data/1627282/000110465925034317/tm2512134d1_ex4-1.htm" TargetMode="External"/><Relationship Id="rId33" Type="http://schemas.openxmlformats.org/officeDocument/2006/relationships/hyperlink" Target="https://www.sec.gov/Archives/edgar/data/1627282/000110465925034317/tm2512134d1_ex4-1.htm" TargetMode="External"/><Relationship Id="rId34" Type="http://schemas.openxmlformats.org/officeDocument/2006/relationships/hyperlink" Target="https://www.sec.gov/Archives/edgar/data/1627282/000110465925034317/tm2512134d1_ex4-2.htm" TargetMode="External"/><Relationship Id="rId35" Type="http://schemas.openxmlformats.org/officeDocument/2006/relationships/hyperlink" Target="https://www.sec.gov/Archives/edgar/data/1627282/000110465925034317/tm2512134d1_ex4-2.htm" TargetMode="External"/><Relationship Id="rId36" Type="http://schemas.openxmlformats.org/officeDocument/2006/relationships/hyperlink" Target="https://www.sec.gov/Archives/edgar/data/1627282/000110465925035972/tm2512544d2_ex4-1.htm" TargetMode="External"/><Relationship Id="rId37" Type="http://schemas.openxmlformats.org/officeDocument/2006/relationships/hyperlink" Target="https://www.sec.gov/Archives/edgar/data/1627282/000110465925035972/tm2512544d2_ex4-1.htm" TargetMode="External"/><Relationship Id="rId38" Type="http://schemas.openxmlformats.org/officeDocument/2006/relationships/hyperlink" Target="https://www.sec.gov/Archives/edgar/data/1627282/000110465925035972/tm2512544d2_ex4-2.htm" TargetMode="External"/><Relationship Id="rId39" Type="http://schemas.openxmlformats.org/officeDocument/2006/relationships/hyperlink" Target="https://www.sec.gov/Archives/edgar/data/1627282/000110465925035972/tm2512544d2_ex4-2.htm" TargetMode="External"/><Relationship Id="rId40" Type="http://schemas.openxmlformats.org/officeDocument/2006/relationships/hyperlink" Target="https://www.sec.gov/Archives/edgar/data/1627282/000110465923062652/tm2232225d2_ex99-1.htm" TargetMode="External"/><Relationship Id="rId41" Type="http://schemas.openxmlformats.org/officeDocument/2006/relationships/hyperlink" Target="https://www.sec.gov/Archives/edgar/data/1627282/000110465923062652/tm2232225d2_ex99-1.htm" TargetMode="External"/><Relationship Id="rId42" Type="http://schemas.openxmlformats.org/officeDocument/2006/relationships/hyperlink" Target="https://www.sec.gov/Archives/edgar/data/1627282/000162728224000069/caliberproxy2024votewithpr.htm" TargetMode="External"/><Relationship Id="rId43" Type="http://schemas.openxmlformats.org/officeDocument/2006/relationships/hyperlink" Target="https://www.sec.gov/Archives/edgar/data/1627282/000162728224000069/caliberproxy2024votewithpr.htm" TargetMode="External"/><Relationship Id="rId44" Type="http://schemas.openxmlformats.org/officeDocument/2006/relationships/hyperlink" Target="https://www.sec.gov/Archives/edgar/data/1627282/000162728224000069/caliberproxy2024votewithpr.htm" TargetMode="External"/><Relationship Id="rId45" Type="http://schemas.openxmlformats.org/officeDocument/2006/relationships/hyperlink" Target="https://www.sec.gov/Archives/edgar/data/1627282/000162728224000069/caliberproxy2024votewithpr.htm" TargetMode="External"/><Relationship Id="rId46" Type="http://schemas.openxmlformats.org/officeDocument/2006/relationships/hyperlink" Target="https://www.sec.gov/Archives/edgar/data/1627282/000162728223000012/ex102_loanagreementxairp.htm" TargetMode="External"/><Relationship Id="rId47" Type="http://schemas.openxmlformats.org/officeDocument/2006/relationships/hyperlink" Target="https://www.sec.gov/Archives/edgar/data/1627282/000162728223000012/ex102_loanagreementxairp.htm" TargetMode="External"/><Relationship Id="rId48" Type="http://schemas.openxmlformats.org/officeDocument/2006/relationships/hyperlink" Target="https://www.sec.gov/Archives/edgar/data/1627282/000162728223000012/ex-103guarantyofrecourse.htm" TargetMode="External"/><Relationship Id="rId49" Type="http://schemas.openxmlformats.org/officeDocument/2006/relationships/hyperlink" Target="https://www.sec.gov/Archives/edgar/data/1627282/000162728223000012/ex-103guarantyofrecourse.htm" TargetMode="External"/><Relationship Id="rId50" Type="http://schemas.openxmlformats.org/officeDocument/2006/relationships/hyperlink" Target="https://www.sec.gov/Archives/edgar/data/1627282/000162728223000012/ex-104gatewayloan.htm" TargetMode="External"/><Relationship Id="rId51" Type="http://schemas.openxmlformats.org/officeDocument/2006/relationships/hyperlink" Target="https://www.sec.gov/Archives/edgar/data/1627282/000162728223000012/ex-104gatewayloan.htm" TargetMode="External"/><Relationship Id="rId52" Type="http://schemas.openxmlformats.org/officeDocument/2006/relationships/hyperlink" Target="https://www.sec.gov/Archives/edgar/data/1627282/000162728223000012/ex-105assumptionagreemen.htm" TargetMode="External"/><Relationship Id="rId53" Type="http://schemas.openxmlformats.org/officeDocument/2006/relationships/hyperlink" Target="https://www.sec.gov/Archives/edgar/data/1627282/000162728223000012/ex-105assumptionagreemen.htm" TargetMode="External"/><Relationship Id="rId54" Type="http://schemas.openxmlformats.org/officeDocument/2006/relationships/hyperlink" Target="https://www.sec.gov/Archives/edgar/data/1627282/000114420419040575/tv527915_ex6-5.htm" TargetMode="External"/><Relationship Id="rId55" Type="http://schemas.openxmlformats.org/officeDocument/2006/relationships/hyperlink" Target="https://www.sec.gov/Archives/edgar/data/1627282/000114420419040575/tv527915_ex6-5.htm" TargetMode="External"/><Relationship Id="rId56" Type="http://schemas.openxmlformats.org/officeDocument/2006/relationships/hyperlink" Target="https://www.sec.gov/Archives/edgar/data/1627282/000114420419040575/tv527915_ex6-6.htm" TargetMode="External"/><Relationship Id="rId57" Type="http://schemas.openxmlformats.org/officeDocument/2006/relationships/hyperlink" Target="https://www.sec.gov/Archives/edgar/data/1627282/000114420419040575/tv527915_ex6-6.htm" TargetMode="External"/><Relationship Id="rId58" Type="http://schemas.openxmlformats.org/officeDocument/2006/relationships/hyperlink" Target="https://www.sec.gov/Archives/edgar/data/1627282/000114420419040575/tv527915_ex6-7.htm" TargetMode="External"/><Relationship Id="rId59" Type="http://schemas.openxmlformats.org/officeDocument/2006/relationships/hyperlink" Target="https://www.sec.gov/Archives/edgar/data/1627282/000114420419040575/tv527915_ex6-7.htm" TargetMode="External"/><Relationship Id="rId60" Type="http://schemas.openxmlformats.org/officeDocument/2006/relationships/hyperlink" Target="https://www.sec.gov/Archives/edgar/data/1627282/000114420419040575/tv527915_ex6-8.htm" TargetMode="External"/><Relationship Id="rId61" Type="http://schemas.openxmlformats.org/officeDocument/2006/relationships/hyperlink" Target="https://www.sec.gov/Archives/edgar/data/1627282/000114420419040575/tv527915_ex6-8.htm" TargetMode="External"/><Relationship Id="rId62" Type="http://schemas.openxmlformats.org/officeDocument/2006/relationships/hyperlink" Target="https://www.sec.gov/Archives/edgar/data/1627282/000110465922121830/tm2230806d1_ex10-11.htm" TargetMode="External"/><Relationship Id="rId63" Type="http://schemas.openxmlformats.org/officeDocument/2006/relationships/hyperlink" Target="https://www.sec.gov/Archives/edgar/data/1627282/000110465922121830/tm2230806d1_ex10-11.htm" TargetMode="External"/><Relationship Id="rId64" Type="http://schemas.openxmlformats.org/officeDocument/2006/relationships/hyperlink" Target="https://www.sec.gov/Archives/edgar/data/1627282/000110465923044483/tm2230806d15_ex10-13.htm" TargetMode="External"/><Relationship Id="rId65" Type="http://schemas.openxmlformats.org/officeDocument/2006/relationships/hyperlink" Target="https://www.sec.gov/Archives/edgar/data/1627282/000110465923044483/tm2230806d15_ex10-13.htm" TargetMode="External"/><Relationship Id="rId66" Type="http://schemas.openxmlformats.org/officeDocument/2006/relationships/hyperlink" Target="https://www.sec.gov/Archives/edgar/data/1627282/000110465923044483/tm2230806d15_ex10-14.htm" TargetMode="External"/><Relationship Id="rId67" Type="http://schemas.openxmlformats.org/officeDocument/2006/relationships/hyperlink" Target="https://www.sec.gov/Archives/edgar/data/1627282/000110465923044483/tm2230806d15_ex10-14.htm" TargetMode="External"/><Relationship Id="rId68" Type="http://schemas.openxmlformats.org/officeDocument/2006/relationships/hyperlink" Target="https://www.sec.gov/Archives/edgar/data/1627282/000110465923044483/tm2230806d15_ex10-15.htm" TargetMode="External"/><Relationship Id="rId69" Type="http://schemas.openxmlformats.org/officeDocument/2006/relationships/hyperlink" Target="https://www.sec.gov/Archives/edgar/data/1627282/000110465923044483/tm2230806d15_ex10-15.htm" TargetMode="External"/><Relationship Id="rId70" Type="http://schemas.openxmlformats.org/officeDocument/2006/relationships/hyperlink" Target="https://www.sec.gov/Archives/edgar/data/1627282/000162728223000018/caliber-reitltdxcontribu.htm" TargetMode="External"/><Relationship Id="rId71" Type="http://schemas.openxmlformats.org/officeDocument/2006/relationships/hyperlink" Target="https://www.sec.gov/Archives/edgar/data/1627282/000162728223000018/caliber-reitltdxcontribu.htm" TargetMode="External"/><Relationship Id="rId72" Type="http://schemas.openxmlformats.org/officeDocument/2006/relationships/hyperlink" Target="https://www.sec.gov/Archives/edgar/data/1627282/000162728225000020/exhibit101securitiespurc.htm" TargetMode="External"/><Relationship Id="rId73" Type="http://schemas.openxmlformats.org/officeDocument/2006/relationships/hyperlink" Target="https://www.sec.gov/Archives/edgar/data/1627282/000162728225000020/exhibit101securitiespurc.htm" TargetMode="External"/><Relationship Id="rId74" Type="http://schemas.openxmlformats.org/officeDocument/2006/relationships/hyperlink" Target="https://www.sec.gov/Archives/edgar/data/1627282/000162728225000020/exhibit102registrationri.htm" TargetMode="External"/><Relationship Id="rId75" Type="http://schemas.openxmlformats.org/officeDocument/2006/relationships/hyperlink" Target="https://www.sec.gov/Archives/edgar/data/1627282/000162728225000020/exhibit102registrationri.htm" TargetMode="External"/><Relationship Id="rId76" Type="http://schemas.openxmlformats.org/officeDocument/2006/relationships/hyperlink" Target="https://www.sec.gov/Archives/edgar/data/1627282/000162728225000020/exhibit103subsidiaryguar.htm" TargetMode="External"/><Relationship Id="rId77" Type="http://schemas.openxmlformats.org/officeDocument/2006/relationships/hyperlink" Target="https://www.sec.gov/Archives/edgar/data/1627282/000162728225000020/exhibit103subsidiaryguar.htm" TargetMode="External"/><Relationship Id="rId78" Type="http://schemas.openxmlformats.org/officeDocument/2006/relationships/hyperlink" Target="https://www.sec.gov/Archives/edgar/data/1627282/000162728225000020/exhibit104equitypurchase.htm" TargetMode="External"/><Relationship Id="rId79" Type="http://schemas.openxmlformats.org/officeDocument/2006/relationships/hyperlink" Target="https://www.sec.gov/Archives/edgar/data/1627282/000162728225000020/exhibit104equitypurchase.htm" TargetMode="External"/><Relationship Id="rId80" Type="http://schemas.openxmlformats.org/officeDocument/2006/relationships/hyperlink" Target="https://www.sec.gov/Archives/edgar/data/1627282/000162728225000020/exhibit105registrationri.htm" TargetMode="External"/><Relationship Id="rId81" Type="http://schemas.openxmlformats.org/officeDocument/2006/relationships/hyperlink" Target="https://www.sec.gov/Archives/edgar/data/1627282/000162728225000020/exhibit105registrationri.htm" TargetMode="External"/><Relationship Id="rId82" Type="http://schemas.openxmlformats.org/officeDocument/2006/relationships/hyperlink" Target="https://www.sec.gov/Archives/edgar/data/1627282/000110465925034727/tm2512244d1_ex10-23.htm" TargetMode="External"/><Relationship Id="rId83" Type="http://schemas.openxmlformats.org/officeDocument/2006/relationships/hyperlink" Target="https://www.sec.gov/Archives/edgar/data/1627282/000110465925034727/tm2512244d1_ex10-23.htm" TargetMode="External"/><Relationship Id="rId84" Type="http://schemas.openxmlformats.org/officeDocument/2006/relationships/hyperlink" Target="https://www.sec.gov/Archives/edgar/data/1627282/000162728225000087/a7152025_cwdx8-kxexx101.htm" TargetMode="External"/><Relationship Id="rId85" Type="http://schemas.openxmlformats.org/officeDocument/2006/relationships/hyperlink" Target="https://www.sec.gov/Archives/edgar/data/1627282/000162728225000087/a7152025_cwdx8-kxexx101.htm" TargetMode="External"/><Relationship Id="rId86" Type="http://schemas.openxmlformats.org/officeDocument/2006/relationships/hyperlink" Target="https://www.sec.gov/Archives/edgar/data/1627282/000110465925088692/tm2525700d1_ex10-1.htm" TargetMode="External"/><Relationship Id="rId87" Type="http://schemas.openxmlformats.org/officeDocument/2006/relationships/hyperlink" Target="https://www.sec.gov/Archives/edgar/data/1627282/000110465925088692/tm2525700d1_ex10-1.htm" TargetMode="External"/><Relationship Id="rId88" Type="http://schemas.openxmlformats.org/officeDocument/2006/relationships/hyperlink" Target="https://www.sec.gov/Archives/edgar/data/1627282/000110465925090624/tm2526187d1_ex10-1.htm" TargetMode="External"/><Relationship Id="rId89" Type="http://schemas.openxmlformats.org/officeDocument/2006/relationships/hyperlink" Target="https://www.sec.gov/Archives/edgar/data/1627282/000110465925090624/tm2526187d1_ex10-1.htm" TargetMode="External"/><Relationship Id="rId90" Type="http://schemas.openxmlformats.org/officeDocument/2006/relationships/hyperlink" Target="https://www.sec.gov/Archives/edgar/data/1627282/000110465925105047/tm2529978d1_ex10-1.htm" TargetMode="External"/><Relationship Id="rId91" Type="http://schemas.openxmlformats.org/officeDocument/2006/relationships/hyperlink" Target="https://www.sec.gov/Archives/edgar/data/1627282/000110465925105047/tm2529978d1_ex10-1.htm" TargetMode="External"/><Relationship Id="rId92" Type="http://schemas.openxmlformats.org/officeDocument/2006/relationships/hyperlink" Target="https://www.sec.gov/Archives/edgar/data/1627282/000110465926011049/tm265412d1_ex10-1.htm" TargetMode="External"/><Relationship Id="rId93" Type="http://schemas.openxmlformats.org/officeDocument/2006/relationships/hyperlink" Target="https://www.sec.gov/Archives/edgar/data/1627282/000110465926011049/tm265412d1_ex10-1.htm" TargetMode="External"/><Relationship Id="rId94" Type="http://schemas.openxmlformats.org/officeDocument/2006/relationships/hyperlink" Target="https://www.sec.gov/Archives/edgar/data/1627282/000162728225000028/exhibit141-codeofethics10x.htm" TargetMode="External"/><Relationship Id="rId95" Type="http://schemas.openxmlformats.org/officeDocument/2006/relationships/hyperlink" Target="https://www.sec.gov/Archives/edgar/data/1627282/000162728225000028/exhibit141-codeofethics10x.htm" TargetMode="External"/><Relationship Id="rId96" Type="http://schemas.openxmlformats.org/officeDocument/2006/relationships/hyperlink" Target="https://www.sec.gov/Archives/edgar/data/1627282/000162728225000028/exhibit191-insidertradingp.htm" TargetMode="External"/><Relationship Id="rId97" Type="http://schemas.openxmlformats.org/officeDocument/2006/relationships/hyperlink" Target="https://www.sec.gov/Archives/edgar/data/1627282/000162728225000028/exhibit191-insidertradingp.htm" TargetMode="External"/><Relationship Id="rId98" Type="http://schemas.openxmlformats.org/officeDocument/2006/relationships/hyperlink" Target="https://www.sec.gov/Archives/edgar/data/1627282/000162728225000028/exhibit971-clawbackpolicy1.htm" TargetMode="External"/><Relationship Id="rId99" Type="http://schemas.openxmlformats.org/officeDocument/2006/relationships/hyperlink" Target="https://www.sec.gov/Archives/edgar/data/1627282/000162728225000028/exhibit971-clawbackpolicy1.htm" TargetMode="External"/><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69522</Words>
  <Characters>386441</Characters>
  <CharactersWithSpaces>452705</CharactersWithSpaces>
  <Paragraphs>5242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