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603250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629285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1)</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58" w:lineRule="exact"/>
        <w:rPr>
          <w:sz w:val="24"/>
          <w:szCs w:val="24"/>
          <w:color w:val="auto"/>
        </w:rPr>
      </w:pPr>
    </w:p>
    <w:p>
      <w:pPr>
        <w:ind w:left="3920" w:right="1040" w:hanging="3894"/>
        <w:spacing w:after="0" w:line="367" w:lineRule="auto"/>
        <w:tabs>
          <w:tab w:leader="none" w:pos="1399"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rFonts w:ascii="Wingdings" w:cs="Wingdings" w:eastAsia="Wingdings" w:hAnsi="Wingdings"/>
          <w:sz w:val="18"/>
          <w:szCs w:val="18"/>
          <w:b w:val="1"/>
          <w:bCs w:val="1"/>
          <w:color w:val="auto"/>
        </w:rPr>
      </w:pPr>
    </w:p>
    <w:p>
      <w:pPr>
        <w:ind w:left="548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3420" w:right="880" w:hanging="3394"/>
        <w:spacing w:after="0" w:line="360" w:lineRule="auto"/>
        <w:tabs>
          <w:tab w:leader="none" w:pos="1201"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ind w:left="4260"/>
        <w:spacing w:after="0"/>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Commission file number 001-41703</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CALIBERCOS INC.</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238"/>
        </w:trPr>
        <w:tc>
          <w:tcPr>
            <w:tcW w:w="5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47-2426901</w:t>
            </w:r>
          </w:p>
        </w:tc>
      </w:tr>
      <w:tr>
        <w:trPr>
          <w:trHeight w:val="27"/>
        </w:trPr>
        <w:tc>
          <w:tcPr>
            <w:tcW w:w="5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5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51"/>
        </w:trPr>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8901 E. Mountain View Rd. Ste. 150 Scottsdale, AZ</w:t>
            </w:r>
          </w:p>
        </w:tc>
        <w:tc>
          <w:tcPr>
            <w:tcW w:w="240" w:type="dxa"/>
            <w:vAlign w:val="bottom"/>
          </w:tcPr>
          <w:p>
            <w:pPr>
              <w:spacing w:after="0"/>
              <w:rPr>
                <w:sz w:val="24"/>
                <w:szCs w:val="24"/>
                <w:color w:val="auto"/>
              </w:rPr>
            </w:pPr>
          </w:p>
        </w:tc>
        <w:tc>
          <w:tcPr>
            <w:tcW w:w="5440" w:type="dxa"/>
            <w:vAlign w:val="bottom"/>
            <w:tcBorders>
              <w:bottom w:val="single" w:sz="8" w:color="auto"/>
            </w:tcBorders>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85258</w:t>
            </w:r>
          </w:p>
        </w:tc>
      </w:tr>
      <w:tr>
        <w:trPr>
          <w:trHeight w:val="237"/>
        </w:trPr>
        <w:tc>
          <w:tcPr>
            <w:tcW w:w="5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295-7600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36830</wp:posOffset>
            </wp:positionV>
            <wp:extent cx="7054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30" w:type="dxa"/>
        <w:tblCellMar>
          <w:top w:w="0" w:type="dxa"/>
          <w:left w:w="0" w:type="dxa"/>
          <w:bottom w:w="0" w:type="dxa"/>
          <w:right w:w="0" w:type="dxa"/>
        </w:tblCellMar>
      </w:tblPr>
      <w:tr>
        <w:trPr>
          <w:trHeight w:val="243"/>
        </w:trPr>
        <w:tc>
          <w:tcPr>
            <w:tcW w:w="47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7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$0.001 par value per share</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CWD</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306" w:lineRule="exact"/>
        <w:rPr>
          <w:sz w:val="24"/>
          <w:szCs w:val="24"/>
          <w:color w:val="auto"/>
        </w:rPr>
      </w:pPr>
    </w:p>
    <w:p>
      <w:pPr>
        <w:ind w:right="1480"/>
        <w:spacing w:after="0" w:line="375" w:lineRule="auto"/>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3" w:lineRule="exact"/>
        <w:rPr>
          <w:sz w:val="24"/>
          <w:szCs w:val="24"/>
          <w:color w:val="auto"/>
        </w:rPr>
      </w:pPr>
    </w:p>
    <w:tbl>
      <w:tblPr>
        <w:tblLayout w:type="fixed"/>
        <w:tblInd w:w="260" w:type="dxa"/>
        <w:tblCellMar>
          <w:top w:w="0" w:type="dxa"/>
          <w:left w:w="0" w:type="dxa"/>
          <w:bottom w:w="0" w:type="dxa"/>
          <w:right w:w="0" w:type="dxa"/>
        </w:tblCellMar>
      </w:tblP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8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7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80" w:type="dxa"/>
            <w:vAlign w:val="bottom"/>
          </w:tcPr>
          <w:p>
            <w:pPr>
              <w:ind w:left="1580"/>
              <w:spacing w:after="0"/>
              <w:rPr>
                <w:sz w:val="20"/>
                <w:szCs w:val="20"/>
                <w:color w:val="auto"/>
              </w:rPr>
            </w:pPr>
            <w:r>
              <w:rPr>
                <w:rFonts w:ascii="Wingdings" w:cs="Wingdings" w:eastAsia="Wingdings" w:hAnsi="Wingdings"/>
                <w:sz w:val="18"/>
                <w:szCs w:val="18"/>
                <w:b w:val="1"/>
                <w:bCs w:val="1"/>
                <w:color w:val="auto"/>
              </w:rPr>
              <w:t>x</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80" w:type="dxa"/>
            <w:vAlign w:val="bottom"/>
          </w:tcPr>
          <w:p>
            <w:pPr>
              <w:jc w:val="right"/>
              <w:spacing w:after="0"/>
              <w:rPr>
                <w:sz w:val="20"/>
                <w:szCs w:val="20"/>
                <w:color w:val="auto"/>
              </w:rPr>
            </w:pPr>
            <w:r>
              <w:rPr>
                <w:rFonts w:ascii="Wingdings" w:cs="Wingdings" w:eastAsia="Wingdings" w:hAnsi="Wingdings"/>
                <w:sz w:val="18"/>
                <w:szCs w:val="18"/>
                <w:b w:val="1"/>
                <w:bCs w:val="1"/>
                <w:color w:val="auto"/>
              </w:rPr>
              <w:t>x</w:t>
            </w:r>
          </w:p>
        </w:tc>
      </w:tr>
      <w:tr>
        <w:trPr>
          <w:trHeight w:val="234"/>
        </w:trPr>
        <w:tc>
          <w:tcPr>
            <w:tcW w:w="3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80" w:type="dxa"/>
            <w:vAlign w:val="bottom"/>
          </w:tcPr>
          <w:p>
            <w:pPr>
              <w:jc w:val="right"/>
              <w:spacing w:after="0"/>
              <w:rPr>
                <w:sz w:val="20"/>
                <w:szCs w:val="20"/>
                <w:color w:val="auto"/>
              </w:rPr>
            </w:pPr>
            <w:r>
              <w:rPr>
                <w:rFonts w:ascii="Wingdings" w:cs="Wingdings" w:eastAsia="Wingdings" w:hAnsi="Wingdings"/>
                <w:sz w:val="18"/>
                <w:szCs w:val="18"/>
                <w:b w:val="1"/>
                <w:bCs w:val="1"/>
                <w:color w:val="auto"/>
              </w:rPr>
              <w:t>x</w:t>
            </w:r>
          </w:p>
        </w:tc>
      </w:tr>
    </w:tbl>
    <w:p>
      <w:pPr>
        <w:spacing w:after="0" w:line="200" w:lineRule="exact"/>
        <w:rPr>
          <w:sz w:val="24"/>
          <w:szCs w:val="24"/>
          <w:color w:val="auto"/>
        </w:rPr>
      </w:pPr>
    </w:p>
    <w:p>
      <w:pPr>
        <w:spacing w:after="0" w:line="22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ectPr>
          <w:pgSz w:w="11900" w:h="16838" w:orient="portrait"/>
          <w:cols w:equalWidth="0" w:num="1">
            <w:col w:w="11240"/>
          </w:cols>
          <w:pgMar w:left="320" w:top="1172" w:right="339" w:bottom="0" w:gutter="0" w:footer="0" w:header="0"/>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the Class A Common Stock on The Nasdaq Capital Market on June 30, 2023, was approximately $26.1 million.</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21,758,193 shares of common stock, comprised of 14,341,779 shares of Class A Common Stock and 7,416,414 shares of Class B Common Stock of CaliberCos Inc. as of April 10, 2024.</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107315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133350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CaliberCos Inc. (“we,” “us,” “our,” the “Company”) is filing this Amendment No. 1 on Form 10-K/A (“Amendment No. 1”) to amend our Annual Report on Form 10-K for the fiscal year ended December 31, 2023 (the “Original Filing”), filed with the U.S. Securities and Exchange Commission (“SEC”), to include the information required by Items 10 through 14 of Part III of Form 10-K. This information was previously omitted from the Original Filing in reliance on General Instruction G(3) to Form 10-K.</w:t>
      </w:r>
    </w:p>
    <w:p>
      <w:pPr>
        <w:spacing w:after="0" w:line="208" w:lineRule="exact"/>
        <w:rPr>
          <w:sz w:val="20"/>
          <w:szCs w:val="20"/>
          <w:color w:val="auto"/>
        </w:rPr>
      </w:pPr>
    </w:p>
    <w:p>
      <w:pPr>
        <w:jc w:val="both"/>
        <w:ind w:right="20" w:firstLine="324"/>
        <w:spacing w:after="0" w:line="242" w:lineRule="auto"/>
        <w:rPr>
          <w:sz w:val="20"/>
          <w:szCs w:val="20"/>
          <w:color w:val="auto"/>
        </w:rPr>
      </w:pPr>
      <w:r>
        <w:rPr>
          <w:rFonts w:ascii="Times New Roman" w:cs="Times New Roman" w:eastAsia="Times New Roman" w:hAnsi="Times New Roman"/>
          <w:sz w:val="18"/>
          <w:szCs w:val="18"/>
          <w:color w:val="auto"/>
        </w:rPr>
        <w:t>Pursuant to Rule 12b-15 under the Securities Exchange Act of 1934, as amended, this Amendment No. 1 also contains new certifications by our principal executive officer and principal financial officer as required by Section 302 of the Sarbanes-Oxley Act of 2002. Accordingly, Item 15 of Part IV is amended to include the currently dated certifications as exhibits.</w:t>
      </w:r>
    </w:p>
    <w:p>
      <w:pPr>
        <w:spacing w:after="0" w:line="21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Except as expressly noted in this Amendment No. 1, this Amendment No. 1 does not reflect events that may have occurred subsequent to the filing date of the Original Filing or modify or otherwise update any other disclosures contained in the Original Filing, including, without limitation, the financial statements. Accordingly, this Amendment No. 1 should be read in conjunction with the Original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9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4"/>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0000FF"/>
            </w:tcBorders>
            <w:gridSpan w:val="3"/>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8"/>
              </w:rPr>
              <w:t>Explanatory Note</w:t>
            </w:r>
          </w:p>
        </w:tc>
        <w:tc>
          <w:tcPr>
            <w:tcW w:w="9360" w:type="dxa"/>
            <w:vAlign w:val="bottom"/>
            <w:tcBorders>
              <w:bottom w:val="single" w:sz="8" w:color="CFF0FC"/>
            </w:tcBorders>
            <w:gridSpan w:val="8"/>
            <w:shd w:val="clear" w:color="auto" w:fill="CFF0FC"/>
          </w:tcPr>
          <w:p>
            <w:pPr>
              <w:spacing w:after="0"/>
              <w:rPr>
                <w:sz w:val="18"/>
                <w:szCs w:val="18"/>
                <w:color w:val="auto"/>
              </w:rPr>
            </w:pPr>
          </w:p>
        </w:tc>
        <w:tc>
          <w:tcPr>
            <w:tcW w:w="100" w:type="dxa"/>
            <w:vAlign w:val="bottom"/>
            <w:tcBorders>
              <w:bottom w:val="single" w:sz="8" w:color="CFF0FC"/>
            </w:tcBorders>
            <w:gridSpan w:val="2"/>
            <w:shd w:val="clear" w:color="auto" w:fill="CFF0FC"/>
          </w:tcPr>
          <w:p>
            <w:pPr>
              <w:spacing w:after="0"/>
              <w:rPr>
                <w:sz w:val="18"/>
                <w:szCs w:val="18"/>
                <w:color w:val="auto"/>
              </w:rPr>
            </w:pPr>
          </w:p>
        </w:tc>
        <w:tc>
          <w:tcPr>
            <w:tcW w:w="100" w:type="dxa"/>
            <w:vAlign w:val="bottom"/>
            <w:tcBorders>
              <w:bottom w:val="single" w:sz="8" w:color="0000FF"/>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06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9"/>
        </w:trPr>
        <w:tc>
          <w:tcPr>
            <w:tcW w:w="20" w:type="dxa"/>
            <w:vAlign w:val="bottom"/>
            <w:shd w:val="clear" w:color="auto" w:fill="CFF0FC"/>
          </w:tcPr>
          <w:p>
            <w:pPr>
              <w:spacing w:after="0"/>
              <w:rPr>
                <w:sz w:val="18"/>
                <w:szCs w:val="18"/>
                <w:color w:val="auto"/>
              </w:rPr>
            </w:pPr>
          </w:p>
        </w:tc>
        <w:tc>
          <w:tcPr>
            <w:tcW w:w="10640" w:type="dxa"/>
            <w:vAlign w:val="bottom"/>
            <w:gridSpan w:val="11"/>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240" w:type="dxa"/>
            <w:vAlign w:val="bottom"/>
            <w:gridSpan w:val="4"/>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4740" w:type="dxa"/>
            <w:vAlign w:val="bottom"/>
            <w:tcBorders>
              <w:top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5900" w:type="dxa"/>
            <w:vAlign w:val="bottom"/>
            <w:tcBorders>
              <w:top w:val="single" w:sz="8" w:color="CFF0FC"/>
            </w:tcBorders>
            <w:gridSpan w:val="3"/>
          </w:tcPr>
          <w:p>
            <w:pPr>
              <w:spacing w:after="0"/>
              <w:rPr>
                <w:sz w:val="16"/>
                <w:szCs w:val="16"/>
                <w:color w:val="auto"/>
              </w:rPr>
            </w:pPr>
          </w:p>
        </w:tc>
        <w:tc>
          <w:tcPr>
            <w:tcW w:w="100" w:type="dxa"/>
            <w:vAlign w:val="bottom"/>
            <w:tcBorders>
              <w:top w:val="single" w:sz="8" w:color="CFF0FC"/>
            </w:tcBorders>
            <w:gridSpan w:val="2"/>
          </w:tcPr>
          <w:p>
            <w:pPr>
              <w:spacing w:after="0"/>
              <w:rPr>
                <w:sz w:val="16"/>
                <w:szCs w:val="16"/>
                <w:color w:val="auto"/>
              </w:rPr>
            </w:pPr>
          </w:p>
        </w:tc>
        <w:tc>
          <w:tcPr>
            <w:tcW w:w="100" w:type="dxa"/>
            <w:vAlign w:val="bottom"/>
            <w:tcBorders>
              <w:top w:val="single" w:sz="8" w:color="0000FF"/>
            </w:tcBorders>
          </w:tcPr>
          <w:p>
            <w:pPr>
              <w:jc w:val="center"/>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4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12.</w:t>
            </w:r>
          </w:p>
        </w:tc>
        <w:tc>
          <w:tcPr>
            <w:tcW w:w="7260" w:type="dxa"/>
            <w:vAlign w:val="bottom"/>
            <w:gridSpan w:val="9"/>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 and Management and Related Stockholder Matters</w:t>
            </w:r>
          </w:p>
        </w:tc>
        <w:tc>
          <w:tcPr>
            <w:tcW w:w="2760" w:type="dxa"/>
            <w:vAlign w:val="bottom"/>
            <w:shd w:val="clear" w:color="auto" w:fill="CFF0FC"/>
          </w:tcPr>
          <w:p>
            <w:pPr>
              <w:spacing w:after="0"/>
              <w:rPr>
                <w:sz w:val="16"/>
                <w:szCs w:val="16"/>
                <w:color w:val="auto"/>
              </w:rPr>
            </w:pPr>
          </w:p>
        </w:tc>
        <w:tc>
          <w:tcPr>
            <w:tcW w:w="240" w:type="dxa"/>
            <w:vAlign w:val="bottom"/>
            <w:gridSpan w:val="4"/>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92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10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200" w:type="dxa"/>
            <w:vAlign w:val="bottom"/>
            <w:tcBorders>
              <w:top w:val="single" w:sz="8" w:color="0000FF"/>
            </w:tcBorders>
            <w:shd w:val="clear" w:color="auto" w:fill="CFF0FC"/>
          </w:tcPr>
          <w:p>
            <w:pPr>
              <w:spacing w:after="0" w:line="20" w:lineRule="exact"/>
              <w:rPr>
                <w:sz w:val="1"/>
                <w:szCs w:val="1"/>
                <w:color w:val="auto"/>
              </w:rPr>
            </w:pPr>
          </w:p>
        </w:tc>
        <w:tc>
          <w:tcPr>
            <w:tcW w:w="1360" w:type="dxa"/>
            <w:vAlign w:val="bottom"/>
            <w:tcBorders>
              <w:top w:val="single" w:sz="8" w:color="0000FF"/>
            </w:tcBorders>
            <w:shd w:val="clear" w:color="auto" w:fill="CFF0FC"/>
          </w:tcPr>
          <w:p>
            <w:pPr>
              <w:spacing w:after="0" w:line="20" w:lineRule="exact"/>
              <w:rPr>
                <w:sz w:val="1"/>
                <w:szCs w:val="1"/>
                <w:color w:val="auto"/>
              </w:rPr>
            </w:pPr>
          </w:p>
        </w:tc>
        <w:tc>
          <w:tcPr>
            <w:tcW w:w="1780" w:type="dxa"/>
            <w:vAlign w:val="bottom"/>
            <w:tcBorders>
              <w:top w:val="single" w:sz="8" w:color="0000FF"/>
            </w:tcBorders>
            <w:shd w:val="clear" w:color="auto" w:fill="CFF0FC"/>
          </w:tcPr>
          <w:p>
            <w:pPr>
              <w:spacing w:after="0" w:line="20" w:lineRule="exact"/>
              <w:rPr>
                <w:sz w:val="1"/>
                <w:szCs w:val="1"/>
                <w:color w:val="auto"/>
              </w:rPr>
            </w:pPr>
          </w:p>
        </w:tc>
        <w:tc>
          <w:tcPr>
            <w:tcW w:w="27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13.</w:t>
            </w:r>
          </w:p>
        </w:tc>
        <w:tc>
          <w:tcPr>
            <w:tcW w:w="7260" w:type="dxa"/>
            <w:vAlign w:val="bottom"/>
            <w:gridSpan w:val="9"/>
          </w:tcPr>
          <w:p>
            <w:pPr>
              <w:ind w:left="40"/>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760" w:type="dxa"/>
            <w:vAlign w:val="bottom"/>
          </w:tcPr>
          <w:p>
            <w:pPr>
              <w:spacing w:after="0"/>
              <w:rPr>
                <w:sz w:val="16"/>
                <w:szCs w:val="16"/>
                <w:color w:val="auto"/>
              </w:rPr>
            </w:pPr>
          </w:p>
        </w:tc>
        <w:tc>
          <w:tcPr>
            <w:tcW w:w="2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13</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14.</w:t>
            </w:r>
          </w:p>
        </w:tc>
        <w:tc>
          <w:tcPr>
            <w:tcW w:w="2900" w:type="dxa"/>
            <w:vAlign w:val="bottom"/>
            <w:gridSpan w:val="5"/>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0000FF"/>
                <w:w w:val="98"/>
              </w:rPr>
              <w:t>Principal Accounting Fees and Services</w:t>
            </w:r>
          </w:p>
        </w:tc>
        <w:tc>
          <w:tcPr>
            <w:tcW w:w="7120" w:type="dxa"/>
            <w:vAlign w:val="bottom"/>
            <w:gridSpan w:val="5"/>
            <w:shd w:val="clear" w:color="auto" w:fill="CFF0FC"/>
          </w:tcPr>
          <w:p>
            <w:pPr>
              <w:spacing w:after="0"/>
              <w:rPr>
                <w:sz w:val="18"/>
                <w:szCs w:val="18"/>
                <w:color w:val="auto"/>
              </w:rPr>
            </w:pPr>
          </w:p>
        </w:tc>
        <w:tc>
          <w:tcPr>
            <w:tcW w:w="240" w:type="dxa"/>
            <w:vAlign w:val="bottom"/>
            <w:gridSpan w:val="4"/>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18</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r>
      <w:tr>
        <w:trPr>
          <w:trHeight w:val="230"/>
        </w:trPr>
        <w:tc>
          <w:tcPr>
            <w:tcW w:w="20" w:type="dxa"/>
            <w:vAlign w:val="bottom"/>
            <w:tcBorders>
              <w:top w:val="single" w:sz="8" w:color="CFF0FC"/>
            </w:tcBorders>
          </w:tcPr>
          <w:p>
            <w:pPr>
              <w:spacing w:after="0"/>
              <w:rPr>
                <w:sz w:val="19"/>
                <w:szCs w:val="19"/>
                <w:color w:val="auto"/>
              </w:rPr>
            </w:pPr>
          </w:p>
        </w:tc>
        <w:tc>
          <w:tcPr>
            <w:tcW w:w="35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7120" w:type="dxa"/>
            <w:vAlign w:val="bottom"/>
            <w:tcBorders>
              <w:top w:val="single" w:sz="8" w:color="CFF0FC"/>
            </w:tcBorders>
            <w:gridSpan w:val="5"/>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r>
      <w:tr>
        <w:trPr>
          <w:trHeight w:val="189"/>
        </w:trPr>
        <w:tc>
          <w:tcPr>
            <w:tcW w:w="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15.</w:t>
            </w:r>
          </w:p>
        </w:tc>
        <w:tc>
          <w:tcPr>
            <w:tcW w:w="10020" w:type="dxa"/>
            <w:vAlign w:val="bottom"/>
            <w:gridSpan w:val="10"/>
            <w:shd w:val="clear" w:color="auto" w:fill="CFF0FC"/>
          </w:tcPr>
          <w:p>
            <w:pPr>
              <w:ind w:left="40"/>
              <w:spacing w:after="0" w:line="189"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240" w:type="dxa"/>
            <w:vAlign w:val="bottom"/>
            <w:gridSpan w:val="4"/>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0000FF"/>
            </w:tcBorders>
            <w:shd w:val="clear" w:color="auto" w:fill="CFF0FC"/>
          </w:tcPr>
          <w:p>
            <w:pPr>
              <w:spacing w:after="0" w:line="20" w:lineRule="exact"/>
              <w:rPr>
                <w:sz w:val="1"/>
                <w:szCs w:val="1"/>
                <w:color w:val="auto"/>
              </w:rPr>
            </w:pPr>
          </w:p>
        </w:tc>
        <w:tc>
          <w:tcPr>
            <w:tcW w:w="920" w:type="dxa"/>
            <w:vAlign w:val="bottom"/>
            <w:tcBorders>
              <w:top w:val="single" w:sz="8" w:color="0000FF"/>
            </w:tcBorders>
            <w:shd w:val="clear" w:color="auto" w:fill="CFF0FC"/>
          </w:tcPr>
          <w:p>
            <w:pPr>
              <w:spacing w:after="0" w:line="20" w:lineRule="exact"/>
              <w:rPr>
                <w:sz w:val="1"/>
                <w:szCs w:val="1"/>
                <w:color w:val="auto"/>
              </w:rPr>
            </w:pPr>
          </w:p>
        </w:tc>
        <w:tc>
          <w:tcPr>
            <w:tcW w:w="240" w:type="dxa"/>
            <w:vAlign w:val="bottom"/>
            <w:tcBorders>
              <w:top w:val="single" w:sz="8" w:color="0000FF"/>
            </w:tcBorders>
            <w:shd w:val="clear" w:color="auto" w:fill="CFF0FC"/>
          </w:tcPr>
          <w:p>
            <w:pPr>
              <w:spacing w:after="0" w:line="20" w:lineRule="exact"/>
              <w:rPr>
                <w:sz w:val="1"/>
                <w:szCs w:val="1"/>
                <w:color w:val="auto"/>
              </w:rPr>
            </w:pPr>
          </w:p>
        </w:tc>
        <w:tc>
          <w:tcPr>
            <w:tcW w:w="108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27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5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16. Form 10-K Summary</w:t>
            </w:r>
          </w:p>
        </w:tc>
        <w:tc>
          <w:tcPr>
            <w:tcW w:w="7100" w:type="dxa"/>
            <w:vAlign w:val="bottom"/>
            <w:gridSpan w:val="4"/>
          </w:tcPr>
          <w:p>
            <w:pPr>
              <w:spacing w:after="0"/>
              <w:rPr>
                <w:sz w:val="16"/>
                <w:szCs w:val="16"/>
                <w:color w:val="auto"/>
              </w:rPr>
            </w:pPr>
          </w:p>
        </w:tc>
        <w:tc>
          <w:tcPr>
            <w:tcW w:w="24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22</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40" w:type="dxa"/>
            <w:vAlign w:val="bottom"/>
            <w:gridSpan w:val="11"/>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40" w:type="dxa"/>
            <w:vAlign w:val="bottom"/>
            <w:gridSpan w:val="4"/>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0000FF"/>
            </w:tcBorders>
            <w:shd w:val="clear" w:color="auto" w:fill="CFF0FC"/>
          </w:tcPr>
          <w:p>
            <w:pPr>
              <w:spacing w:after="0" w:line="20" w:lineRule="exact"/>
              <w:rPr>
                <w:sz w:val="1"/>
                <w:szCs w:val="1"/>
                <w:color w:val="auto"/>
              </w:rPr>
            </w:pPr>
          </w:p>
        </w:tc>
        <w:tc>
          <w:tcPr>
            <w:tcW w:w="140" w:type="dxa"/>
            <w:vAlign w:val="bottom"/>
            <w:tcBorders>
              <w:top w:val="single" w:sz="8" w:color="0000FF"/>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CFF0FC"/>
            </w:tcBorders>
            <w:shd w:val="clear" w:color="auto" w:fill="CFF0FC"/>
          </w:tcPr>
          <w:p>
            <w:pPr>
              <w:spacing w:after="0" w:line="20" w:lineRule="exact"/>
              <w:rPr>
                <w:sz w:val="1"/>
                <w:szCs w:val="1"/>
                <w:color w:val="auto"/>
              </w:rPr>
            </w:pPr>
          </w:p>
        </w:tc>
        <w:tc>
          <w:tcPr>
            <w:tcW w:w="27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4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10. Directors, Executive Officers and Corporate Governance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each of the Company’s current directors and executive officers. The executive officers serve at the by appointment of the Board of Directors (the “Board”).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Age</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23"/>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C. “Chris” Loeffler, II</w:t>
            </w:r>
          </w:p>
        </w:tc>
        <w:tc>
          <w:tcPr>
            <w:tcW w:w="3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Borders>
              <w:top w:val="single" w:sz="8" w:color="CCEEFF"/>
            </w:tcBorders>
            <w:shd w:val="clear" w:color="auto" w:fill="CCEEFF"/>
          </w:tcPr>
          <w:p>
            <w:pPr>
              <w:spacing w:after="0"/>
              <w:rPr>
                <w:sz w:val="19"/>
                <w:szCs w:val="19"/>
                <w:color w:val="auto"/>
              </w:rPr>
            </w:pPr>
          </w:p>
        </w:tc>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Vice-Chairperson</w:t>
            </w:r>
          </w:p>
        </w:tc>
      </w:tr>
      <w:tr>
        <w:trPr>
          <w:trHeight w:val="230"/>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Gerber</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00" w:type="dxa"/>
            <w:vAlign w:val="bottom"/>
            <w:shd w:val="clear" w:color="auto" w:fill="CCEEFF"/>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Trzupek</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P. Hansen</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CEEFF"/>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Lawrence Taylor</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Jade Leung</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 Bade</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9"/>
                <w:szCs w:val="19"/>
                <w:color w:val="auto"/>
              </w:rPr>
            </w:pPr>
          </w:p>
        </w:tc>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230"/>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Ignacio Martinez</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9"/>
                <w:szCs w:val="19"/>
                <w:color w:val="auto"/>
              </w:rPr>
            </w:pPr>
          </w:p>
        </w:tc>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bl>
    <w:p>
      <w:pPr>
        <w:spacing w:after="0" w:line="30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Each of the Company’s executive officers and directors will hold office until their successors are duly elected and qualified. The background and principal occupations of each officer and director are as follows:</w:t>
      </w:r>
    </w:p>
    <w:p>
      <w:pPr>
        <w:spacing w:after="0" w:line="174"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John C. “Chris” Loeffler, II. </w:t>
      </w:r>
      <w:r>
        <w:rPr>
          <w:rFonts w:ascii="Times New Roman" w:cs="Times New Roman" w:eastAsia="Times New Roman" w:hAnsi="Times New Roman"/>
          <w:sz w:val="18"/>
          <w:szCs w:val="18"/>
          <w:color w:val="auto"/>
        </w:rPr>
        <w:t>Mr. Loeffler has served as the Chief Executive Officer and Chairman of Caliber’s Board of Directors since its inception.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Chief Executive Officer, Mr. Loeffler directs and executes the global strategy, oversees investments and fund management, and contributes to private and public capital formation. As a co-founder Mr. Loeffler took an early role in forming the Company’s financial and operational infrastructure and navigating the vertical integration of all real estate and investment services. Prior to forming Caliber, Mr. Loeffler was in the audit and assurance practice for PwC in Phoenix, Arizona, completing public company audits, developing control systems, and completing several acquisition or sale transactions. Mr. Loeffler earned a Bachelor of Science degree in Business Administration with a concentration in Accounting from California Polytechnic State University, San Luis Obispo. Mr. Loeffler also attended Universidad Complutense de Madrid (University of Madrid) in Madrid, Spain. In addition, Mr. Loeffler is a Board Director for Zennihome Holdings, Inc., a technology-forward manufacturer of stackable housing units. We believe that Mr. Loeffler’s extensive knowledge of Caliber’s business and his extensive corporate and leadership experience as a co- founder of Caliber and its Chief Executive Officer qualifies him to serve on our Board of Directors.</w:t>
      </w:r>
    </w:p>
    <w:p>
      <w:pPr>
        <w:spacing w:after="0" w:line="215"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Jennifer Schrader. </w:t>
      </w:r>
      <w:r>
        <w:rPr>
          <w:rFonts w:ascii="Times New Roman" w:cs="Times New Roman" w:eastAsia="Times New Roman" w:hAnsi="Times New Roman"/>
          <w:sz w:val="18"/>
          <w:szCs w:val="18"/>
          <w:color w:val="auto"/>
        </w:rPr>
        <w:t>Ms. Schrader has served as the President and Chief Operating Officer and as Vice-Chairperson and director of Caliber since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Since co-founding Caliber in 2009, Ms. Schrader has overseen the acquisition, design, repositioning, and disposition of over $600 million in assets to date. In addition, she leads the Company’s daily operations, inclusive of Caliber’s asset management activities, focusing on the execution of each investment’s business plan over the asset’s full lifecycle. Prior to forming Caliber, Ms. Schrader was the Managing Partner of First United Equites, LLC, a Michigan business focused on acquiring, renovating and selling homes for profit. Ms. Schrader serves as Chair of the Caliber Foundation, which was launched in 2021, and on the Colangelo College of Business Advisory Board for Grand Canyon University in Phoenix, Arizona. Ms. Schrader attended Lawrence Technological University in Michigan where she studied architecture and interior architecture. She holds a Real Estate Broker’s license from the Arizona School of Real Estate and Business. We believe that Ms. Schrader’s extensive knowledge of Caliber’s business and her extensive corporate and leadership experience as a co-founder of Caliber and its President qualifies her to serve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right="60" w:firstLine="324"/>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Michael Trzupek. </w:t>
      </w:r>
      <w:r>
        <w:rPr>
          <w:rFonts w:ascii="Times New Roman" w:cs="Times New Roman" w:eastAsia="Times New Roman" w:hAnsi="Times New Roman"/>
          <w:sz w:val="18"/>
          <w:szCs w:val="18"/>
          <w:color w:val="auto"/>
        </w:rPr>
        <w:t>Mr. Trzupek has been a member of the Board of Directors of the Company since May 2023. Mr. Trzupek has been a member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Board since May 2019. He is currently the Chief Financial Officer for Imagination Technologies a semiconductor and software design company based in the United Kingdom. From September 2020 to April 2022, Mr. Trzupek served as the Chief Financial Officer of Core Scientific, one of the largest digital asset mining infrastructure providers in North America. From February 2019 to June 2020, Mr. Trzupek served as the Chief Financial Officer of Premera Blue Cross, Washington’s leading health plan. Mr. Trzupek oversees accounting, financial planning and analysis, investment and treasury. Prior to joining Premera Blue Cross, Mr. Trzupek served as Group Vice President for Providence St. Joseph Health System, executing finance functions, strategic planning and budgeting, as well as the evaluation of affiliations, acquisitions and strategic investments. Prior to Providence St. Joseph Health System, he was a Corporate Finance General Manager at Microsoft, focused on business planning for the Company’s hardware products, including Xbox and Surface. Mr. Trzupek began his financial career at Intel. Mr. Trzupek received his Master of Business Administration from the University of Chicago. He is a member of the Board of Directors at the Seattle Aquarium, as well as a former Advisory Board member for eCapital Advisors. We believe that Mr. Trzupek’s extensive knowledge of Caliber’s business as a member of the Advisory Board of Caliber and his extensive corporate and leadership experience qualify him to serve on our Board of Directors.</w:t>
      </w:r>
    </w:p>
    <w:p>
      <w:pPr>
        <w:spacing w:after="0" w:line="217" w:lineRule="exact"/>
        <w:rPr>
          <w:sz w:val="20"/>
          <w:szCs w:val="20"/>
          <w:color w:val="auto"/>
        </w:rPr>
      </w:pPr>
    </w:p>
    <w:p>
      <w:pPr>
        <w:ind w:right="60"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Daniel P. Hansen. </w:t>
      </w:r>
      <w:r>
        <w:rPr>
          <w:rFonts w:ascii="Times New Roman" w:cs="Times New Roman" w:eastAsia="Times New Roman" w:hAnsi="Times New Roman"/>
          <w:sz w:val="18"/>
          <w:szCs w:val="18"/>
          <w:color w:val="auto"/>
        </w:rPr>
        <w:t>Mr. Hansen has been a member of the Board of Directors of the Company since May 2023. Mr. Hansen has been a member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Board since May 2022. Mr. Hansen is currently the Global Head of Hyatt Studios, Hyatt Hotels first extended stay upper-midscale brand in the Americas. He previously served as the Chairman, President and Chief Executive Officer of Summit Hotel Properties, Inc. (NYSE:INN) from that company’s initial public offering until his retirement in 2021. He served on the Board of the American Hotel &amp; Lodging Association (AHLA) and as a trustee of the AHLA Foundation and on advisory councils of multiple hotel brands. Mr. Hansen was recognized by Institutional Investor Magazine as a top small-cap executive in 2017, and in 2018, received the EY Entrepreneur of The Year Award in the Texas region. Prior to joining The Summit Group, Mr. Hansen spent 11 years with Merrill Lynch in various leadership positions culminating as a Vice President and Regional Sales Manager in the Texas Mid-South Region. Mr. Hansen graduated from South Dakota State University with a B.A. in Economics. We believe that Mr. Hansen’s extensive corporate and leadership experience qualify him to serve on our Board of Directors.</w:t>
      </w:r>
    </w:p>
    <w:p>
      <w:pPr>
        <w:spacing w:after="0" w:line="21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i w:val="1"/>
          <w:iCs w:val="1"/>
          <w:color w:val="auto"/>
        </w:rPr>
        <w:t>Lawrence Taylor</w:t>
      </w:r>
      <w:r>
        <w:rPr>
          <w:rFonts w:ascii="Times New Roman" w:cs="Times New Roman" w:eastAsia="Times New Roman" w:hAnsi="Times New Roman"/>
          <w:sz w:val="18"/>
          <w:szCs w:val="18"/>
          <w:color w:val="auto"/>
        </w:rPr>
        <w:t>. Mr. Taylor has been a member of the Board of Directors of the Company since August 2023. Mr. Taylor is President of Taylor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Strategy Group advising companies on finance, strategy, growth initiatives and related activities. His experience spans start-ups, private companies, and publicly traded companies across diverse industries, including casino gaming, hospitality, manufacturing, aviation, commercial real estate, retail, and healthcare. Previously, Mr. Taylor served as Partner and Managing Director at Odyssey Capital Group, Chief Financial Officer at Excorp Medical, Inc., Corporate Director of Investment Relations at Grand Casinos, Inc., and others. He is a Board Leadership Fellow of the National Association of Corporate Directors (NACD), is Directorship Certified by the NACD, and was recognized as a “Director to Watch” in 2020 by the Private Company Director Magazine. Mr. Taylor earned a bachelor’s degree in finance from Louisiana Tech University.</w:t>
      </w:r>
    </w:p>
    <w:p>
      <w:pPr>
        <w:spacing w:after="0" w:line="21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Jade Leung. </w:t>
      </w:r>
      <w:r>
        <w:rPr>
          <w:rFonts w:ascii="Times New Roman" w:cs="Times New Roman" w:eastAsia="Times New Roman" w:hAnsi="Times New Roman"/>
          <w:sz w:val="18"/>
          <w:szCs w:val="18"/>
          <w:color w:val="auto"/>
        </w:rPr>
        <w:t>Mr. Leung has served as Caliber’s Chief Financial Officer and corporate secretary since April 2017. As Chief Financial Officer,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Leung oversees all aspects of accounting and controllership, financial planning and analysis, tax, financial reporting, and treasury functions at Caliber. Before being named Chief Financial Officer, Mr. Leung served as Caliber’s Vice President of Finance and was responsible for managing and streamlining the Company’s accounting and compliance functions across all divisions and functions. In August 2016, he was also named the Chief Compliance Officer for the Company’s Arizona issuer-dealer, Caliber Securities, LLC, which established a new revenue stream for the Caliber group of companies. Prior to joining Caliber, Mr. Leung spent 12 years with PwC where he managed audit and accounting advisory services for some of PwC’s largest Fortune 500 companies in the United States, Canada, and Japan. Notably, Mr. Leung participated in over $1 billion of public market transactions and financing arrangements. Mr. Leung earned an accounting degree from Ryerson University and a Bachelor of Arts degree in Psychology from the University of British Columbia. Jade holds an active CPA license in the states of Arizona and Maine.</w:t>
      </w:r>
    </w:p>
    <w:p>
      <w:pPr>
        <w:spacing w:after="0" w:line="212"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Roy Bade. </w:t>
      </w:r>
      <w:r>
        <w:rPr>
          <w:rFonts w:ascii="Times New Roman" w:cs="Times New Roman" w:eastAsia="Times New Roman" w:hAnsi="Times New Roman"/>
          <w:sz w:val="18"/>
          <w:szCs w:val="18"/>
          <w:color w:val="auto"/>
        </w:rPr>
        <w:t>Mr. Bade has served as the Chief Development Officer of Caliber since November 2019. Roy is responsible for managing real estate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lines provided by Caliber’s vertically integrated group of operating businesses. His four areas of responsibility include vertical and horizontal real estate development, construction, acquisitions, and project financing. Mr. Bade joined Caliber in 2014 as Fund Manager and was quickly promoted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6" w:name="page7"/>
    <w:bookmarkEnd w:id="6"/>
    <w:p>
      <w:pPr>
        <w:jc w:val="both"/>
        <w:spacing w:after="0" w:line="241" w:lineRule="auto"/>
        <w:rPr>
          <w:sz w:val="20"/>
          <w:szCs w:val="20"/>
          <w:color w:val="auto"/>
        </w:rPr>
      </w:pPr>
      <w:r>
        <w:rPr>
          <w:rFonts w:ascii="Times New Roman" w:cs="Times New Roman" w:eastAsia="Times New Roman" w:hAnsi="Times New Roman"/>
          <w:sz w:val="18"/>
          <w:szCs w:val="18"/>
          <w:color w:val="auto"/>
        </w:rPr>
        <w:t>Executive Vice President and Fund Manager. He was responsible for maximizing returns on existing properties and managing Caliber’s development and construction activity. For nearly 30 years prior to joining Caliber, Mr. Bade acted as the principal and managing partner of two businesses, Bade Commercial Services Inc and BCS Development Group, LLC, which included the development, construction, and property management of commercial, retail and industrial properties throughout Phoenix, Arizona. During this time, Mr. Bade developed, constructed and owned over 750,000 square feet of property. Mr. Bade graduated from Washington State University with a Bachelor of Science in Business Information Systems, and holds a Commercial General Contractor’s license, and holds an Arizona Real Estate Broker’s license.</w:t>
      </w:r>
    </w:p>
    <w:p>
      <w:pPr>
        <w:spacing w:after="0" w:line="20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i w:val="1"/>
          <w:iCs w:val="1"/>
          <w:color w:val="auto"/>
        </w:rPr>
        <w:t xml:space="preserve">William J. Gerber. </w:t>
      </w:r>
      <w:r>
        <w:rPr>
          <w:rFonts w:ascii="Times New Roman" w:cs="Times New Roman" w:eastAsia="Times New Roman" w:hAnsi="Times New Roman"/>
          <w:sz w:val="18"/>
          <w:szCs w:val="18"/>
          <w:color w:val="auto"/>
        </w:rPr>
        <w:t>Mr. Gerber has been a member of the Board of Directors of the Company since May 2023. Mr. Gerber has been a member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Board since April 2019. Mr. Gerber has acted as a consultant since October 2015. From October 2006 to October 2015 Mr. Gerber served as Chief Financial Officer of TD Ameritrade Holding Corporation (Nasdaq: AMTD) (“TD Ameritrade”), a provider of securities brokerage services and related technology-based financial services to retail investors, traders and independent registered investment advisors, and has extensive financial experience. In May 2007, he was named Executive Vice President of TD Ameritrade. In his role as Chief Financial Officer, he oversaw investor relations, business development, certain treasury functions and finance operations, including accounting, business planning and forecasting, external and internal reporting, tax and competitive intelligence. From May 1999 until October 2006, he served as the Managing Director of Finance at TD Ameritrade, during which time he played a significant role in evaluating merger and acquisition opportunities. Prior to joining TD Ameritrade, he served as Vice President of Acceptance Insurance Companies, Inc., where he was responsible for all aspects of mergers and acquisitions, investment banking activity, banking relationships, investor communications and portfolio management. Prior to joining Acceptance, Mr. Gerber spent eight years with Coopers &amp; Lybrand, now known as PwC, serving as an audit manager primarily focusing on public company clients. Mr. Gerber was named to Institutional Investor Magazine’s All-America Executive Team as one of the top three CFOs in the Brokerage, Asset Managers and Exchanges category (2012 and 2013). He was also named a member of the CNBC CFO Council (2013 and 2014). Since January 2017, he has served on the Board of Directors of Northwestern Mutual Series Fund, a mutual fund company. He has also served on the Board of Directors of the U.S. holding company for the Royal Bank of Canada since July 2016 and Streck, Inc., a privately held company, since March 2015. In addition, he serves on the Boys Town National Board of Trustees. Mr. Gerber holds a B.B.A. in Accounting from the University of Michigan. Mr. Gerber holds a CPA license in the state of Michigan. We believe that Mr. Gerber’s extensive knowledge of Caliber’s business as a member of the Advisory Board of Caliber and his extensive corporate and leadership experience qualify him to serve on our Board of Directors.</w:t>
      </w:r>
    </w:p>
    <w:p>
      <w:pPr>
        <w:spacing w:after="0" w:line="213"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Ignacio Martinez. </w:t>
      </w:r>
      <w:r>
        <w:rPr>
          <w:rFonts w:ascii="Times New Roman" w:cs="Times New Roman" w:eastAsia="Times New Roman" w:hAnsi="Times New Roman"/>
          <w:sz w:val="18"/>
          <w:szCs w:val="18"/>
          <w:color w:val="auto"/>
        </w:rPr>
        <w:t>Mr. Martinez has served as the Chief Operating Officer of the Company since April 2024. Prior to serving as Chief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Mr. Martinez was the Senior Vice President of Operations since he joined the Company in June 2023. Prior to joining Caliber, Mr. Martinez had served as Senior Vice President of Security, Risk and Compliance for Smartsheet (NYSE: SMAR), an enterprise Software as a Service (SaaS) work management platform since July 2017, where he played a key role in helping to build and scale the business in preparation for its initial public offering. Mr. Martinez holds a degree in business from New Mexico State University.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Proceedings</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has been involved in any events enumerated under Item 401(f) of Regulation S-K during the past ten years that are material to an evaluation of the ability or integrity of such persons to be our directors or executive officers.</w:t>
      </w:r>
    </w:p>
    <w:p>
      <w:pPr>
        <w:spacing w:after="0" w:line="5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No material proceedings exist in which any of our directors or executive officers is an adverse party to the Company or any of its subsidiaries or has a material interest adverse to the Company or any of its subsidiaries.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4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consists of William J. Gerber, Daniel P. Hansen, and Michael Trzupek. Our Board of Directors has determined that each William J. Gerber, Daniel P. Hansen, and Michael Trzupek satisfies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 w:name="page8"/>
    <w:bookmarkEnd w:id="7"/>
    <w:p>
      <w:pPr>
        <w:jc w:val="both"/>
        <w:spacing w:after="0" w:line="245" w:lineRule="auto"/>
        <w:rPr>
          <w:sz w:val="20"/>
          <w:szCs w:val="20"/>
          <w:color w:val="auto"/>
        </w:rPr>
      </w:pPr>
      <w:r>
        <w:rPr>
          <w:rFonts w:ascii="Times New Roman" w:cs="Times New Roman" w:eastAsia="Times New Roman" w:hAnsi="Times New Roman"/>
          <w:sz w:val="18"/>
          <w:szCs w:val="18"/>
          <w:color w:val="auto"/>
        </w:rPr>
        <w:t>independence requirements under Nasdaq listing standards and Rule 10A-3(b)(1) of the Exchange Act. The chair of our audit committee is Mr. Trzupek,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Code of Ethics</w:t>
      </w:r>
    </w:p>
    <w:p>
      <w:pPr>
        <w:spacing w:after="0" w:line="243"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 xml:space="preserve">We have adopted a written code of conduct and code of ethics that applies to our directors, officers, and employees, including our principal executive officer, principal financial officer, principal accounting officer, or controller, or persons performing similar functions. Current copies of the codes are posted on the Corporate Governance section of our website, which are located at </w:t>
      </w:r>
      <w:r>
        <w:rPr>
          <w:rFonts w:ascii="Times New Roman" w:cs="Times New Roman" w:eastAsia="Times New Roman" w:hAnsi="Times New Roman"/>
          <w:sz w:val="18"/>
          <w:szCs w:val="18"/>
          <w:color w:val="0000FF"/>
        </w:rPr>
        <w:t>https://ir.caliberco.com/corporate-governance/governance-documents</w:t>
      </w:r>
      <w:r>
        <w:rPr>
          <w:rFonts w:ascii="Times New Roman" w:cs="Times New Roman" w:eastAsia="Times New Roman" w:hAnsi="Times New Roman"/>
          <w:sz w:val="18"/>
          <w:szCs w:val="18"/>
          <w:color w:val="auto"/>
        </w:rPr>
        <w:t>. If we make any substantive amendments to, or grant any waivers from, the code of conduct and code of ethics for any officer or director, we will disclose the nature of such amendment or waiver on our website or in a current report on Form 8-K.</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written request to our corporate secretary, we will provide you with a copy of our code of ethics, without cost.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43" w:lineRule="exact"/>
        <w:rPr>
          <w:sz w:val="20"/>
          <w:szCs w:val="20"/>
          <w:color w:val="auto"/>
        </w:rPr>
      </w:pPr>
    </w:p>
    <w:p>
      <w:pPr>
        <w:ind w:right="160" w:firstLine="324"/>
        <w:spacing w:after="0" w:line="242"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the persons who beneficially own more than ten percent of our Common Stock, to file reports of ownership and changes in ownership with the Securities and Exchange Commission. Copies of all filed reports are required to be furnished to us. Based solely on the reports received by us and on the representations of the reporting persons, we believe that our directors and executive officers complied with all applicable filing requirements during the fiscal year ended December 31, 2023, except that John C. Loeffler, II, Jennifer Schrader, Jade Leung, and Roy Bade each filed a late Form 4 on September 28, 2023, reporting a transaction on September 25, 2023.</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based solely on the reports received by us and on the representations of the reporting persons, we believe each greater than ten percent holder complied with all applicable filing requirements during the fiscal year ended December 31,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11. Executive Compensation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Named Executive Officers</w:t>
      </w:r>
    </w:p>
    <w:p>
      <w:pPr>
        <w:spacing w:after="0" w:line="22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The summary compensation table below shows certain compensation information for services rendered in all capacities for the fiscal years ended December 31, 2023 and 2022. Other than as set forth herein, no executive officer’s salary and bonus exceeded $100,000 in any of the applicable years. The following information includes the dollar value of base salaries, bonus awards, the number of stock options granted and certain other compensation, if any, whether paid or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8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Bonus</w:t>
            </w:r>
            <w:r>
              <w:rPr>
                <w:rFonts w:ascii="Times New Roman" w:cs="Times New Roman" w:eastAsia="Times New Roman" w:hAnsi="Times New Roman"/>
                <w:sz w:val="18"/>
                <w:szCs w:val="18"/>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3"/>
                <w:szCs w:val="13"/>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8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0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6"/>
              </w:rPr>
              <w:t>Awards</w:t>
            </w:r>
            <w:r>
              <w:rPr>
                <w:rFonts w:ascii="Times New Roman" w:cs="Times New Roman" w:eastAsia="Times New Roman" w:hAnsi="Times New Roman"/>
                <w:sz w:val="18"/>
                <w:szCs w:val="18"/>
                <w:b w:val="1"/>
                <w:bCs w:val="1"/>
                <w:color w:val="auto"/>
                <w:w w:val="96"/>
                <w:vertAlign w:val="superscript"/>
              </w:rPr>
              <w:t>(2)</w:t>
            </w:r>
            <w:r>
              <w:rPr>
                <w:rFonts w:ascii="Times New Roman" w:cs="Times New Roman" w:eastAsia="Times New Roman" w:hAnsi="Times New Roman"/>
                <w:sz w:val="14"/>
                <w:szCs w:val="14"/>
                <w:b w:val="1"/>
                <w:bCs w:val="1"/>
                <w:color w:val="auto"/>
                <w:w w:val="96"/>
              </w:rPr>
              <w:t xml:space="preserve"> ($)</w:t>
            </w:r>
          </w:p>
        </w:tc>
        <w:tc>
          <w:tcPr>
            <w:tcW w:w="98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44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Compensation</w:t>
            </w:r>
            <w:r>
              <w:rPr>
                <w:rFonts w:ascii="Times New Roman" w:cs="Times New Roman" w:eastAsia="Times New Roman" w:hAnsi="Times New Roman"/>
                <w:sz w:val="18"/>
                <w:szCs w:val="18"/>
                <w:b w:val="1"/>
                <w:bCs w:val="1"/>
                <w:color w:val="auto"/>
                <w:w w:val="99"/>
                <w:vertAlign w:val="superscript"/>
              </w:rPr>
              <w:t>(3)</w:t>
            </w:r>
            <w:r>
              <w:rPr>
                <w:rFonts w:ascii="Times New Roman" w:cs="Times New Roman" w:eastAsia="Times New Roman" w:hAnsi="Times New Roman"/>
                <w:sz w:val="14"/>
                <w:szCs w:val="14"/>
                <w:b w:val="1"/>
                <w:bCs w:val="1"/>
                <w:color w:val="auto"/>
                <w:w w:val="99"/>
              </w:rPr>
              <w:t xml:space="preserve"> ($)</w:t>
            </w: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C. “Chris” Loeffler, II</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42,500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397,493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958,018</w:t>
            </w:r>
          </w:p>
        </w:tc>
        <w:tc>
          <w:tcPr>
            <w:tcW w:w="0" w:type="dxa"/>
            <w:vAlign w:val="bottom"/>
          </w:tcPr>
          <w:p>
            <w:pPr>
              <w:spacing w:after="0"/>
              <w:rPr>
                <w:sz w:val="1"/>
                <w:szCs w:val="1"/>
                <w:color w:val="auto"/>
              </w:rPr>
            </w:pPr>
          </w:p>
        </w:tc>
      </w:tr>
      <w:tr>
        <w:trPr>
          <w:trHeight w:val="175"/>
        </w:trPr>
        <w:tc>
          <w:tcPr>
            <w:tcW w:w="23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Chief Executive Officer and</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of the Board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343,846</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522,631</w:t>
            </w: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899,893</w:t>
            </w:r>
          </w:p>
        </w:tc>
        <w:tc>
          <w:tcPr>
            <w:tcW w:w="0" w:type="dxa"/>
            <w:vAlign w:val="bottom"/>
          </w:tcPr>
          <w:p>
            <w:pPr>
              <w:spacing w:after="0"/>
              <w:rPr>
                <w:sz w:val="1"/>
                <w:szCs w:val="1"/>
                <w:color w:val="auto"/>
              </w:rPr>
            </w:pPr>
          </w:p>
        </w:tc>
      </w:tr>
      <w:tr>
        <w:trPr>
          <w:trHeight w:val="176"/>
        </w:trPr>
        <w:tc>
          <w:tcPr>
            <w:tcW w:w="238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President &amp; Chief Operating</w:t>
            </w: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Officer and Vice-Chairperson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334,616</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516,035</w:t>
            </w: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Jade Leung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219,175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913,785</w:t>
            </w:r>
          </w:p>
        </w:tc>
        <w:tc>
          <w:tcPr>
            <w:tcW w:w="0" w:type="dxa"/>
            <w:vAlign w:val="bottom"/>
          </w:tcPr>
          <w:p>
            <w:pPr>
              <w:spacing w:after="0"/>
              <w:rPr>
                <w:sz w:val="1"/>
                <w:szCs w:val="1"/>
                <w:color w:val="auto"/>
              </w:rPr>
            </w:pPr>
          </w:p>
        </w:tc>
      </w:tr>
      <w:tr>
        <w:trPr>
          <w:trHeight w:val="229"/>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301,923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165,852</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680,476</w:t>
            </w: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 Bade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315,344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1,031,093</w:t>
            </w:r>
          </w:p>
        </w:tc>
        <w:tc>
          <w:tcPr>
            <w:tcW w:w="0" w:type="dxa"/>
            <w:vAlign w:val="bottom"/>
          </w:tcPr>
          <w:p>
            <w:pPr>
              <w:spacing w:after="0"/>
              <w:rPr>
                <w:sz w:val="1"/>
                <w:szCs w:val="1"/>
                <w:color w:val="auto"/>
              </w:rPr>
            </w:pPr>
          </w:p>
        </w:tc>
      </w:tr>
      <w:tr>
        <w:trPr>
          <w:trHeight w:val="234"/>
        </w:trPr>
        <w:tc>
          <w:tcPr>
            <w:tcW w:w="2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Development Officer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311,539</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945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21"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cash bonus payments made in the respective year for performance.</w:t>
      </w:r>
    </w:p>
    <w:p>
      <w:pPr>
        <w:spacing w:after="0" w:line="15" w:lineRule="exact"/>
        <w:rPr>
          <w:rFonts w:ascii="Times New Roman" w:cs="Times New Roman" w:eastAsia="Times New Roman" w:hAnsi="Times New Roman"/>
          <w:sz w:val="18"/>
          <w:szCs w:val="18"/>
          <w:color w:val="auto"/>
        </w:rPr>
      </w:pPr>
    </w:p>
    <w:p>
      <w:pPr>
        <w:ind w:left="260" w:hanging="252"/>
        <w:spacing w:after="0" w:line="234"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restricted stock units awarded in the respective year for performance.</w:t>
      </w:r>
    </w:p>
    <w:p>
      <w:pPr>
        <w:ind w:right="240" w:firstLine="8"/>
        <w:spacing w:after="0" w:line="233"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employer 401(k) contributions. Mr. Loeffler’s other compensation includes $18,125 of loan guarantee fees.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Company entered into Executive Employment Agreement, dated January 1, 2019, with each of John C. Loeffler, Jennifer Schrader, Jade Leung and Roy Bade (each an “Executive”, and together the “Executives”). The Executive Employment Agreements (the “Employment Agreements”) provide for certain base salary and termination payments to the Executives as follows:</w:t>
      </w:r>
    </w:p>
    <w:p>
      <w:pPr>
        <w:spacing w:after="0" w:line="244"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Employment Agreements are for an indefinite term until the agreement is terminated. Mr. Loeffler’s annual base salary is $490,000 and his employment agreement provides for compensation of $2,083.33 per month for any and all leadership services rendered in any capacity (“Leadership Compensation”). Ms. Schrader’s annual base salary is $450,000 and her employment agreement provides for Leadership Compensation of $2,083.33 per month. Mr. Leung’s annual base salary is $375,000 and his employment agreement provides for Leadership Compensation of $2,083.33 per month. Mr. Bade’s annual base salary is $350,000 and his employment agreement provides for Leadership Compensation of $2,083.33 per month.</w:t>
      </w:r>
    </w:p>
    <w:p>
      <w:pPr>
        <w:spacing w:after="0" w:line="21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the termination of the employment of an Executive under the circumstances described below, the Company will pay to Executive in accordance with its regular payroll practices the following compensation and provide the following benefits:</w:t>
      </w:r>
    </w:p>
    <w:p>
      <w:pPr>
        <w:spacing w:after="0" w:line="212" w:lineRule="exact"/>
        <w:rPr>
          <w:sz w:val="20"/>
          <w:szCs w:val="20"/>
          <w:color w:val="auto"/>
        </w:rPr>
      </w:pPr>
    </w:p>
    <w:p>
      <w:pPr>
        <w:jc w:val="both"/>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Death; Disability. </w:t>
      </w:r>
      <w:r>
        <w:rPr>
          <w:rFonts w:ascii="Times New Roman" w:cs="Times New Roman" w:eastAsia="Times New Roman" w:hAnsi="Times New Roman"/>
          <w:sz w:val="18"/>
          <w:szCs w:val="18"/>
          <w:color w:val="auto"/>
        </w:rPr>
        <w:t>In the event that an Executive's employment is terminated by reason of an Executive's death or disability, an Executive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his/her estate, as the case may be, shall be entitled to the following payments: (i) payment of an Executive’s Base Salary plus Leadership Compensation; (ii) any pro rata Bonus earned by an Executive; and (iii) payment of amounts and benefits available under the employee benefit plans.</w:t>
      </w:r>
    </w:p>
    <w:p>
      <w:pPr>
        <w:spacing w:after="0" w:line="5" w:lineRule="exact"/>
        <w:rPr>
          <w:rFonts w:ascii="Arial" w:cs="Arial" w:eastAsia="Arial" w:hAnsi="Arial"/>
          <w:sz w:val="22"/>
          <w:szCs w:val="22"/>
          <w:color w:val="auto"/>
        </w:rPr>
      </w:pPr>
    </w:p>
    <w:p>
      <w:pPr>
        <w:ind w:left="660" w:right="320" w:hanging="328"/>
        <w:spacing w:after="0" w:line="249"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Termination by the Company for Cause. </w:t>
      </w:r>
      <w:r>
        <w:rPr>
          <w:rFonts w:ascii="Times New Roman" w:cs="Times New Roman" w:eastAsia="Times New Roman" w:hAnsi="Times New Roman"/>
          <w:sz w:val="18"/>
          <w:szCs w:val="18"/>
          <w:color w:val="auto"/>
        </w:rPr>
        <w:t>In the event that an Executive's employment is terminated by the Company for cause, an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be entitled to compensation, pro rata Bonus or other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7" w:right="339" w:bottom="1440" w:gutter="0" w:footer="0" w:header="0"/>
        </w:sectPr>
      </w:pPr>
    </w:p>
    <w:bookmarkStart w:id="9" w:name="page10"/>
    <w:bookmarkEnd w:id="9"/>
    <w:p>
      <w:pPr>
        <w:spacing w:after="0" w:line="1" w:lineRule="exact"/>
        <w:rPr>
          <w:sz w:val="20"/>
          <w:szCs w:val="20"/>
          <w:color w:val="auto"/>
        </w:rPr>
      </w:pPr>
    </w:p>
    <w:p>
      <w:pPr>
        <w:ind w:left="660" w:right="20" w:hanging="328"/>
        <w:spacing w:after="0" w:line="249" w:lineRule="auto"/>
        <w:tabs>
          <w:tab w:leader="none" w:pos="65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7"/>
          <w:szCs w:val="17"/>
          <w:b w:val="1"/>
          <w:bCs w:val="1"/>
          <w:color w:val="auto"/>
        </w:rPr>
        <w:t xml:space="preserve">Termination by the Company Without Cause. </w:t>
      </w:r>
      <w:r>
        <w:rPr>
          <w:rFonts w:ascii="Times New Roman" w:cs="Times New Roman" w:eastAsia="Times New Roman" w:hAnsi="Times New Roman"/>
          <w:sz w:val="17"/>
          <w:szCs w:val="17"/>
          <w:color w:val="auto"/>
        </w:rPr>
        <w:t>In the event that an Executive's employment is terminated by the Company without cause,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Executive will be entitled to receive their Base Salary, any pro rata Bonus and any expenses earned or incurred through the date of termination. An Executive will be entitled to receive a severance payment of their current Base Salary plus Leadership Compensation for twelve (12) or thirty-six</w:t>
      </w:r>
    </w:p>
    <w:p>
      <w:pPr>
        <w:spacing w:after="0" w:line="2" w:lineRule="exact"/>
        <w:rPr>
          <w:rFonts w:ascii="Arial" w:cs="Arial" w:eastAsia="Arial" w:hAnsi="Arial"/>
          <w:sz w:val="21"/>
          <w:szCs w:val="21"/>
          <w:color w:val="auto"/>
        </w:rPr>
      </w:pPr>
    </w:p>
    <w:p>
      <w:pPr>
        <w:ind w:left="1000" w:hanging="344"/>
        <w:spacing w:after="0"/>
        <w:tabs>
          <w:tab w:leader="none" w:pos="10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depending on the Executive</w:t>
      </w:r>
    </w:p>
    <w:p>
      <w:pPr>
        <w:spacing w:after="0" w:line="7"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Voluntary Resignation by Executive for Good Reason. </w:t>
      </w:r>
      <w:r>
        <w:rPr>
          <w:rFonts w:ascii="Times New Roman" w:cs="Times New Roman" w:eastAsia="Times New Roman" w:hAnsi="Times New Roman"/>
          <w:sz w:val="18"/>
          <w:szCs w:val="18"/>
          <w:color w:val="auto"/>
        </w:rPr>
        <w:t>In the event of an Executive's resignation for Good Reason, an Executive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receive their Base Salary plus Leadership Compensation, any pro rata Bonus and any expenses earned or incurred through the date of termination. An Executive will be entitled to receive a severance payment of their current Base Salary plus Leadership Compensation for twelve</w:t>
      </w:r>
    </w:p>
    <w:p>
      <w:pPr>
        <w:ind w:left="1000" w:hanging="344"/>
        <w:spacing w:after="0"/>
        <w:tabs>
          <w:tab w:leader="none" w:pos="10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thirty-six (36) months, depending on the Executive.</w:t>
      </w:r>
    </w:p>
    <w:p>
      <w:pPr>
        <w:spacing w:after="0" w:line="12" w:lineRule="exact"/>
        <w:rPr>
          <w:rFonts w:ascii="Times New Roman" w:cs="Times New Roman" w:eastAsia="Times New Roman" w:hAnsi="Times New Roman"/>
          <w:sz w:val="18"/>
          <w:szCs w:val="18"/>
          <w:color w:val="auto"/>
        </w:rPr>
      </w:pPr>
    </w:p>
    <w:p>
      <w:pPr>
        <w:ind w:left="660" w:right="60" w:hanging="328"/>
        <w:spacing w:after="0" w:line="237"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Resignation. </w:t>
      </w:r>
      <w:r>
        <w:rPr>
          <w:rFonts w:ascii="Times New Roman" w:cs="Times New Roman" w:eastAsia="Times New Roman" w:hAnsi="Times New Roman"/>
          <w:sz w:val="18"/>
          <w:szCs w:val="18"/>
          <w:color w:val="auto"/>
        </w:rPr>
        <w:t>In the event an Executive resigns from the Company regardless of circumstances or reason, the Executive shall be entitled to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the Base Salary plus Leadership Compensation and Bonus earned by him through the effective date of his resignation</w:t>
      </w:r>
    </w:p>
    <w:p>
      <w:pPr>
        <w:spacing w:after="0" w:line="211"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In September 2022, Caliber adopted new compensation arrangements for its Named Executive Officers; these arrangements are in the process of being reduced to formal agreements which will replace existing agreements in place with such officers. Other than as set forth below, each of the formal agreements will contain identical terms and conditions. The agreements will (i) provide for at-will employment, (ii) provide an auto allowance equal to $19,500 per year, (iii) provide for severance equal to 12 months of salary upon termination without cause or voluntary resignation for good reason and (iv) require that the Named Executive Officer shall devote substantially all of his/her time and attention to the performance of his/her duties and responsibilities for and on behalf of Caliber except as may be consented to by Caliber.</w:t>
      </w:r>
    </w:p>
    <w:p>
      <w:pPr>
        <w:spacing w:after="0" w:line="21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Company entered into an Employment Agreement, dated May 25, 2023, with Ignacio Martinez. The Employment Agreement is for an indefinite term until the agreement is terminated. Mr. Martinez’s annual base salary is $325,000. He is eligible to receive an annual bonus based on performance of up to 125% of his base compensation and long-term incentives via the Company’s 2017 Incentive Stock Plan.</w:t>
      </w: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agreed to compensation arrangements with each of our Named Executive Officers: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Maximum Bonus</w:t>
            </w:r>
          </w:p>
        </w:tc>
        <w:tc>
          <w:tcPr>
            <w:tcW w:w="160" w:type="dxa"/>
            <w:vAlign w:val="bottom"/>
          </w:tcPr>
          <w:p>
            <w:pPr>
              <w:spacing w:after="0"/>
              <w:rPr>
                <w:sz w:val="18"/>
                <w:szCs w:val="18"/>
                <w:color w:val="auto"/>
              </w:rPr>
            </w:pPr>
          </w:p>
        </w:tc>
        <w:tc>
          <w:tcPr>
            <w:tcW w:w="13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8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Long Term</w:t>
            </w:r>
          </w:p>
        </w:tc>
        <w:tc>
          <w:tcPr>
            <w:tcW w:w="120" w:type="dxa"/>
            <w:vAlign w:val="bottom"/>
          </w:tcPr>
          <w:p>
            <w:pPr>
              <w:spacing w:after="0"/>
              <w:rPr>
                <w:sz w:val="18"/>
                <w:szCs w:val="18"/>
                <w:color w:val="auto"/>
              </w:rPr>
            </w:pPr>
          </w:p>
        </w:tc>
        <w:tc>
          <w:tcPr>
            <w:tcW w:w="16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Total Compensation</w:t>
            </w: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15"/>
                <w:szCs w:val="15"/>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Base Salary ($)</w:t>
            </w:r>
          </w:p>
        </w:tc>
        <w:tc>
          <w:tcPr>
            <w:tcW w:w="168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as a Percentage of</w:t>
            </w:r>
          </w:p>
        </w:tc>
        <w:tc>
          <w:tcPr>
            <w:tcW w:w="1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520" w:type="dxa"/>
            <w:vAlign w:val="bottom"/>
            <w:gridSpan w:val="3"/>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Incentive (LTI)</w:t>
            </w:r>
          </w:p>
        </w:tc>
        <w:tc>
          <w:tcPr>
            <w:tcW w:w="1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Base Salary ($)</w:t>
            </w:r>
          </w:p>
        </w:tc>
        <w:tc>
          <w:tcPr>
            <w:tcW w:w="160" w:type="dxa"/>
            <w:vAlign w:val="bottom"/>
          </w:tcPr>
          <w:p>
            <w:pPr>
              <w:spacing w:after="0"/>
              <w:rPr>
                <w:sz w:val="21"/>
                <w:szCs w:val="21"/>
                <w:color w:val="auto"/>
              </w:rPr>
            </w:pPr>
          </w:p>
        </w:tc>
        <w:tc>
          <w:tcPr>
            <w:tcW w:w="136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18"/>
                <w:szCs w:val="18"/>
                <w:b w:val="1"/>
                <w:bCs w:val="1"/>
                <w:color w:val="auto"/>
                <w:w w:val="93"/>
              </w:rPr>
              <w:t xml:space="preserve">Bonus ($) </w:t>
            </w:r>
            <w:r>
              <w:rPr>
                <w:rFonts w:ascii="Times New Roman" w:cs="Times New Roman" w:eastAsia="Times New Roman" w:hAnsi="Times New Roman"/>
                <w:sz w:val="23"/>
                <w:szCs w:val="23"/>
                <w:b w:val="1"/>
                <w:bCs w:val="1"/>
                <w:color w:val="auto"/>
                <w:w w:val="93"/>
                <w:vertAlign w:val="superscript"/>
              </w:rPr>
              <w:t>(1)</w:t>
            </w:r>
          </w:p>
        </w:tc>
        <w:tc>
          <w:tcPr>
            <w:tcW w:w="180" w:type="dxa"/>
            <w:vAlign w:val="bottom"/>
          </w:tcPr>
          <w:p>
            <w:pPr>
              <w:spacing w:after="0"/>
              <w:rPr>
                <w:sz w:val="21"/>
                <w:szCs w:val="21"/>
                <w:color w:val="auto"/>
              </w:rPr>
            </w:pPr>
          </w:p>
        </w:tc>
        <w:tc>
          <w:tcPr>
            <w:tcW w:w="1160" w:type="dxa"/>
            <w:vAlign w:val="bottom"/>
          </w:tcPr>
          <w:p>
            <w:pPr>
              <w:jc w:val="center"/>
              <w:ind w:right="96"/>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 xml:space="preserve"> (2)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Potential ($)</w:t>
            </w:r>
          </w:p>
        </w:tc>
        <w:tc>
          <w:tcPr>
            <w:tcW w:w="0" w:type="dxa"/>
            <w:vAlign w:val="bottom"/>
          </w:tcPr>
          <w:p>
            <w:pPr>
              <w:spacing w:after="0"/>
              <w:rPr>
                <w:sz w:val="1"/>
                <w:szCs w:val="1"/>
                <w:color w:val="auto"/>
              </w:rPr>
            </w:pPr>
          </w:p>
        </w:tc>
      </w:tr>
      <w:tr>
        <w:trPr>
          <w:trHeight w:val="223"/>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C. “Chris” Loeffler, II</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490,000</w:t>
            </w:r>
          </w:p>
        </w:tc>
        <w:tc>
          <w:tcPr>
            <w:tcW w:w="1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980,000</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1,920,000</w:t>
            </w:r>
          </w:p>
        </w:tc>
        <w:tc>
          <w:tcPr>
            <w:tcW w:w="0" w:type="dxa"/>
            <w:vAlign w:val="bottom"/>
          </w:tcPr>
          <w:p>
            <w:pPr>
              <w:spacing w:after="0"/>
              <w:rPr>
                <w:sz w:val="1"/>
                <w:szCs w:val="1"/>
                <w:color w:val="auto"/>
              </w:rPr>
            </w:pPr>
          </w:p>
        </w:tc>
      </w:tr>
      <w:tr>
        <w:trPr>
          <w:trHeight w:val="22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Schrader</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1,575,000</w:t>
            </w: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Jade Leung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0" w:type="dxa"/>
            <w:vAlign w:val="bottom"/>
          </w:tcPr>
          <w:p>
            <w:pPr>
              <w:spacing w:after="0"/>
              <w:rPr>
                <w:sz w:val="1"/>
                <w:szCs w:val="1"/>
                <w:color w:val="auto"/>
              </w:rPr>
            </w:pPr>
          </w:p>
        </w:tc>
      </w:tr>
      <w:tr>
        <w:trPr>
          <w:trHeight w:val="234"/>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 Bade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745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67" w:lineRule="exact"/>
        <w:rPr>
          <w:sz w:val="20"/>
          <w:szCs w:val="20"/>
          <w:color w:val="auto"/>
        </w:rPr>
      </w:pPr>
    </w:p>
    <w:p>
      <w:pPr>
        <w:ind w:right="380" w:firstLine="8"/>
        <w:spacing w:after="0" w:line="24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are discretionary, will be dependent on both individual and company performance and will be issued following the close of each year. The amounts listed in the Bonus $ are target totals assuming the Named Executive Officer achieves his/her designated goals and expected outcomes in the annual plan.</w:t>
      </w:r>
    </w:p>
    <w:p>
      <w:pPr>
        <w:spacing w:after="0" w:line="1" w:lineRule="exact"/>
        <w:rPr>
          <w:rFonts w:ascii="Times New Roman" w:cs="Times New Roman" w:eastAsia="Times New Roman" w:hAnsi="Times New Roman"/>
          <w:sz w:val="18"/>
          <w:szCs w:val="18"/>
          <w:color w:val="auto"/>
        </w:rPr>
      </w:pPr>
    </w:p>
    <w:p>
      <w:pPr>
        <w:ind w:right="180" w:firstLine="8"/>
        <w:spacing w:after="0" w:line="239"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LTI will be payable in the form of RSU's from the 2017 Incentive Stock Plan and are subject to vesting further to the provisions of the Plan. The calculation of total shares to issue for the year will be completed annually as of the first business day each year and the corresponding share price average for the preceding 20 trading days, or as otherwise agreed upon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Other than the employment arrangements described above, we have not entered into any arrangements providing for payments or benefits in connection with the resignation, severance, retirement or other termination of any of our named executive officers, changes in their compensation or a change in control.</w:t>
      </w:r>
    </w:p>
    <w:p>
      <w:pPr>
        <w:spacing w:after="0" w:line="20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general, Caliber's pay philosophy with respect to its Named Executive Officers is to target at or about the market median of peer group companies for a Named Executive Officer's total compensation, with actual compensation varying based on performance and tenure.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Caliber makes such compensation decisions for the Named Executive Officers based on:</w:t>
      </w:r>
    </w:p>
    <w:p>
      <w:pPr>
        <w:spacing w:after="0" w:line="293" w:lineRule="exact"/>
        <w:rPr>
          <w:sz w:val="20"/>
          <w:szCs w:val="20"/>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strategic and human resources objectives;</w:t>
      </w:r>
    </w:p>
    <w:p>
      <w:pPr>
        <w:spacing w:after="0" w:line="36"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data for peer group companies and for a broader group of asset management firms;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individual performance on key initiatives;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performance compared to our competitors;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of outside executive compensation consultants and that of our Advisory Board; and</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elements of compensation contribute to and interrelate to total compensation.</w:t>
      </w:r>
    </w:p>
    <w:p>
      <w:pPr>
        <w:spacing w:after="0" w:line="23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The peer group of companies was compiled by an unaffiliated compensation consultant's study. The compensation consultant recommends an appropriate peer group of public, similarly sized, asset management companies, considering the Company's and the competitors' strategy, mix of business and size, as measured primarily by annual revenues, market capitalization and total assets. These companies are the major competitors in one or more of the Company's businesses, but none represent the exact business mix of the Company. Caliber strives to target compensation for the Named Executive Officers at the median of the compensation of the named executive officers at the peer group companies.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Employment Agreements, and the employment arrangements approved in 2022, provide for severance benefits upon a termination of employment under certain circumstances. For a discussion regarding the benefits see “</w:t>
      </w:r>
      <w:r>
        <w:rPr>
          <w:rFonts w:ascii="Times New Roman" w:cs="Times New Roman" w:eastAsia="Times New Roman" w:hAnsi="Times New Roman"/>
          <w:sz w:val="18"/>
          <w:szCs w:val="18"/>
          <w:i w:val="1"/>
          <w:iCs w:val="1"/>
          <w:color w:val="auto"/>
        </w:rPr>
        <w:t>Employment Agreement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 Table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1"/>
                <w:szCs w:val="11"/>
                <w:color w:val="auto"/>
              </w:rPr>
            </w:pPr>
          </w:p>
        </w:tc>
        <w:tc>
          <w:tcPr>
            <w:tcW w:w="86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6"/>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1"/>
                <w:szCs w:val="11"/>
                <w:color w:val="auto"/>
              </w:rPr>
            </w:pPr>
          </w:p>
        </w:tc>
        <w:tc>
          <w:tcPr>
            <w:tcW w:w="860" w:type="dxa"/>
            <w:vAlign w:val="bottom"/>
          </w:tcPr>
          <w:p>
            <w:pPr>
              <w:jc w:val="center"/>
              <w:ind w:right="28"/>
              <w:spacing w:after="0" w:line="135"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 w:type="dxa"/>
            <w:vAlign w:val="bottom"/>
          </w:tcPr>
          <w:p>
            <w:pPr>
              <w:spacing w:after="0"/>
              <w:rPr>
                <w:sz w:val="12"/>
                <w:szCs w:val="12"/>
                <w:color w:val="auto"/>
              </w:rPr>
            </w:pPr>
          </w:p>
        </w:tc>
        <w:tc>
          <w:tcPr>
            <w:tcW w:w="86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0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80" w:type="dxa"/>
            <w:vAlign w:val="bottom"/>
          </w:tcPr>
          <w:p>
            <w:pPr>
              <w:spacing w:after="0"/>
              <w:rPr>
                <w:sz w:val="12"/>
                <w:szCs w:val="12"/>
                <w:color w:val="auto"/>
              </w:rPr>
            </w:pPr>
          </w:p>
        </w:tc>
        <w:tc>
          <w:tcPr>
            <w:tcW w:w="8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80" w:type="dxa"/>
            <w:vAlign w:val="bottom"/>
          </w:tcPr>
          <w:p>
            <w:pPr>
              <w:spacing w:after="0"/>
              <w:rPr>
                <w:sz w:val="12"/>
                <w:szCs w:val="12"/>
                <w:color w:val="auto"/>
              </w:rPr>
            </w:pPr>
          </w:p>
        </w:tc>
        <w:tc>
          <w:tcPr>
            <w:tcW w:w="8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35"/>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1"/>
                <w:szCs w:val="11"/>
                <w:color w:val="auto"/>
              </w:rPr>
            </w:pPr>
          </w:p>
        </w:tc>
        <w:tc>
          <w:tcPr>
            <w:tcW w:w="12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4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60" w:type="dxa"/>
            <w:vAlign w:val="bottom"/>
            <w:gridSpan w:val="2"/>
            <w:vMerge w:val="continue"/>
          </w:tcPr>
          <w:p>
            <w:pPr>
              <w:spacing w:after="0"/>
              <w:rPr>
                <w:sz w:val="11"/>
                <w:szCs w:val="11"/>
                <w:color w:val="auto"/>
              </w:rPr>
            </w:pPr>
          </w:p>
        </w:tc>
        <w:tc>
          <w:tcPr>
            <w:tcW w:w="10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1"/>
                <w:szCs w:val="11"/>
                <w:color w:val="auto"/>
              </w:rPr>
            </w:pPr>
          </w:p>
        </w:tc>
        <w:tc>
          <w:tcPr>
            <w:tcW w:w="860" w:type="dxa"/>
            <w:vAlign w:val="bottom"/>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98"/>
        </w:trPr>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John C. “Chris”</w:t>
            </w:r>
          </w:p>
        </w:tc>
        <w:tc>
          <w:tcPr>
            <w:tcW w:w="10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301,131</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388,459</w:t>
            </w:r>
          </w:p>
        </w:tc>
        <w:tc>
          <w:tcPr>
            <w:tcW w:w="1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Loeffler, II</w:t>
            </w:r>
          </w:p>
        </w:tc>
        <w:tc>
          <w:tcPr>
            <w:tcW w:w="1200" w:type="dxa"/>
            <w:vAlign w:val="bottom"/>
            <w:gridSpan w:val="2"/>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Jennifer Schrader</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N/A</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N/A</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301,131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388,459</w:t>
            </w:r>
          </w:p>
        </w:tc>
        <w:tc>
          <w:tcPr>
            <w:tcW w:w="100" w:type="dxa"/>
            <w:vAlign w:val="bottom"/>
          </w:tcPr>
          <w:p>
            <w:pPr>
              <w:spacing w:after="0"/>
              <w:rPr>
                <w:sz w:val="16"/>
                <w:szCs w:val="16"/>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Jade Leung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386,436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330,150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59,452</w:t>
            </w:r>
          </w:p>
        </w:tc>
        <w:tc>
          <w:tcPr>
            <w:tcW w:w="100" w:type="dxa"/>
            <w:vAlign w:val="bottom"/>
          </w:tcPr>
          <w:p>
            <w:pPr>
              <w:spacing w:after="0"/>
              <w:rPr>
                <w:sz w:val="16"/>
                <w:szCs w:val="16"/>
                <w:color w:val="auto"/>
              </w:rPr>
            </w:pPr>
          </w:p>
        </w:tc>
        <w:tc>
          <w:tcPr>
            <w:tcW w:w="1220" w:type="dxa"/>
            <w:vAlign w:val="bottom"/>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12/31/2029</w:t>
            </w:r>
          </w:p>
        </w:tc>
        <w:tc>
          <w:tcPr>
            <w:tcW w:w="10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Roy Bade</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445,888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1/1/2026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368,830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43"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Board adopted a clawback policy (the “Clawback Policy”) effective as of May 15, 2023. The Clawback Policy, which is administered by the Compensation Committee of the Board of Directors, applies to current and former executive officers of the Company (each an “Covered Person”). In the event the Company is required to prepare an accounting restatement of its financial results as a result of a material noncompliance by the Company with any financial reporting requirement under the federal securities laws, the Company will have the right to use reasonable efforts to recover from any Covered Person who received incentive compensation (whether cash or equity) from the Company during the three-year period preceding the date on which the Company was required to prepare the accounting restatement, any excess incentive compensation awarded as a result of the misstatement. As of December 31, 2023, there have been no Restatements that would require recovery of erroneously awarded compensation under the Clawback Policy.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compensation paid to or earned by each non-employee director of the Company during fiscal year December 31,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Fees Earned or Paid in</w:t>
            </w:r>
          </w:p>
        </w:tc>
        <w:tc>
          <w:tcPr>
            <w:tcW w:w="160" w:type="dxa"/>
            <w:vAlign w:val="bottom"/>
          </w:tcPr>
          <w:p>
            <w:pPr>
              <w:spacing w:after="0"/>
              <w:rPr>
                <w:sz w:val="17"/>
                <w:szCs w:val="17"/>
                <w:color w:val="auto"/>
              </w:rPr>
            </w:pPr>
          </w:p>
        </w:tc>
        <w:tc>
          <w:tcPr>
            <w:tcW w:w="1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Option Awards ($)</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Stock Awards ($)</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43"/>
        </w:trPr>
        <w:tc>
          <w:tcPr>
            <w:tcW w:w="3280" w:type="dxa"/>
            <w:vAlign w:val="bottom"/>
            <w:gridSpan w:val="2"/>
            <w:vMerge w:val="continue"/>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2"/>
          </w:tcPr>
          <w:p>
            <w:pPr>
              <w:jc w:val="center"/>
              <w:ind w:right="500"/>
              <w:spacing w:after="0" w:line="243" w:lineRule="exact"/>
              <w:rPr>
                <w:sz w:val="20"/>
                <w:szCs w:val="20"/>
                <w:color w:val="auto"/>
              </w:rPr>
            </w:pPr>
            <w:r>
              <w:rPr>
                <w:rFonts w:ascii="Times New Roman" w:cs="Times New Roman" w:eastAsia="Times New Roman" w:hAnsi="Times New Roman"/>
                <w:sz w:val="18"/>
                <w:szCs w:val="18"/>
                <w:b w:val="1"/>
                <w:bCs w:val="1"/>
                <w:color w:val="auto"/>
                <w:w w:val="94"/>
              </w:rPr>
              <w:t>Cash ($)</w:t>
            </w:r>
            <w:r>
              <w:rPr>
                <w:rFonts w:ascii="Times New Roman" w:cs="Times New Roman" w:eastAsia="Times New Roman" w:hAnsi="Times New Roman"/>
                <w:sz w:val="23"/>
                <w:szCs w:val="23"/>
                <w:b w:val="1"/>
                <w:bCs w:val="1"/>
                <w:color w:val="auto"/>
                <w:w w:val="94"/>
                <w:vertAlign w:val="superscript"/>
              </w:rPr>
              <w:t>(1)</w:t>
            </w:r>
          </w:p>
        </w:tc>
        <w:tc>
          <w:tcPr>
            <w:tcW w:w="160" w:type="dxa"/>
            <w:vAlign w:val="bottom"/>
          </w:tcPr>
          <w:p>
            <w:pPr>
              <w:spacing w:after="0"/>
              <w:rPr>
                <w:sz w:val="21"/>
                <w:szCs w:val="21"/>
                <w:color w:val="auto"/>
              </w:rPr>
            </w:pPr>
          </w:p>
        </w:tc>
        <w:tc>
          <w:tcPr>
            <w:tcW w:w="1860" w:type="dxa"/>
            <w:vAlign w:val="bottom"/>
            <w:gridSpan w:val="2"/>
            <w:vMerge w:val="continue"/>
          </w:tcPr>
          <w:p>
            <w:pPr>
              <w:spacing w:after="0"/>
              <w:rPr>
                <w:sz w:val="21"/>
                <w:szCs w:val="21"/>
                <w:color w:val="auto"/>
              </w:rPr>
            </w:pPr>
          </w:p>
        </w:tc>
        <w:tc>
          <w:tcPr>
            <w:tcW w:w="16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J. Gerber</w:t>
            </w:r>
          </w:p>
        </w:tc>
        <w:tc>
          <w:tcPr>
            <w:tcW w:w="1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0" w:type="dxa"/>
            <w:vAlign w:val="bottom"/>
          </w:tcPr>
          <w:p>
            <w:pPr>
              <w:spacing w:after="0"/>
              <w:rPr>
                <w:sz w:val="1"/>
                <w:szCs w:val="1"/>
                <w:color w:val="auto"/>
              </w:rPr>
            </w:pPr>
          </w:p>
        </w:tc>
      </w:tr>
      <w:tr>
        <w:trPr>
          <w:trHeight w:val="229"/>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Trzupek</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P. Hansen</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0" w:type="dxa"/>
            <w:vAlign w:val="bottom"/>
          </w:tcPr>
          <w:p>
            <w:pPr>
              <w:spacing w:after="0"/>
              <w:rPr>
                <w:sz w:val="1"/>
                <w:szCs w:val="1"/>
                <w:color w:val="auto"/>
              </w:rPr>
            </w:pP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Lawrence Taylor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74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67" w:lineRule="exact"/>
        <w:rPr>
          <w:sz w:val="20"/>
          <w:szCs w:val="20"/>
          <w:color w:val="auto"/>
        </w:rPr>
      </w:pPr>
    </w:p>
    <w:p>
      <w:pPr>
        <w:ind w:right="260" w:firstLine="8"/>
        <w:spacing w:after="0" w:line="266"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listed in this column represent the retainer paid to each director for their service on the board and any committees on which they served during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non-employee director compensation is comprised of cash compensation. Further, we reimburse all of our non-employee directors for their reasonable expenses incurred in attending meetings of our Board and committees of the Board.</w:t>
      </w:r>
    </w:p>
    <w:p>
      <w:pPr>
        <w:spacing w:after="0" w:line="5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Board believes that a significant portion of director compensation should align director interests with the long-term interests of stockholders. The Board makes changes in its director compensation practices only upon the recommendation of the Compensation Committee, and discussion and approval by the Board.</w:t>
      </w:r>
    </w:p>
    <w:p>
      <w:pPr>
        <w:spacing w:after="0" w:line="6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Our Board, following the Compensation Committee’s recommendation, has approved the compensation of our non-employee directors, as described below. The Compensation Committee believes that our non-employee director compensation remains aligned with director compensation practices at our peer companies while considering the ongoing cash constraints of the Company.</w:t>
      </w:r>
    </w:p>
    <w:p>
      <w:pPr>
        <w:spacing w:after="0" w:line="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2023, our non-employee director annual compensation consisted of $62,500 in cash.</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w:t>
      </w:r>
      <w:r>
        <w:rPr>
          <w:rFonts w:ascii="Times New Roman" w:cs="Times New Roman" w:eastAsia="Times New Roman" w:hAnsi="Times New Roman"/>
          <w:sz w:val="18"/>
          <w:szCs w:val="18"/>
          <w:b w:val="1"/>
          <w:bCs w:val="1"/>
          <w:color w:val="1D1C1D"/>
        </w:rPr>
        <w:t>and Management and Related Stockholder Matters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April 29, 2024 by:</w:t>
      </w:r>
    </w:p>
    <w:p>
      <w:pPr>
        <w:spacing w:after="0" w:line="50" w:lineRule="exact"/>
        <w:rPr>
          <w:sz w:val="20"/>
          <w:szCs w:val="20"/>
          <w:color w:val="auto"/>
        </w:rPr>
      </w:pPr>
    </w:p>
    <w:p>
      <w:pPr>
        <w:ind w:left="660" w:hanging="24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4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2" w:name="page13"/>
    <w:bookmarkEnd w:id="12"/>
    <w:p>
      <w:pPr>
        <w:spacing w:after="0" w:line="18" w:lineRule="exact"/>
        <w:rPr>
          <w:sz w:val="20"/>
          <w:szCs w:val="20"/>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 and</w:t>
      </w:r>
    </w:p>
    <w:p>
      <w:pPr>
        <w:spacing w:after="0" w:line="49" w:lineRule="exact"/>
        <w:rPr>
          <w:rFonts w:ascii="Times New Roman" w:cs="Times New Roman" w:eastAsia="Times New Roman" w:hAnsi="Times New Roman"/>
          <w:sz w:val="18"/>
          <w:szCs w:val="18"/>
          <w:color w:val="auto"/>
        </w:rPr>
      </w:pPr>
    </w:p>
    <w:p>
      <w:pPr>
        <w:ind w:left="660" w:right="140" w:hanging="247"/>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known by us to own beneficially more than 5% of our Class A common stock and Class B common stock (by number or by voting power)</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204"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Applicable percentage ownership is based on 14,422,200 shares of Class A Common Stock and 7,416,414 shares of Class B Common Stock outstanding at April 29, 2024. In computing the number of shares beneficially owned by a person and the percentage ownership of such person, we deemed to be outstanding all shares subject to options held by the person that are currently exercisable and all shares subject to options and stock awards held by the person that will be exercisable or vest based on service-based vesting conditions within 60 days of April 29, 2024. However, except as described above, we did not deem such shares outstanding for the purpose of computing the percentage ownership of any other person.</w:t>
      </w:r>
    </w:p>
    <w:p>
      <w:pPr>
        <w:spacing w:after="0" w:line="211"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CaliberCos Inc. 8901 E. Mountain View Rd., Ste 150, Scottsdale, Arizona 85258.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w w:val="98"/>
              </w:rPr>
              <w:t>Shares Beneficially Owned</w:t>
            </w:r>
            <w:r>
              <w:rPr>
                <w:rFonts w:ascii="Times New Roman" w:cs="Times New Roman" w:eastAsia="Times New Roman" w:hAnsi="Times New Roman"/>
                <w:sz w:val="23"/>
                <w:szCs w:val="23"/>
                <w:b w:val="1"/>
                <w:bCs w:val="1"/>
                <w:color w:val="auto"/>
                <w:w w:val="98"/>
                <w:vertAlign w:val="superscript"/>
              </w:rPr>
              <w:t>(1)</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98"/>
        </w:trPr>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50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100" w:type="dxa"/>
            <w:vAlign w:val="bottom"/>
          </w:tcPr>
          <w:p>
            <w:pPr>
              <w:spacing w:after="0"/>
              <w:rPr>
                <w:sz w:val="24"/>
                <w:szCs w:val="24"/>
                <w:color w:val="auto"/>
              </w:rPr>
            </w:pPr>
          </w:p>
        </w:tc>
        <w:tc>
          <w:tcPr>
            <w:tcW w:w="1320" w:type="dxa"/>
            <w:vAlign w:val="bottom"/>
            <w:vMerge w:val="restart"/>
          </w:tcPr>
          <w:p>
            <w:pPr>
              <w:jc w:val="right"/>
              <w:ind w:right="9"/>
              <w:spacing w:after="0"/>
              <w:rPr>
                <w:sz w:val="20"/>
                <w:szCs w:val="20"/>
                <w:color w:val="auto"/>
              </w:rPr>
            </w:pPr>
            <w:r>
              <w:rPr>
                <w:rFonts w:ascii="Times New Roman" w:cs="Times New Roman" w:eastAsia="Times New Roman" w:hAnsi="Times New Roman"/>
                <w:sz w:val="18"/>
                <w:szCs w:val="18"/>
                <w:b w:val="1"/>
                <w:bCs w:val="1"/>
                <w:color w:val="auto"/>
              </w:rPr>
              <w:t>% Total Voting</w:t>
            </w:r>
          </w:p>
        </w:tc>
        <w:tc>
          <w:tcPr>
            <w:tcW w:w="0" w:type="dxa"/>
            <w:vAlign w:val="bottom"/>
          </w:tcPr>
          <w:p>
            <w:pPr>
              <w:spacing w:after="0"/>
              <w:rPr>
                <w:sz w:val="1"/>
                <w:szCs w:val="1"/>
                <w:color w:val="auto"/>
              </w:rPr>
            </w:pPr>
          </w:p>
        </w:tc>
      </w:tr>
      <w:tr>
        <w:trPr>
          <w:trHeight w:val="48"/>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40" w:type="dxa"/>
            <w:vAlign w:val="bottom"/>
            <w:tcBorders>
              <w:top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4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4"/>
                <w:szCs w:val="4"/>
                <w:color w:val="auto"/>
              </w:rPr>
            </w:pPr>
          </w:p>
        </w:tc>
        <w:tc>
          <w:tcPr>
            <w:tcW w:w="1800" w:type="dxa"/>
            <w:vAlign w:val="bottom"/>
            <w:tcBorders>
              <w:top w:val="single" w:sz="8" w:color="auto"/>
            </w:tcBorders>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60" w:type="dxa"/>
            <w:vAlign w:val="bottom"/>
            <w:gridSpan w:val="2"/>
            <w:vMerge w:val="continue"/>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3"/>
            <w:vMerge w:val="continue"/>
          </w:tcPr>
          <w:p>
            <w:pPr>
              <w:spacing w:after="0"/>
              <w:rPr>
                <w:sz w:val="21"/>
                <w:szCs w:val="21"/>
                <w:color w:val="auto"/>
              </w:rPr>
            </w:pPr>
          </w:p>
        </w:tc>
        <w:tc>
          <w:tcPr>
            <w:tcW w:w="7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209"/>
              <w:spacing w:after="0" w:line="243" w:lineRule="exact"/>
              <w:rPr>
                <w:sz w:val="20"/>
                <w:szCs w:val="20"/>
                <w:color w:val="auto"/>
              </w:rPr>
            </w:pPr>
            <w:r>
              <w:rPr>
                <w:rFonts w:ascii="Times New Roman" w:cs="Times New Roman" w:eastAsia="Times New Roman" w:hAnsi="Times New Roman"/>
                <w:sz w:val="28"/>
                <w:szCs w:val="28"/>
                <w:b w:val="1"/>
                <w:bCs w:val="1"/>
                <w:color w:val="auto"/>
                <w:vertAlign w:val="subscript"/>
              </w:rPr>
              <w:t>Power</w:t>
            </w:r>
            <w:r>
              <w:rPr>
                <w:rFonts w:ascii="Times New Roman" w:cs="Times New Roman" w:eastAsia="Times New Roman" w:hAnsi="Times New Roman"/>
                <w:sz w:val="11"/>
                <w:szCs w:val="11"/>
                <w:b w:val="1"/>
                <w:bCs w:val="1"/>
                <w:color w:val="auto"/>
              </w:rPr>
              <w:t>(2)(3)</w:t>
            </w: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Jennifer Schrader</w:t>
            </w:r>
            <w:r>
              <w:rPr>
                <w:rFonts w:ascii="Times New Roman" w:cs="Times New Roman" w:eastAsia="Times New Roman" w:hAnsi="Times New Roman"/>
                <w:sz w:val="23"/>
                <w:szCs w:val="23"/>
                <w:color w:val="auto"/>
                <w:vertAlign w:val="superscript"/>
              </w:rPr>
              <w:t>(4)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3,709,693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John C. Loeffler, II</w:t>
            </w:r>
            <w:r>
              <w:rPr>
                <w:rFonts w:ascii="Times New Roman" w:cs="Times New Roman" w:eastAsia="Times New Roman" w:hAnsi="Times New Roman"/>
                <w:sz w:val="23"/>
                <w:szCs w:val="23"/>
                <w:color w:val="auto"/>
                <w:vertAlign w:val="superscript"/>
              </w:rPr>
              <w:t>(5)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3,706,721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0" w:type="dxa"/>
            <w:vAlign w:val="bottom"/>
          </w:tcPr>
          <w:p>
            <w:pPr>
              <w:spacing w:after="0"/>
              <w:rPr>
                <w:sz w:val="1"/>
                <w:szCs w:val="1"/>
                <w:color w:val="auto"/>
              </w:rPr>
            </w:pPr>
          </w:p>
        </w:tc>
      </w:tr>
      <w:tr>
        <w:trPr>
          <w:trHeight w:val="229"/>
        </w:trPr>
        <w:tc>
          <w:tcPr>
            <w:tcW w:w="47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Roy Bade</w:t>
            </w:r>
            <w:r>
              <w:rPr>
                <w:rFonts w:ascii="Times New Roman" w:cs="Times New Roman" w:eastAsia="Times New Roman" w:hAnsi="Times New Roman"/>
                <w:sz w:val="23"/>
                <w:szCs w:val="23"/>
                <w:color w:val="auto"/>
                <w:vertAlign w:val="superscript"/>
              </w:rPr>
              <w:t>(6)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626,851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tcPr>
          <w:p>
            <w:pPr>
              <w:spacing w:after="0"/>
              <w:rPr>
                <w:sz w:val="19"/>
                <w:szCs w:val="19"/>
                <w:color w:val="auto"/>
              </w:rPr>
            </w:pPr>
          </w:p>
        </w:tc>
        <w:tc>
          <w:tcPr>
            <w:tcW w:w="18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Jade Leung</w:t>
            </w:r>
            <w:r>
              <w:rPr>
                <w:rFonts w:ascii="Times New Roman" w:cs="Times New Roman" w:eastAsia="Times New Roman" w:hAnsi="Times New Roman"/>
                <w:sz w:val="23"/>
                <w:szCs w:val="23"/>
                <w:color w:val="auto"/>
                <w:vertAlign w:val="superscript"/>
              </w:rPr>
              <w:t>(7)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668,498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William Gerber</w:t>
            </w:r>
            <w:r>
              <w:rPr>
                <w:rFonts w:ascii="Times New Roman" w:cs="Times New Roman" w:eastAsia="Times New Roman" w:hAnsi="Times New Roman"/>
                <w:sz w:val="23"/>
                <w:szCs w:val="23"/>
                <w:color w:val="auto"/>
                <w:vertAlign w:val="superscript"/>
              </w:rPr>
              <w:t>(8)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Trzupek</w:t>
            </w:r>
            <w:r>
              <w:rPr>
                <w:rFonts w:ascii="Times New Roman" w:cs="Times New Roman" w:eastAsia="Times New Roman" w:hAnsi="Times New Roman"/>
                <w:sz w:val="23"/>
                <w:szCs w:val="23"/>
                <w:color w:val="auto"/>
                <w:vertAlign w:val="superscript"/>
              </w:rPr>
              <w:t>(9)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Daniel P. Hansen</w:t>
            </w:r>
            <w:r>
              <w:rPr>
                <w:rFonts w:ascii="Times New Roman" w:cs="Times New Roman" w:eastAsia="Times New Roman" w:hAnsi="Times New Roman"/>
                <w:sz w:val="23"/>
                <w:szCs w:val="23"/>
                <w:color w:val="auto"/>
                <w:vertAlign w:val="superscript"/>
              </w:rPr>
              <w:t>(10)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73,875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Lawrence Taylor</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Ignacio Martinez</w:t>
            </w:r>
            <w:r>
              <w:rPr>
                <w:rFonts w:ascii="Times New Roman" w:cs="Times New Roman" w:eastAsia="Times New Roman" w:hAnsi="Times New Roman"/>
                <w:sz w:val="23"/>
                <w:szCs w:val="23"/>
                <w:color w:val="auto"/>
                <w:vertAlign w:val="superscript"/>
              </w:rPr>
              <w:t>(11)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 %</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7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Directors, Director Nominees and Executive Officers as a</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6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Group (9 Persons)</w:t>
            </w:r>
            <w:r>
              <w:rPr>
                <w:rFonts w:ascii="Times New Roman" w:cs="Times New Roman" w:eastAsia="Times New Roman" w:hAnsi="Times New Roman"/>
                <w:sz w:val="23"/>
                <w:szCs w:val="23"/>
                <w:b w:val="1"/>
                <w:bCs w:val="1"/>
                <w:color w:val="auto"/>
                <w:vertAlign w:val="superscript"/>
              </w:rPr>
              <w:t>(12)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1,777,975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7,416,414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84.7 %</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 Beneficial Owners: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Donnie R. Schrader</w:t>
            </w:r>
            <w:r>
              <w:rPr>
                <w:rFonts w:ascii="Times New Roman" w:cs="Times New Roman" w:eastAsia="Times New Roman" w:hAnsi="Times New Roman"/>
                <w:sz w:val="23"/>
                <w:szCs w:val="23"/>
                <w:color w:val="auto"/>
                <w:vertAlign w:val="superscript"/>
              </w:rPr>
              <w:t>(13)</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3,390,736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8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*Indicates ownership of less than 1%</w:t>
      </w:r>
    </w:p>
    <w:p>
      <w:pPr>
        <w:ind w:left="340" w:right="60" w:hanging="332"/>
        <w:spacing w:after="0" w:line="234" w:lineRule="auto"/>
        <w:tabs>
          <w:tab w:leader="none" w:pos="2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computing the number of shares of common stock beneficially owned by a person and the percentage of beneficial ownership of that person, shares of common stock underlying restricted stock units or options held by that person that are convertible or exercisable, as the case may be, within 60 days of the April 29, 2024 are included. Those shares, however, are not deemed outstanding for the purpose of computing the percentage ownership of any other person.</w:t>
      </w:r>
    </w:p>
    <w:p>
      <w:pPr>
        <w:spacing w:after="0" w:line="2" w:lineRule="exact"/>
        <w:rPr>
          <w:rFonts w:ascii="Times New Roman" w:cs="Times New Roman" w:eastAsia="Times New Roman" w:hAnsi="Times New Roman"/>
          <w:sz w:val="18"/>
          <w:szCs w:val="18"/>
          <w:color w:val="auto"/>
        </w:rPr>
      </w:pPr>
    </w:p>
    <w:p>
      <w:pPr>
        <w:ind w:left="340" w:right="40" w:hanging="332"/>
        <w:spacing w:after="0" w:line="234" w:lineRule="auto"/>
        <w:tabs>
          <w:tab w:leader="none" w:pos="2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(i) the conversion of Class B common stock to Class A common stock, (ii) the conversion of convertible debt securities into Class A common stock or (iii) the vesting of any issued and outstanding stock options or restricted stock units outstanding as of the date hereof and excludes shares of Class A common stock reserved for future grant or issuance under our 2017 Plan. None of the named executive officers and directors or Donnie Schrader beneficially own any convertible debt securities. In addition, no holder of convertible debt would become a beneficial owner of 5% or more of the Company’s Class A common stock should any such holder convert all convertible debt held by such holder within 60 days of April 29, 2024.</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47" w:lineRule="auto"/>
        <w:tabs>
          <w:tab w:leader="none" w:pos="2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 The Class B common stock is convertible at any time by the holder into shares of Class A common stock on a share-for-share basis.</w:t>
      </w:r>
    </w:p>
    <w:p>
      <w:pPr>
        <w:spacing w:after="0" w:line="3" w:lineRule="exact"/>
        <w:rPr>
          <w:rFonts w:ascii="Times New Roman" w:cs="Times New Roman" w:eastAsia="Times New Roman" w:hAnsi="Times New Roman"/>
          <w:sz w:val="18"/>
          <w:szCs w:val="18"/>
          <w:color w:val="auto"/>
        </w:rPr>
      </w:pPr>
    </w:p>
    <w:p>
      <w:pPr>
        <w:ind w:left="340" w:right="140" w:hanging="332"/>
        <w:spacing w:after="0" w:line="234" w:lineRule="auto"/>
        <w:tabs>
          <w:tab w:leader="none" w:pos="2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94,103 fully vested restricted stock units (“RSUs”) and 12,547 RSUs vesting within 60 days of April 29, 2024, which represent a contingent right to receive Class A common stock upon vesting. Class A common stock does not include Class A shares held by Jennifer Schrader’s spouse Donnie Schrader. Ms. Schrader disclaims beneficial ownership of all shares held by Donnie Schrader, except to the extent of her pecuniary interest, if any, therein. See also footnote 13.</w:t>
      </w:r>
    </w:p>
    <w:p>
      <w:pPr>
        <w:spacing w:after="0" w:line="2" w:lineRule="exact"/>
        <w:rPr>
          <w:rFonts w:ascii="Times New Roman" w:cs="Times New Roman" w:eastAsia="Times New Roman" w:hAnsi="Times New Roman"/>
          <w:sz w:val="18"/>
          <w:szCs w:val="18"/>
          <w:color w:val="auto"/>
        </w:rPr>
      </w:pPr>
    </w:p>
    <w:p>
      <w:pPr>
        <w:ind w:left="340" w:right="120" w:hanging="332"/>
        <w:spacing w:after="0" w:line="234" w:lineRule="auto"/>
        <w:tabs>
          <w:tab w:leader="none" w:pos="2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16,000 shares of Class A common stock, 94,103 fully vested RSUs, and 12,547 RSUs vesting within 60 days of April 29, 2024, which represent a contingent right to receive Class A common stock upon vesting. Class B common stock Includes 1,778,989 shares held in The C LO 2021 Irrevocable Trust under agreement of which Mr. Loeffler is trustee.</w:t>
      </w:r>
    </w:p>
    <w:p>
      <w:pPr>
        <w:spacing w:after="0" w:line="2" w:lineRule="exact"/>
        <w:rPr>
          <w:rFonts w:ascii="Times New Roman" w:cs="Times New Roman" w:eastAsia="Times New Roman" w:hAnsi="Times New Roman"/>
          <w:sz w:val="18"/>
          <w:szCs w:val="18"/>
          <w:color w:val="auto"/>
        </w:rPr>
      </w:pPr>
    </w:p>
    <w:p>
      <w:pPr>
        <w:ind w:left="340" w:right="200" w:hanging="332"/>
        <w:spacing w:after="0" w:line="229" w:lineRule="auto"/>
        <w:tabs>
          <w:tab w:leader="none" w:pos="2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445,888 fully vested and exercisable stock options, 98,102 fully vested RSUs, 12,199 RSUs vesting within 60 days of April 29, 2024, which represent a contingent right to receive Class A common stock upon vesting, and 70,662 shares of Class A common stock held by Wave Investments LLC of which Mr. Bade is the sole manager.</w:t>
      </w:r>
    </w:p>
    <w:p>
      <w:pPr>
        <w:spacing w:after="0" w:line="1" w:lineRule="exact"/>
        <w:rPr>
          <w:rFonts w:ascii="Times New Roman" w:cs="Times New Roman" w:eastAsia="Times New Roman" w:hAnsi="Times New Roman"/>
          <w:sz w:val="18"/>
          <w:szCs w:val="18"/>
          <w:color w:val="auto"/>
        </w:rPr>
      </w:pPr>
    </w:p>
    <w:p>
      <w:pPr>
        <w:ind w:left="340" w:right="320" w:hanging="332"/>
        <w:spacing w:after="0" w:line="234" w:lineRule="auto"/>
        <w:tabs>
          <w:tab w:leader="none" w:pos="2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445,888 fully vested and exercisable stock options, 211,543 fully vested RSUs, and 11,067 RSUs vesting within 60 days of April 29, 2024, which represent a contingent right to receive Class A common stock upon vesting.</w:t>
      </w:r>
    </w:p>
    <w:p>
      <w:pPr>
        <w:spacing w:after="0" w:line="1" w:lineRule="exact"/>
        <w:rPr>
          <w:rFonts w:ascii="Times New Roman" w:cs="Times New Roman" w:eastAsia="Times New Roman" w:hAnsi="Times New Roman"/>
          <w:sz w:val="18"/>
          <w:szCs w:val="18"/>
          <w:color w:val="auto"/>
        </w:rPr>
      </w:pPr>
    </w:p>
    <w:p>
      <w:pPr>
        <w:ind w:left="260" w:hanging="252"/>
        <w:spacing w:after="0" w:line="234"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13,006 shares of Class A common stock and 29,726 fully vested and exercisable stock options.</w:t>
      </w:r>
    </w:p>
    <w:p>
      <w:pPr>
        <w:ind w:left="260" w:hanging="252"/>
        <w:spacing w:after="0" w:line="234"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fully vested and exercisable stock options.</w:t>
      </w:r>
    </w:p>
    <w:p>
      <w:pPr>
        <w:ind w:left="360" w:hanging="352"/>
        <w:spacing w:after="0" w:line="234"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59,012 shares of Class A common stock and 14,863 fully vested and exercisable stock options.</w:t>
      </w:r>
    </w:p>
    <w:p>
      <w:pPr>
        <w:ind w:left="340" w:right="460" w:hanging="332"/>
        <w:spacing w:after="0" w:line="234" w:lineRule="auto"/>
        <w:tabs>
          <w:tab w:leader="none" w:pos="3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39,258 fully vested RSUs, 30,235 RSUs vesting within 60 days of April 29, 2024, which represent a contingent right to receive Class A common stock upon vesting, and 37,500 stock options exercisable within 60 days of April 29, 2024.</w:t>
      </w:r>
    </w:p>
    <w:p>
      <w:pPr>
        <w:spacing w:after="0" w:line="1" w:lineRule="exact"/>
        <w:rPr>
          <w:rFonts w:ascii="Times New Roman" w:cs="Times New Roman" w:eastAsia="Times New Roman" w:hAnsi="Times New Roman"/>
          <w:sz w:val="18"/>
          <w:szCs w:val="18"/>
          <w:color w:val="auto"/>
        </w:rPr>
      </w:pPr>
    </w:p>
    <w:p>
      <w:pPr>
        <w:ind w:left="340" w:right="220" w:hanging="332"/>
        <w:spacing w:after="0" w:line="234" w:lineRule="auto"/>
        <w:tabs>
          <w:tab w:leader="none" w:pos="3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996,326 fully vested stock options and options exercisable within 60 days of April 29, 2024 and 85,860 vesting within 60 days of April 29, 2024.</w:t>
      </w:r>
    </w:p>
    <w:p>
      <w:pPr>
        <w:spacing w:after="0" w:line="1" w:lineRule="exact"/>
        <w:rPr>
          <w:rFonts w:ascii="Times New Roman" w:cs="Times New Roman" w:eastAsia="Times New Roman" w:hAnsi="Times New Roman"/>
          <w:sz w:val="18"/>
          <w:szCs w:val="18"/>
          <w:color w:val="auto"/>
        </w:rPr>
      </w:pPr>
    </w:p>
    <w:p>
      <w:pPr>
        <w:ind w:left="340" w:right="380" w:hanging="332"/>
        <w:spacing w:after="0" w:line="234" w:lineRule="auto"/>
        <w:tabs>
          <w:tab w:leader="none" w:pos="3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known to the Company and Mr. Schrader’s Form 3 filed May 15, 2023. Does not include Class A common stock or Class B common stock held by Donnie Schrader’s spouse Jennifer Schrader. Mr. Schrader disclaims beneficial ownership of all shares held by Jennifer Schrader, except to the extent of his pecuniary interest, if any, therein.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2017 Incentive Stock Plan</w:t>
      </w:r>
    </w:p>
    <w:p>
      <w:pPr>
        <w:spacing w:after="0" w:line="24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We have adopted a 2017 Incentive Stock Plan (the “2017 Plan”). An aggregate of 5.0 million shares of our Class A common stock is reserved for issuance and available for awards under the 2017 Plan, including incentive stock options granted under the 2017 Plan. In December 2021, the 2017 Plan was amended and restated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 w:name="page15"/>
    <w:bookmarkEnd w:id="14"/>
    <w:p>
      <w:pPr>
        <w:jc w:val="both"/>
        <w:spacing w:after="0" w:line="245" w:lineRule="auto"/>
        <w:rPr>
          <w:sz w:val="20"/>
          <w:szCs w:val="20"/>
          <w:color w:val="auto"/>
        </w:rPr>
      </w:pPr>
      <w:r>
        <w:rPr>
          <w:rFonts w:ascii="Times New Roman" w:cs="Times New Roman" w:eastAsia="Times New Roman" w:hAnsi="Times New Roman"/>
          <w:sz w:val="18"/>
          <w:szCs w:val="18"/>
          <w:color w:val="auto"/>
        </w:rPr>
        <w:t>the number of shares of our common stock reserved for issuance to 10.0 million aggregate shares. The 2017 Plan administrator may grant awards to any employee, director, consultant or other person providing services to us or our affiliates. As of December 31, 2023 and 2022, options representing 2,285,601 and 2,003,088 shares, respectively, have been awarded and are outstanding under the 2017 Plan. As of December 31, 2022 and 2021, restricted stock units representing 2,386,786 and 396,955 shares have been awarded and are outstanding under the 2017 Plan,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chart reflects the number of securities granted under equity compensation plans approved and not approved by stockholders and the weighted average exercise price for such plans as of December 31, 2023.</w:t>
      </w:r>
    </w:p>
    <w:p>
      <w:pPr>
        <w:sectPr>
          <w:pgSz w:w="11900" w:h="16838" w:orient="portrait"/>
          <w:cols w:equalWidth="0" w:num="1">
            <w:col w:w="11240"/>
          </w:cols>
          <w:pgMar w:left="320" w:top="1404" w:right="339" w:bottom="1440" w:gutter="0" w:footer="0" w:header="0"/>
        </w:sect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3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 Number of securities to</w:t>
            </w:r>
          </w:p>
        </w:tc>
        <w:tc>
          <w:tcPr>
            <w:tcW w:w="220" w:type="dxa"/>
            <w:vAlign w:val="bottom"/>
          </w:tcPr>
          <w:p>
            <w:pPr>
              <w:spacing w:after="0"/>
              <w:rPr>
                <w:sz w:val="20"/>
                <w:szCs w:val="20"/>
                <w:color w:val="auto"/>
              </w:rPr>
            </w:pPr>
          </w:p>
        </w:tc>
        <w:tc>
          <w:tcPr>
            <w:tcW w:w="2020" w:type="dxa"/>
            <w:vAlign w:val="bottom"/>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rPr>
              <w:t>(b) Weighted-average</w:t>
            </w:r>
          </w:p>
        </w:tc>
        <w:tc>
          <w:tcPr>
            <w:tcW w:w="0" w:type="dxa"/>
            <w:vAlign w:val="bottom"/>
          </w:tcPr>
          <w:p>
            <w:pPr>
              <w:spacing w:after="0"/>
              <w:rPr>
                <w:sz w:val="1"/>
                <w:szCs w:val="1"/>
                <w:color w:val="auto"/>
              </w:rPr>
            </w:pPr>
          </w:p>
        </w:tc>
      </w:tr>
      <w:tr>
        <w:trPr>
          <w:trHeight w:val="189"/>
        </w:trPr>
        <w:tc>
          <w:tcPr>
            <w:tcW w:w="3360" w:type="dxa"/>
            <w:vAlign w:val="bottom"/>
          </w:tcPr>
          <w:p>
            <w:pPr>
              <w:spacing w:after="0"/>
              <w:rPr>
                <w:sz w:val="16"/>
                <w:szCs w:val="16"/>
                <w:color w:val="auto"/>
              </w:rPr>
            </w:pPr>
          </w:p>
        </w:tc>
        <w:tc>
          <w:tcPr>
            <w:tcW w:w="2300" w:type="dxa"/>
            <w:vAlign w:val="bottom"/>
          </w:tcPr>
          <w:p>
            <w:pPr>
              <w:jc w:val="center"/>
              <w:ind w:lef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be issued upon exercise of</w:t>
            </w:r>
          </w:p>
        </w:tc>
        <w:tc>
          <w:tcPr>
            <w:tcW w:w="224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w w:val="98"/>
              </w:rPr>
              <w:t>exercise price of outstanding</w:t>
            </w:r>
          </w:p>
        </w:tc>
        <w:tc>
          <w:tcPr>
            <w:tcW w:w="0" w:type="dxa"/>
            <w:vAlign w:val="bottom"/>
          </w:tcPr>
          <w:p>
            <w:pPr>
              <w:spacing w:after="0"/>
              <w:rPr>
                <w:sz w:val="1"/>
                <w:szCs w:val="1"/>
                <w:color w:val="auto"/>
              </w:rPr>
            </w:pPr>
          </w:p>
        </w:tc>
      </w:tr>
      <w:tr>
        <w:trPr>
          <w:trHeight w:val="175"/>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30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24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options, warrants and rights</w:t>
            </w:r>
          </w:p>
        </w:tc>
        <w:tc>
          <w:tcPr>
            <w:tcW w:w="0" w:type="dxa"/>
            <w:vAlign w:val="bottom"/>
          </w:tcPr>
          <w:p>
            <w:pPr>
              <w:spacing w:after="0"/>
              <w:rPr>
                <w:sz w:val="1"/>
                <w:szCs w:val="1"/>
                <w:color w:val="auto"/>
              </w:rPr>
            </w:pPr>
          </w:p>
        </w:tc>
      </w:tr>
      <w:tr>
        <w:trPr>
          <w:trHeight w:val="171"/>
        </w:trPr>
        <w:tc>
          <w:tcPr>
            <w:tcW w:w="3360" w:type="dxa"/>
            <w:vAlign w:val="bottom"/>
            <w:vMerge w:val="continue"/>
          </w:tcPr>
          <w:p>
            <w:pPr>
              <w:spacing w:after="0"/>
              <w:rPr>
                <w:sz w:val="14"/>
                <w:szCs w:val="14"/>
                <w:color w:val="auto"/>
              </w:rPr>
            </w:pPr>
          </w:p>
        </w:tc>
        <w:tc>
          <w:tcPr>
            <w:tcW w:w="2300" w:type="dxa"/>
            <w:vAlign w:val="bottom"/>
          </w:tcPr>
          <w:p>
            <w:pPr>
              <w:jc w:val="center"/>
              <w:ind w:left="10"/>
              <w:spacing w:after="0" w:line="170"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20" w:type="dxa"/>
            <w:vAlign w:val="bottom"/>
          </w:tcPr>
          <w:p>
            <w:pPr>
              <w:spacing w:after="0"/>
              <w:rPr>
                <w:sz w:val="14"/>
                <w:szCs w:val="14"/>
                <w:color w:val="auto"/>
              </w:rPr>
            </w:pPr>
          </w:p>
        </w:tc>
        <w:tc>
          <w:tcPr>
            <w:tcW w:w="2020" w:type="dxa"/>
            <w:vAlign w:val="bottom"/>
          </w:tcPr>
          <w:p>
            <w:pPr>
              <w:jc w:val="right"/>
              <w:ind w:right="936"/>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86"/>
        </w:trPr>
        <w:tc>
          <w:tcPr>
            <w:tcW w:w="336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360" w:type="dxa"/>
            <w:vAlign w:val="bottom"/>
          </w:tcPr>
          <w:p>
            <w:pPr>
              <w:spacing w:after="0" w:line="233" w:lineRule="exact"/>
              <w:rPr>
                <w:sz w:val="20"/>
                <w:szCs w:val="20"/>
                <w:color w:val="auto"/>
              </w:rPr>
            </w:pPr>
            <w:r>
              <w:rPr>
                <w:rFonts w:ascii="Times New Roman" w:cs="Times New Roman" w:eastAsia="Times New Roman" w:hAnsi="Times New Roman"/>
                <w:sz w:val="18"/>
                <w:szCs w:val="18"/>
                <w:color w:val="auto"/>
              </w:rPr>
              <w:t>security holders</w:t>
            </w:r>
            <w:r>
              <w:rPr>
                <w:rFonts w:ascii="Times New Roman" w:cs="Times New Roman" w:eastAsia="Times New Roman" w:hAnsi="Times New Roman"/>
                <w:sz w:val="23"/>
                <w:szCs w:val="23"/>
                <w:color w:val="auto"/>
                <w:vertAlign w:val="superscript"/>
              </w:rPr>
              <w:t>(1)</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5,089,259</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189"/>
        </w:trPr>
        <w:tc>
          <w:tcPr>
            <w:tcW w:w="33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5,089,259</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6"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one compensation plan, the 2017 Plan.</w:t>
      </w:r>
    </w:p>
    <w:p>
      <w:pPr>
        <w:spacing w:after="0" w:line="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exercise price of outstanding stock options.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40" w:firstLine="255"/>
        <w:spacing w:after="0" w:line="230" w:lineRule="auto"/>
        <w:tabs>
          <w:tab w:leader="none" w:pos="507"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Number of securities remaining available for future issuance under equity compensation plans (excluding securities</w:t>
      </w:r>
    </w:p>
    <w:p>
      <w:pPr>
        <w:spacing w:after="0" w:line="1" w:lineRule="exact"/>
        <w:rPr>
          <w:rFonts w:ascii="Times New Roman" w:cs="Times New Roman" w:eastAsia="Times New Roman" w:hAnsi="Times New Roman"/>
          <w:sz w:val="17"/>
          <w:szCs w:val="17"/>
          <w:b w:val="1"/>
          <w:bCs w:val="1"/>
          <w:color w:val="auto"/>
        </w:rPr>
      </w:pPr>
    </w:p>
    <w:p>
      <w:pPr>
        <w:ind w:left="7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reflected in column (a))</w:t>
      </w:r>
    </w:p>
    <w:p>
      <w:pPr>
        <w:spacing w:after="0" w:line="19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4,910,741</w:t>
      </w:r>
    </w:p>
    <w:p>
      <w:pPr>
        <w:spacing w:after="0" w:line="212"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4,910,741</w:t>
      </w:r>
    </w:p>
    <w:p>
      <w:pPr>
        <w:spacing w:after="0" w:line="878" w:lineRule="exact"/>
        <w:rPr>
          <w:sz w:val="20"/>
          <w:szCs w:val="20"/>
          <w:color w:val="auto"/>
        </w:rPr>
      </w:pPr>
    </w:p>
    <w:p>
      <w:pPr>
        <w:sectPr>
          <w:pgSz w:w="11900" w:h="16838" w:orient="portrait"/>
          <w:cols w:equalWidth="0" w:num="2">
            <w:col w:w="7920" w:space="80"/>
            <w:col w:w="3240"/>
          </w:cols>
          <w:pgMar w:left="320" w:top="14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1D1C1D"/>
        </w:rPr>
        <w:t>Item 13. Certain Relationships and Related Transactions, and Director Independence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43"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Historically, the Company’s operations were organized into three reportable segments, fund management, development, and brokerage. During the three months ended December 31, 2023, the Company reevaluated its reportable segments, considering (i) the evolution of the Company after closing its initial public offering and how the Company’s chief operating decision maker (“CODM”), the Company’s Chief Executive Officer, assesses performance and allocates resources, (ii) changes to the budgeting process and in key personnel driven by the Company’s growth initiatives, and (iii) how management reports ongoing company performance to the Board of Directors. With the evolution and growth of the Company, the Company’s CODM assesses performance and resource allocation on an aggregate basis under the Company’s asset management platform, and no longer reviews operating results for development or brokerage activity separately. As such, management concluded that the Company operates through one operating segment.</w:t>
      </w:r>
    </w:p>
    <w:p>
      <w:pPr>
        <w:spacing w:after="0" w:line="212" w:lineRule="exact"/>
        <w:rPr>
          <w:sz w:val="20"/>
          <w:szCs w:val="20"/>
          <w:color w:val="auto"/>
        </w:rPr>
      </w:pPr>
    </w:p>
    <w:p>
      <w:pPr>
        <w:ind w:right="180" w:firstLine="324"/>
        <w:spacing w:after="0" w:line="237" w:lineRule="auto"/>
        <w:rPr>
          <w:sz w:val="20"/>
          <w:szCs w:val="20"/>
          <w:color w:val="auto"/>
        </w:rPr>
      </w:pPr>
      <w:r>
        <w:rPr>
          <w:rFonts w:ascii="Times New Roman" w:cs="Times New Roman" w:eastAsia="Times New Roman" w:hAnsi="Times New Roman"/>
          <w:sz w:val="18"/>
          <w:szCs w:val="18"/>
          <w:color w:val="auto"/>
        </w:rPr>
        <w:t>The Company’s CODM assesses revenue, operating expenses and key operating statistics to evaluate performance and allocate resources on a basis that eliminates the impact of the consolidated investment funds (intercompany eliminations required by U.S. GAAP) and noncontrolling interests. Management concluded that the consolidated investment funds do not meet the requirements in ASC 280, Segment Reporting, of operating segments, as the Company’s CODM does not review the operating results of these investment funds for the purposes of allocating resources, assessing performance or determining whether additional investments or advances will be made to these funds. The investment funds are consolidated based on the requirement in ASC 810, Consolidation, as the Company was determined to be the primary beneficiary of each of these variable interest entities since it has the power to direct the activities of the entities and the right to absorb losses, generally in the form of guarantees of indebtedness that are significant to the individual investment funds.</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describes revenue recognition for the fees the Company earns from providing services under its asset management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type w:val="continuous"/>
        </w:sectPr>
      </w:pPr>
    </w:p>
    <w:bookmarkStart w:id="15" w:name="page16"/>
    <w:bookmarkEnd w:id="1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Fund set-up fees are a one-time fee for the initial formation, administration, and set-up of the private equity real estate fund. These fees are recognized at the point in time when the performance under the contract is complete and are included in asset management revenues in the accompanying consolidated</w:t>
      </w:r>
    </w:p>
    <w:p>
      <w:pPr>
        <w:jc w:val="both"/>
        <w:spacing w:after="0" w:line="266" w:lineRule="auto"/>
        <w:rPr>
          <w:sz w:val="20"/>
          <w:szCs w:val="20"/>
          <w:color w:val="auto"/>
        </w:rPr>
      </w:pPr>
      <w:r>
        <w:rPr>
          <w:rFonts w:ascii="Times New Roman" w:cs="Times New Roman" w:eastAsia="Times New Roman" w:hAnsi="Times New Roman"/>
          <w:sz w:val="18"/>
          <w:szCs w:val="18"/>
          <w:color w:val="auto"/>
        </w:rPr>
        <w:t>statements of operations. Fund set-up fees replaced fund formation fees that are earned at a point in time at a fixed rate based on the amount of capital raised into certain managed funds.</w:t>
      </w:r>
    </w:p>
    <w:p>
      <w:pPr>
        <w:spacing w:after="0" w:line="18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Fund management fees are generally based on 1.0% to 1.5% of the unreturned capital contributions in a particular fund and include reimbursement for costs incurred on behalf of the fund, including an allocation of certain overhead costs. These customer contracts require the Company to provide management services, representing a performance obligation that the Company satisfies over time. With respect to the Caliber Hospitality Trust (as defined in Note 3 – VIEs), the Company earns a fund management fee of 0.70% of the Caliber Hospitality Trust’s enterprise value and is reimbursed for certain costs incurred on behalf of the Caliber Hospitality Trust. These revenues are included in asset management revenues in the accompanying consolidated statements of operations.</w:t>
      </w:r>
    </w:p>
    <w:p>
      <w:pPr>
        <w:spacing w:after="0" w:line="213"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Financing fees are earned for services the Company performs in securing third-party financing on behalf of our private equity real estate funds. These fees are recognized at the point in time when the performance under the contract is complete, which is essentially upon closing of a loan. In addition, the Company earns fees for guarantying certain loans, representing a performance obligation that the Company satisfies over time. These revenues are included in asset management revenues in the accompanying consolidated statements of operations.</w:t>
      </w:r>
    </w:p>
    <w:p>
      <w:pPr>
        <w:spacing w:after="0" w:line="20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Development and construction revenues from contracts with customers include fixed fee arrangements with related party affiliates to provide real estate development services as their principal developer, which include managing and supervising third-party developers and general contractors with respect to the development of the properties owned by the funds. Revenues are generally based on 4.0% of the total expected costs of the development or 4.0% of the total expected costs of the construction project. Prior to the commencement of construction, development fee revenue is recognized at a point in time as the related performance obligations are satisfied and the customer obtains control of the promised service, including negotiation, due diligence, entitlements, planning, and design activities. During the construction period, development fee revenue is recognized over time as the performance obligations are satisfied. These revenues are included in asset management revenues in the accompanying consolidated statements of operations.</w:t>
      </w:r>
    </w:p>
    <w:p>
      <w:pPr>
        <w:spacing w:after="0" w:line="21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Brokerage fees are earned at a point in time at fixed rates for services performed related to acquisitions, dispositions, leasing, and financing transaction, and are included in asset management revenues in the accompanying consolidated statements of operations.</w:t>
      </w:r>
    </w:p>
    <w:p>
      <w:pPr>
        <w:spacing w:after="0" w:line="189"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Performance allocations are an arrangement in which we are entitled to an allocation of investment returns, generated within the investment funds which we manage, based on a contractual formula. We typically receive 15.0% to 35.0% of all cash distributions from (i) the operating cash flow of each fund, after payment to the related fund investors of any accumulated and unpaid priority preferred returns and repayment of preferred capital contributions; and (ii) the cash flow resulting from the sale or refinance of any real estate assets held by each fund, after payment to the related fund investors of any accumulated and unpaid priority preferred returns and repayment of initial preferred capital contributions. Our funds’ preferred returns range from 6.0% to 12.0%, typically 6.0% for common equity or 10.0% to 12.0% for preferred equity, which does not participate in profits. Performance allocations are related to services which have been provided and are recognized when it is determined that they are no longer probable of significant reversal, which is generally satisfied when an underlying fund investment is realized or sold. These revenues are included in performance allocations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 w:name="page17"/>
    <w:bookmarkEnd w:id="1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shows the consolidated revenues earned for providing services under the Company’s asset management platform for the years ended December 31, 2023 and 2022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500" w:type="dxa"/>
            <w:vAlign w:val="bottom"/>
            <w:tcBorders>
              <w:bottom w:val="single" w:sz="8" w:color="auto"/>
            </w:tcBorders>
          </w:tcPr>
          <w:p>
            <w:pPr>
              <w:spacing w:after="0"/>
              <w:rPr>
                <w:sz w:val="20"/>
                <w:szCs w:val="20"/>
                <w:color w:val="auto"/>
              </w:rPr>
            </w:pPr>
          </w:p>
        </w:tc>
      </w:tr>
      <w:tr>
        <w:trPr>
          <w:trHeight w:val="223"/>
        </w:trPr>
        <w:tc>
          <w:tcPr>
            <w:tcW w:w="606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2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 set-up fees</w:t>
            </w: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5,897</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 management fees</w:t>
            </w:r>
          </w:p>
        </w:tc>
        <w:tc>
          <w:tcPr>
            <w:tcW w:w="1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fees</w:t>
            </w:r>
          </w:p>
        </w:tc>
        <w:tc>
          <w:tcPr>
            <w:tcW w:w="1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and construction fees</w:t>
            </w:r>
          </w:p>
        </w:tc>
        <w:tc>
          <w:tcPr>
            <w:tcW w:w="1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Brokerage fees</w:t>
            </w:r>
          </w:p>
        </w:tc>
        <w:tc>
          <w:tcPr>
            <w:tcW w:w="1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23"/>
        </w:trPr>
        <w:tc>
          <w:tcPr>
            <w:tcW w:w="6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 management</w:t>
            </w:r>
          </w:p>
        </w:tc>
        <w:tc>
          <w:tcPr>
            <w:tcW w:w="1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15,344</w:t>
            </w:r>
          </w:p>
        </w:tc>
      </w:tr>
      <w:tr>
        <w:trPr>
          <w:trHeight w:val="230"/>
        </w:trPr>
        <w:tc>
          <w:tcPr>
            <w:tcW w:w="6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Performance allocations</w:t>
            </w:r>
          </w:p>
        </w:tc>
        <w:tc>
          <w:tcPr>
            <w:tcW w:w="1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r>
      <w:tr>
        <w:trPr>
          <w:trHeight w:val="223"/>
        </w:trPr>
        <w:tc>
          <w:tcPr>
            <w:tcW w:w="6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related party revenue</w:t>
            </w:r>
          </w:p>
        </w:tc>
        <w:tc>
          <w:tcPr>
            <w:tcW w:w="14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17,887</w:t>
            </w:r>
          </w:p>
        </w:tc>
      </w:tr>
      <w:tr>
        <w:trPr>
          <w:trHeight w:val="21"/>
        </w:trPr>
        <w:tc>
          <w:tcPr>
            <w:tcW w:w="60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and 2022, amounts due to the Company from related parties for services performed under the Company’s asset management platform was $7.8 million.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has various amounts due from and/or due to related parties, including affiliate entities and individuals, for various expenses paid for by the Company on their behalf and other charges. These amounts are generally unsecured, interest-free, and due on demand. As of December 31, 2023 and 2022, other amounts due from related parties was $1.9 million. As of December 31, 2023 and 2022, other amounts due to related parties from the Company were $0.3 million and $0.2 million, respectively.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 Related parties of the Company</w:t>
      </w:r>
    </w:p>
    <w:p>
      <w:pPr>
        <w:spacing w:after="0" w:line="24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entered into unsecured promissory notes with related parties. No payments are required prior to the maturity of the notes. The notes may be prepaid in whole, or in part, without penalty.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notes payable – related parties as of December 31, 2023 and 2022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3"/>
                <w:szCs w:val="23"/>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 xml:space="preserve">Interest Rate </w:t>
            </w:r>
            <w:r>
              <w:rPr>
                <w:rFonts w:ascii="Times New Roman" w:cs="Times New Roman" w:eastAsia="Times New Roman" w:hAnsi="Times New Roman"/>
                <w:sz w:val="23"/>
                <w:szCs w:val="23"/>
                <w:b w:val="1"/>
                <w:bCs w:val="1"/>
                <w:color w:val="auto"/>
                <w:w w:val="96"/>
                <w:vertAlign w:val="superscript"/>
              </w:rPr>
              <w:t>(1)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Olathe Behavioral Health</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2025</w:t>
            </w:r>
          </w:p>
        </w:tc>
      </w:tr>
      <w:tr>
        <w:trPr>
          <w:trHeight w:val="230"/>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DFW Behavioral Health LLC</w:t>
            </w: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May 2025</w:t>
            </w:r>
          </w:p>
        </w:tc>
      </w:tr>
      <w:tr>
        <w:trPr>
          <w:trHeight w:val="24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Payable – Related parties of the Company</w:t>
      </w:r>
    </w:p>
    <w:p>
      <w:pPr>
        <w:spacing w:after="0" w:line="24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entered into unsecured promissory notes with related parties. The notes may be repaid in whole, or in part, without penalty. The following table summarizes the notes payable – related parties as of December 31, 2023 and 2022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 Related Parties</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Pr>
          <w:p>
            <w:pPr>
              <w:spacing w:after="0"/>
              <w:rPr>
                <w:sz w:val="22"/>
                <w:szCs w:val="22"/>
                <w:color w:val="auto"/>
              </w:rPr>
            </w:pPr>
          </w:p>
        </w:tc>
        <w:tc>
          <w:tcPr>
            <w:tcW w:w="18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Interest Rate </w:t>
            </w:r>
            <w:r>
              <w:rPr>
                <w:rFonts w:ascii="Times New Roman" w:cs="Times New Roman" w:eastAsia="Times New Roman" w:hAnsi="Times New Roman"/>
                <w:sz w:val="23"/>
                <w:szCs w:val="23"/>
                <w:b w:val="1"/>
                <w:bCs w:val="1"/>
                <w:color w:val="auto"/>
                <w:vertAlign w:val="superscript"/>
              </w:rPr>
              <w:t>(1)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xml:space="preserve">Maturity Date </w:t>
            </w:r>
            <w:r>
              <w:rPr>
                <w:rFonts w:ascii="Times New Roman" w:cs="Times New Roman" w:eastAsia="Times New Roman" w:hAnsi="Times New Roman"/>
                <w:sz w:val="23"/>
                <w:szCs w:val="23"/>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Residential Advantage Fund, LP</w:t>
            </w:r>
          </w:p>
        </w:tc>
        <w:tc>
          <w:tcPr>
            <w:tcW w:w="8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2024</w:t>
            </w:r>
          </w:p>
        </w:tc>
        <w:tc>
          <w:tcPr>
            <w:tcW w:w="0" w:type="dxa"/>
            <w:vAlign w:val="bottom"/>
          </w:tcPr>
          <w:p>
            <w:pPr>
              <w:spacing w:after="0"/>
              <w:rPr>
                <w:sz w:val="1"/>
                <w:szCs w:val="1"/>
                <w:color w:val="auto"/>
              </w:rPr>
            </w:pPr>
          </w:p>
        </w:tc>
      </w:tr>
      <w:tr>
        <w:trPr>
          <w:trHeight w:val="230"/>
        </w:trPr>
        <w:tc>
          <w:tcPr>
            <w:tcW w:w="40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Caliber Tax Advantaged Opportunity Fund II, LLC </w:t>
            </w:r>
            <w:r>
              <w:rPr>
                <w:rFonts w:ascii="Times New Roman" w:cs="Times New Roman" w:eastAsia="Times New Roman" w:hAnsi="Times New Roman"/>
                <w:sz w:val="23"/>
                <w:szCs w:val="23"/>
                <w:color w:val="auto"/>
                <w:vertAlign w:val="superscript"/>
              </w:rPr>
              <w:t>(2)</w:t>
            </w:r>
          </w:p>
        </w:tc>
        <w:tc>
          <w:tcPr>
            <w:tcW w:w="720" w:type="dxa"/>
            <w:vAlign w:val="bottom"/>
          </w:tcPr>
          <w:p>
            <w:pPr>
              <w:spacing w:after="0"/>
              <w:rPr>
                <w:sz w:val="19"/>
                <w:szCs w:val="19"/>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January 2024</w:t>
            </w: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 Related Parties</w:t>
            </w:r>
          </w:p>
        </w:tc>
        <w:tc>
          <w:tcPr>
            <w:tcW w:w="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w:t>
            </w: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w:t>
      </w:r>
    </w:p>
    <w:p>
      <w:pPr>
        <w:spacing w:after="0" w:line="9" w:lineRule="exact"/>
        <w:rPr>
          <w:rFonts w:ascii="Times New Roman" w:cs="Times New Roman" w:eastAsia="Times New Roman" w:hAnsi="Times New Roman"/>
          <w:sz w:val="18"/>
          <w:szCs w:val="18"/>
          <w:color w:val="auto"/>
        </w:rPr>
      </w:pPr>
    </w:p>
    <w:p>
      <w:pPr>
        <w:ind w:left="260" w:hanging="252"/>
        <w:spacing w:after="0" w:line="260" w:lineRule="auto"/>
        <w:tabs>
          <w:tab w:leader="none" w:pos="2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 $4.0 million unsecured promissory note with a related party and subsequently repaid the note during the year ended December 31, 2023.</w:t>
      </w:r>
    </w:p>
    <w:p>
      <w:pPr>
        <w:spacing w:after="0" w:line="20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During each of the years ended December 31, 2023 and 2022, the Company incurred an immaterial amount of interest expense in connection with the notes payable – related parties. There was no interest payable due to related parties as of December 31, 2023 and 2022.</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Receivable – Related parties of consolidated funds</w:t>
      </w:r>
    </w:p>
    <w:p>
      <w:pPr>
        <w:spacing w:after="0" w:line="23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entered into unsecured promissory notes with related parties. The notes may be repaid in whole, or in part, without penalty. The notes receivable – related parties consisted of the following as of December 31, 2023 and 2022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 - Related Parties</w:t>
            </w:r>
          </w:p>
        </w:tc>
        <w:tc>
          <w:tcPr>
            <w:tcW w:w="360" w:type="dxa"/>
            <w:vAlign w:val="bottom"/>
          </w:tcPr>
          <w:p>
            <w:pPr>
              <w:spacing w:after="0"/>
              <w:rPr>
                <w:sz w:val="22"/>
                <w:szCs w:val="22"/>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Pr>
          <w:p>
            <w:pPr>
              <w:spacing w:after="0"/>
              <w:rPr>
                <w:sz w:val="22"/>
                <w:szCs w:val="22"/>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Interest Rate</w:t>
            </w:r>
            <w:r>
              <w:rPr>
                <w:rFonts w:ascii="Times New Roman" w:cs="Times New Roman" w:eastAsia="Times New Roman" w:hAnsi="Times New Roman"/>
                <w:sz w:val="23"/>
                <w:szCs w:val="23"/>
                <w:b w:val="1"/>
                <w:bCs w:val="1"/>
                <w:color w:val="auto"/>
                <w:w w:val="96"/>
                <w:vertAlign w:val="superscript"/>
              </w:rPr>
              <w:t>(1)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Maturity Date</w:t>
            </w:r>
            <w:r>
              <w:rPr>
                <w:rFonts w:ascii="Times New Roman" w:cs="Times New Roman" w:eastAsia="Times New Roman" w:hAnsi="Times New Roman"/>
                <w:sz w:val="23"/>
                <w:szCs w:val="23"/>
                <w:b w:val="1"/>
                <w:bCs w:val="1"/>
                <w:color w:val="auto"/>
                <w:w w:val="98"/>
                <w:vertAlign w:val="superscript"/>
              </w:rPr>
              <w:t>(1)</w:t>
            </w:r>
          </w:p>
        </w:tc>
      </w:tr>
      <w:tr>
        <w:trPr>
          <w:trHeight w:val="223"/>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SF Alaska, LP</w:t>
            </w:r>
          </w:p>
        </w:tc>
        <w:tc>
          <w:tcPr>
            <w:tcW w:w="3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12.00%</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2025</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Ketch, LLC</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5,152</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12.00%</w:t>
            </w:r>
          </w:p>
        </w:tc>
        <w:tc>
          <w:tcPr>
            <w:tcW w:w="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Hospitality LP (Tucson East)</w:t>
            </w:r>
          </w:p>
        </w:tc>
        <w:tc>
          <w:tcPr>
            <w:tcW w:w="36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99"/>
              </w:rPr>
              <w:t>(2)</w:t>
            </w: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J-25 Development Group, LLC</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12.00%</w:t>
            </w:r>
          </w:p>
        </w:tc>
        <w:tc>
          <w:tcPr>
            <w:tcW w:w="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Diversified Opportunity Fund II, LP</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March 2024</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Encore, LLC</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12.00%</w:t>
            </w:r>
          </w:p>
        </w:tc>
        <w:tc>
          <w:tcPr>
            <w:tcW w:w="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Ridge II, LLC</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Southridge, LLC</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13.00%</w:t>
            </w:r>
          </w:p>
        </w:tc>
        <w:tc>
          <w:tcPr>
            <w:tcW w:w="8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2025</w:t>
            </w: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Ironwood, LLC</w:t>
            </w:r>
          </w:p>
        </w:tc>
        <w:tc>
          <w:tcPr>
            <w:tcW w:w="3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13.00%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2025</w:t>
            </w: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Circle Lofts, LLC</w:t>
            </w:r>
          </w:p>
        </w:tc>
        <w:tc>
          <w:tcPr>
            <w:tcW w:w="360" w:type="dxa"/>
            <w:vAlign w:val="bottom"/>
            <w:tcBorders>
              <w:bottom w:val="single" w:sz="8" w:color="CCEEFF"/>
            </w:tcBorders>
          </w:tcPr>
          <w:p>
            <w:pPr>
              <w:jc w:val="right"/>
              <w:ind w:right="142"/>
              <w:spacing w:after="0"/>
              <w:rPr>
                <w:sz w:val="20"/>
                <w:szCs w:val="20"/>
                <w:color w:val="auto"/>
              </w:rPr>
            </w:pPr>
            <w:r>
              <w:rPr>
                <w:rFonts w:ascii="Times New Roman" w:cs="Times New Roman" w:eastAsia="Times New Roman" w:hAnsi="Times New Roman"/>
                <w:sz w:val="12"/>
                <w:szCs w:val="12"/>
                <w:color w:val="auto"/>
                <w:w w:val="99"/>
              </w:rPr>
              <w:t>(3)</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12.00%</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Receivable - Related Parties</w:t>
            </w: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28,229</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w:t>
      </w:r>
    </w:p>
    <w:p>
      <w:pPr>
        <w:spacing w:after="0" w:line="9" w:lineRule="exact"/>
        <w:rPr>
          <w:rFonts w:ascii="Times New Roman" w:cs="Times New Roman" w:eastAsia="Times New Roman" w:hAnsi="Times New Roman"/>
          <w:sz w:val="18"/>
          <w:szCs w:val="18"/>
          <w:color w:val="auto"/>
        </w:rPr>
      </w:pPr>
    </w:p>
    <w:p>
      <w:pPr>
        <w:jc w:val="both"/>
        <w:ind w:left="340" w:right="20" w:hanging="332"/>
        <w:spacing w:after="0" w:line="250" w:lineRule="auto"/>
        <w:tabs>
          <w:tab w:leader="none" w:pos="2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the asset was contributed to Caliber Hospitality, LP and the fund was consolidated because the Company was determined to be the primary beneficiary as we have the power to direct the activities and the obligation to absorb their losses through its guarantee of the indebtedness secured by the hospitality assets, which is significant to Caliber Hospitality, LP and the Caliber Hospitality Trust.</w:t>
      </w:r>
    </w:p>
    <w:p>
      <w:pPr>
        <w:spacing w:after="0" w:line="1" w:lineRule="exact"/>
        <w:rPr>
          <w:rFonts w:ascii="Times New Roman" w:cs="Times New Roman" w:eastAsia="Times New Roman" w:hAnsi="Times New Roman"/>
          <w:sz w:val="18"/>
          <w:szCs w:val="18"/>
          <w:color w:val="auto"/>
        </w:rPr>
      </w:pPr>
    </w:p>
    <w:p>
      <w:pPr>
        <w:ind w:left="260" w:hanging="252"/>
        <w:spacing w:after="0" w:line="260" w:lineRule="auto"/>
        <w:tabs>
          <w:tab w:leader="none" w:pos="2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deconsolidated Circle Lofts, LLC, as the Company was no longer determined to be the primary beneficiary of the fund upon refinancing the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8" w:name="page19"/>
    <w:bookmarkEnd w:id="1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2023 and 2022, the consolidated fund earned $3.7 million and $2.9 million, respectively, of interest in connection with the notes. Interest that accrues on certain related party notes receivable, in which the consolidated fund and respective borrower mutually agreed, is added to the principal outstanding balance, due at the respective loan maturity date and incurs interest at the respective interest rate. No interest was due to the Company as of December 31, 2023 and 2022.</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Notes Payable – Related parties of consolidated funds</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consolidated funds entered into unsecured promissory notes with related parties. The notes may be repaid in whole, or in part, without penalty. The notes payable – related parties consisted of the following as of December 31, 2023 and 2022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 Payable - Related Parties</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Interest Rate</w:t>
            </w:r>
            <w:r>
              <w:rPr>
                <w:rFonts w:ascii="Times New Roman" w:cs="Times New Roman" w:eastAsia="Times New Roman" w:hAnsi="Times New Roman"/>
                <w:sz w:val="23"/>
                <w:szCs w:val="23"/>
                <w:b w:val="1"/>
                <w:bCs w:val="1"/>
                <w:color w:val="auto"/>
                <w:w w:val="94"/>
                <w:vertAlign w:val="superscript"/>
              </w:rPr>
              <w:t>(1)</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Maturity Date</w:t>
            </w:r>
            <w:r>
              <w:rPr>
                <w:rFonts w:ascii="Times New Roman" w:cs="Times New Roman" w:eastAsia="Times New Roman" w:hAnsi="Times New Roman"/>
                <w:sz w:val="23"/>
                <w:szCs w:val="23"/>
                <w:b w:val="1"/>
                <w:bCs w:val="1"/>
                <w:color w:val="auto"/>
                <w:w w:val="96"/>
                <w:vertAlign w:val="superscript"/>
              </w:rPr>
              <w:t>(1)</w:t>
            </w:r>
          </w:p>
        </w:tc>
      </w:tr>
      <w:tr>
        <w:trPr>
          <w:trHeight w:val="223"/>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Roosevelt III HOLDCO, LLC</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2024</w:t>
            </w:r>
          </w:p>
        </w:tc>
      </w:tr>
      <w:tr>
        <w:trPr>
          <w:trHeight w:val="22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CDIF, LLC</w:t>
            </w:r>
          </w:p>
        </w:tc>
        <w:tc>
          <w:tcPr>
            <w:tcW w:w="5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2024</w:t>
            </w:r>
          </w:p>
        </w:tc>
      </w:tr>
      <w:tr>
        <w:trPr>
          <w:trHeight w:val="230"/>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Caliber Tax Advantaged Opportunity Zone Fund, LP</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2025</w:t>
            </w:r>
          </w:p>
        </w:tc>
      </w:tr>
      <w:tr>
        <w:trPr>
          <w:trHeight w:val="229"/>
        </w:trPr>
        <w:tc>
          <w:tcPr>
            <w:tcW w:w="4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Caliber Tax Advantaged Opportunity Zone Fund II, LP</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October 2024</w:t>
            </w:r>
          </w:p>
        </w:tc>
      </w:tr>
      <w:tr>
        <w:trPr>
          <w:trHeight w:val="248"/>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Notes Payable - Related Parties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 of December 31, 2023.</w:t>
      </w:r>
    </w:p>
    <w:p>
      <w:pPr>
        <w:spacing w:after="0" w:line="2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and 2022, the consolidated funds incurred $1.2 million and $0.9 million, respectively, of interest expense in connection with the notes payable – related parties. As of December 31, 2023 and 2022, there was $0.1 million of interest expense payable. Management expects to extend these notes at maturity.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Buyback Program</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2018, the Company agreed to repurchase 3,709,693 shares (“Buyback Program”) owned by one of its non-participating founders for $4.54 per share of common stock in exchange for an amendment to such non-participating founder’s shareholder voting rights and other Company protections. Due to the length of time of the liability, the Company recorded a liability of $13.6 million and a corresponding reduction to equity in treasury stock at the inception of the Buyback Program using a present value discount rate of 10.00%. As of December 31, 2022, remaining number of shares to be repurchased was 3,432,351 and the balance of the liability was $12.4 million, which is included in buyback obligation on the accompanying consolidated balance sheets. During the year ended December 31, 2023, the Company repurchased 41,615 shares of Class A common stock pursuant to the Buyback Program and on May 19, 2023, the Company’s Class A common stock began trading on the NASDAQ Capital Market, at which point the buyback obligation was relieved and no further amounts were due under the Buyback Program.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Related Person Transactions</w:t>
      </w:r>
    </w:p>
    <w:p>
      <w:pPr>
        <w:spacing w:after="0" w:line="243"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In accordance with its written charter, our Audit Committee is responsible for reviewing, approving and overseeing any transaction between the Company and any related person. The term “related party transactions” refers to transactions required to be disclosed in our filings with the SEC pursuant to Item 404 of Regulation S-K. As a smaller reporting company, we are also required to review and approve any transaction, arrangement or relationship in which our company is a participant, the amount involved exceeds the lesser of $120,000 or one percent of the average of our total assets at year-end for the last two completed fiscal years, and a related person has a direct or indirect material interest. In considering related party transactions, our Audit Committee is guided by its fiduciary duty to our stockholders. Our Audit Committee does not have any written or oral policies or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jc w:val="both"/>
        <w:spacing w:after="0" w:line="245" w:lineRule="auto"/>
        <w:rPr>
          <w:sz w:val="20"/>
          <w:szCs w:val="20"/>
          <w:color w:val="auto"/>
        </w:rPr>
      </w:pPr>
      <w:r>
        <w:rPr>
          <w:rFonts w:ascii="Times New Roman" w:cs="Times New Roman" w:eastAsia="Times New Roman" w:hAnsi="Times New Roman"/>
          <w:sz w:val="18"/>
          <w:szCs w:val="18"/>
          <w:color w:val="auto"/>
        </w:rPr>
        <w:t>regarding the review, approval and ratification of transactions with related parties. Additionally, each of our directors and executive officers are required to annually complete a directors’ and officers’ questionnaire that elicits information about related party transactions. Our Nominating and Governance Committee and Board of Directors annually review all transactions and relationships disclosed in the director and officer questionnaires, and the Board makes a formal determination regarding each director’s independence.</w:t>
      </w:r>
    </w:p>
    <w:p>
      <w:pPr>
        <w:spacing w:after="0" w:line="208"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Under the Company’s Corporate Governance Guidelines, the Board itself and through its committees will review and approve all related party transactions and any contracts or other transactions with current or former directors and executive officers of the Company, including consulting arrangements, employment agreements, change-in-control agreements, termination arrangements, and loans to officers made or guaranteed by the</w:t>
      </w: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The Audit Committee generally will take the lead in reviewing related party transactions, and the Compensation Committee and the Nominating and Corporate Governance Committee generally will take the lead in reviewing related party contracts, such as consulting arrangements, termination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agreements, and any other contracts or arrangements involving any compensatory or monetary terms. The Company will not enter into any such transaction unless the transaction is determined by the disinterested directors to be fair to the Company or is approved by the disinterested directors or by the</w:t>
      </w: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stockholders. Any determination by our disinterested directors will be based on a review of the particular transaction, applicable laws and regulations, policies of the Company, and the listing standards of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4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are listed on the Nasdaq Capital Market (“Nasdaq”) and accordingly, we have applied Nasdaq listing standards in determining the “independence” of the members of our Board of Directors. Based on the Nasdaq listing standards and after reviewing the relationships with members of our Board, our Board of Directors has determined that William J. Gerber, Michael Trzupek, Daniel P. Hansen, and Lawrence Taylor qualify as independent directors.</w:t>
      </w:r>
    </w:p>
    <w:p>
      <w:pPr>
        <w:spacing w:after="0" w:line="204" w:lineRule="exact"/>
        <w:rPr>
          <w:sz w:val="20"/>
          <w:szCs w:val="20"/>
          <w:color w:val="auto"/>
        </w:rPr>
      </w:pPr>
    </w:p>
    <w:p>
      <w:pPr>
        <w:ind w:right="500" w:firstLine="324"/>
        <w:spacing w:after="0" w:line="250" w:lineRule="auto"/>
        <w:rPr>
          <w:sz w:val="20"/>
          <w:szCs w:val="20"/>
          <w:color w:val="auto"/>
        </w:rPr>
      </w:pPr>
      <w:r>
        <w:rPr>
          <w:rFonts w:ascii="Times New Roman" w:cs="Times New Roman" w:eastAsia="Times New Roman" w:hAnsi="Times New Roman"/>
          <w:sz w:val="18"/>
          <w:szCs w:val="18"/>
          <w:color w:val="auto"/>
        </w:rPr>
        <w:t>While the Company is a “controlled company” as defined under the NASDAQ rules and thus is entitled to an exemption from the majority independence rule, the Company has not elected this exemption for its 2024 election of Directors but reserves the right to claim this exemption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14. Principal Accounting Fees and Services</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fees billed to us by Deloitte &amp; Touche LLP (“Deloitte &amp; Touche”) in the fiscal years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 All fees described below were approved by the Audit Committee: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3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fiscal years ended December 31,</w:t>
            </w:r>
          </w:p>
        </w:tc>
        <w:tc>
          <w:tcPr>
            <w:tcW w:w="800" w:type="dxa"/>
            <w:vAlign w:val="bottom"/>
            <w:tcBorders>
              <w:bottom w:val="single" w:sz="8" w:color="auto"/>
            </w:tcBorders>
          </w:tcPr>
          <w:p>
            <w:pPr>
              <w:spacing w:after="0"/>
              <w:rPr>
                <w:sz w:val="20"/>
                <w:szCs w:val="20"/>
                <w:color w:val="auto"/>
              </w:rPr>
            </w:pPr>
          </w:p>
        </w:tc>
      </w:tr>
      <w:tr>
        <w:trPr>
          <w:trHeight w:val="223"/>
        </w:trPr>
        <w:tc>
          <w:tcPr>
            <w:tcW w:w="65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r>
      <w:tr>
        <w:trPr>
          <w:trHeight w:val="223"/>
        </w:trPr>
        <w:tc>
          <w:tcPr>
            <w:tcW w:w="65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3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910,000</w:t>
            </w:r>
          </w:p>
        </w:tc>
      </w:tr>
      <w:tr>
        <w:trPr>
          <w:trHeight w:val="230"/>
        </w:trPr>
        <w:tc>
          <w:tcPr>
            <w:tcW w:w="6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3"/>
                <w:szCs w:val="23"/>
                <w:color w:val="auto"/>
                <w:vertAlign w:val="superscript"/>
              </w:rPr>
              <w:t>(2)</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345,000</w:t>
            </w:r>
          </w:p>
        </w:tc>
      </w:tr>
      <w:tr>
        <w:trPr>
          <w:trHeight w:val="23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13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138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1,165,000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1,255,000</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6" w:lineRule="exact"/>
        <w:rPr>
          <w:sz w:val="20"/>
          <w:szCs w:val="20"/>
          <w:color w:val="auto"/>
        </w:rPr>
      </w:pPr>
    </w:p>
    <w:p>
      <w:pPr>
        <w:ind w:left="340" w:right="20" w:hanging="332"/>
        <w:spacing w:after="0" w:line="234" w:lineRule="auto"/>
        <w:tabs>
          <w:tab w:leader="none" w:pos="2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include fees associated with the initial public offering of shares of the Company’s Class A 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 w:name="page21"/>
    <w:bookmarkEnd w:id="20"/>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Under the SEC’s rules, the Audit Committee is required to pre-approve the audit and non-audit services performed by the independent registered public accounting firm in order to ensure that they do not impair the auditors’ independence. The Commission’s rules specify the types of non-audit services that an independent auditor may not provide to its audit client and establish the Audit Committee’s responsibility for administration of the engagement of the independent registered public accounting firm.</w:t>
      </w:r>
    </w:p>
    <w:p>
      <w:pPr>
        <w:spacing w:after="0" w:line="208"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Consistent with the SEC’s rules, the Audit Committee Charter requires that the Audit Committee review and pre-approve all audit services and permitted non-audit services provided by the independent registered public accounting firm to us or any of our subsidiaries. Accordingly, 100% of audit services and non-audit services described in this Item 14 were pre-approved by the Audit Committee.</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hours expended on the principal accountant’s engagement to audit the registrant’s financial statements for the most recent fiscal year that were attributed to work performed by persons other than the principal accountant’s full-time, permanent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D1C1D"/>
        </w:rPr>
        <w:t>Item 15. Exhibits, Financial Statement Schedules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Schedules</w:t>
      </w:r>
    </w:p>
    <w:p>
      <w:pPr>
        <w:spacing w:after="0" w:line="2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for which provision is made in the applicable accounting regulations of the SEC are not required under the related instructions, the required information is contained elsewhere in the Original Filing, or the schedules are inapplicable and have therefore been omitted.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2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exhibits are included in this Annual Report, as amended, on Form 10-K/A for the fiscal year ended December 31, 2023 (and are numbered in accordance with Item 601 of Regulation S-K):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68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20" w:type="dxa"/>
            <w:vAlign w:val="bottom"/>
            <w:tcBorders>
              <w:right w:val="single" w:sz="8" w:color="CCEEFF"/>
            </w:tcBorders>
            <w:gridSpan w:val="2"/>
            <w:vMerge w:val="restart"/>
            <w:shd w:val="clear" w:color="auto" w:fill="CCEEFF"/>
          </w:tcPr>
          <w:p>
            <w:pPr>
              <w:jc w:val="center"/>
              <w:ind w:left="450"/>
              <w:spacing w:after="0"/>
              <w:rPr>
                <w:rFonts w:ascii="Times New Roman" w:cs="Times New Roman" w:eastAsia="Times New Roman" w:hAnsi="Times New Roman"/>
                <w:sz w:val="18"/>
                <w:szCs w:val="18"/>
                <w:color w:val="0000FF"/>
                <w:w w:val="97"/>
              </w:rPr>
            </w:pPr>
            <w:hyperlink r:id="rId3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5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9680" w:type="dxa"/>
            <w:vAlign w:val="bottom"/>
            <w:gridSpan w:val="31"/>
            <w:shd w:val="clear" w:color="auto" w:fill="CCEEFF"/>
          </w:tcPr>
          <w:p>
            <w:pPr>
              <w:spacing w:after="0" w:line="182"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Third Amended and Restated Certificate of Incorporation of CaliberCos Inc. (incorporated by reference to Exhibit 3.1 of CaliberCos</w:t>
              </w:r>
            </w:hyperlink>
          </w:p>
        </w:tc>
        <w:tc>
          <w:tcPr>
            <w:tcW w:w="0" w:type="dxa"/>
            <w:vAlign w:val="bottom"/>
          </w:tcPr>
          <w:p>
            <w:pPr>
              <w:spacing w:after="0"/>
              <w:rPr>
                <w:sz w:val="1"/>
                <w:szCs w:val="1"/>
                <w:color w:val="auto"/>
              </w:rPr>
            </w:pPr>
          </w:p>
        </w:tc>
      </w:tr>
      <w:tr>
        <w:trPr>
          <w:trHeight w:val="169"/>
        </w:trPr>
        <w:tc>
          <w:tcPr>
            <w:tcW w:w="920" w:type="dxa"/>
            <w:vAlign w:val="bottom"/>
            <w:tcBorders>
              <w:top w:val="single" w:sz="8" w:color="CCEEFF"/>
              <w:right w:val="single" w:sz="8" w:color="CCEEFF"/>
            </w:tcBorders>
            <w:gridSpan w:val="2"/>
            <w:vMerge w:val="continue"/>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520" w:type="dxa"/>
            <w:vAlign w:val="bottom"/>
            <w:tcBorders>
              <w:top w:val="single" w:sz="8" w:color="0000FF"/>
            </w:tcBorders>
            <w:gridSpan w:val="24"/>
            <w:shd w:val="clear" w:color="auto" w:fill="CCEEFF"/>
          </w:tcPr>
          <w:p>
            <w:pPr>
              <w:spacing w:after="0" w:line="169" w:lineRule="exact"/>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Inc.’s Form 8-K filed with the SEC on May 19, 2023</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gridSpan w:val="2"/>
            <w:vMerge w:val="restart"/>
          </w:tcPr>
          <w:p>
            <w:pPr>
              <w:jc w:val="center"/>
              <w:ind w:left="450"/>
              <w:spacing w:after="0"/>
              <w:rPr>
                <w:rFonts w:ascii="Times New Roman" w:cs="Times New Roman" w:eastAsia="Times New Roman" w:hAnsi="Times New Roman"/>
                <w:sz w:val="18"/>
                <w:szCs w:val="18"/>
                <w:color w:val="0000FF"/>
                <w:w w:val="97"/>
              </w:rPr>
            </w:pPr>
            <w:hyperlink r:id="rId39">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80" w:type="dxa"/>
            <w:vAlign w:val="bottom"/>
            <w:gridSpan w:val="31"/>
          </w:tcPr>
          <w:p>
            <w:pPr>
              <w:spacing w:after="0" w:line="189"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Amended and Restated Bylaws of CaliberCos Inc. (incorporated by reference to Exhibit 3.2 of CaliberCos Inc.’s Form 8-K filed with</w:t>
              </w:r>
            </w:hyperlink>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the SEC on May 19, 2023)</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Borders>
              <w:righ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center"/>
              <w:ind w:right="520"/>
              <w:spacing w:after="0" w:line="189" w:lineRule="exact"/>
              <w:rPr>
                <w:rFonts w:ascii="Times New Roman" w:cs="Times New Roman" w:eastAsia="Times New Roman" w:hAnsi="Times New Roman"/>
                <w:sz w:val="18"/>
                <w:szCs w:val="18"/>
                <w:color w:val="0000FF"/>
                <w:w w:val="73"/>
              </w:rPr>
            </w:pPr>
            <w:hyperlink r:id="rId40">
              <w:r>
                <w:rPr>
                  <w:rFonts w:ascii="Times New Roman" w:cs="Times New Roman" w:eastAsia="Times New Roman" w:hAnsi="Times New Roman"/>
                  <w:sz w:val="18"/>
                  <w:szCs w:val="18"/>
                  <w:color w:val="0000FF"/>
                  <w:w w:val="73"/>
                </w:rPr>
                <w:t>4.</w:t>
              </w:r>
              <w:r>
                <w:rPr>
                  <w:rFonts w:ascii="Times New Roman" w:cs="Times New Roman" w:eastAsia="Times New Roman" w:hAnsi="Times New Roman"/>
                  <w:sz w:val="18"/>
                  <w:szCs w:val="18"/>
                  <w:u w:val="single" w:color="auto"/>
                  <w:color w:val="0000FF"/>
                  <w:w w:val="73"/>
                </w:rPr>
                <w:t>1**</w:t>
              </w:r>
            </w:hyperlink>
          </w:p>
        </w:tc>
        <w:tc>
          <w:tcPr>
            <w:tcW w:w="120" w:type="dxa"/>
            <w:vAlign w:val="bottom"/>
            <w:tcBorders>
              <w:right w:val="single" w:sz="8" w:color="CCEEFF"/>
            </w:tcBorders>
            <w:shd w:val="clear" w:color="auto" w:fill="CCEEFF"/>
          </w:tcPr>
          <w:p>
            <w:pPr>
              <w:spacing w:after="0"/>
              <w:rPr>
                <w:sz w:val="16"/>
                <w:szCs w:val="16"/>
                <w:color w:val="auto"/>
              </w:rPr>
            </w:pPr>
          </w:p>
        </w:tc>
        <w:tc>
          <w:tcPr>
            <w:tcW w:w="968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Description of Securities</w:t>
              </w:r>
            </w:hyperlink>
          </w:p>
        </w:tc>
        <w:tc>
          <w:tcPr>
            <w:tcW w:w="0" w:type="dxa"/>
            <w:vAlign w:val="bottom"/>
          </w:tcPr>
          <w:p>
            <w:pPr>
              <w:spacing w:after="0"/>
              <w:rPr>
                <w:sz w:val="1"/>
                <w:szCs w:val="1"/>
                <w:color w:val="auto"/>
              </w:rPr>
            </w:pPr>
          </w:p>
        </w:tc>
      </w:tr>
      <w:tr>
        <w:trPr>
          <w:trHeight w:val="21"/>
        </w:trPr>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vMerge w:val="restart"/>
          </w:tcPr>
          <w:p>
            <w:pPr>
              <w:spacing w:after="0"/>
              <w:rPr>
                <w:sz w:val="16"/>
                <w:szCs w:val="16"/>
                <w:color w:val="auto"/>
              </w:rPr>
            </w:pPr>
          </w:p>
        </w:tc>
        <w:tc>
          <w:tcPr>
            <w:tcW w:w="300" w:type="dxa"/>
            <w:vAlign w:val="bottom"/>
            <w:vMerge w:val="restart"/>
          </w:tcPr>
          <w:p>
            <w:pPr>
              <w:jc w:val="center"/>
              <w:spacing w:after="0"/>
              <w:rPr>
                <w:rFonts w:ascii="Times New Roman" w:cs="Times New Roman" w:eastAsia="Times New Roman" w:hAnsi="Times New Roman"/>
                <w:sz w:val="18"/>
                <w:szCs w:val="18"/>
                <w:color w:val="0000FF"/>
                <w:w w:val="97"/>
              </w:rPr>
            </w:pPr>
            <w:hyperlink r:id="rId41">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80" w:type="dxa"/>
            <w:vAlign w:val="bottom"/>
            <w:gridSpan w:val="31"/>
          </w:tcPr>
          <w:p>
            <w:pPr>
              <w:spacing w:after="0" w:line="189"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Form of Class A common stock Certificate (incorporated by reference to Exhibit 4.1 to the Registrant’s Registration Statement on</w:t>
              </w:r>
            </w:hyperlink>
          </w:p>
        </w:tc>
        <w:tc>
          <w:tcPr>
            <w:tcW w:w="0" w:type="dxa"/>
            <w:vAlign w:val="bottom"/>
          </w:tcPr>
          <w:p>
            <w:pPr>
              <w:spacing w:after="0"/>
              <w:rPr>
                <w:sz w:val="1"/>
                <w:szCs w:val="1"/>
                <w:color w:val="auto"/>
              </w:rPr>
            </w:pPr>
          </w:p>
        </w:tc>
      </w:tr>
      <w:tr>
        <w:trPr>
          <w:trHeight w:val="169"/>
        </w:trPr>
        <w:tc>
          <w:tcPr>
            <w:tcW w:w="62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3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Form S-1/A, filed with the SEC on October 28, 2022 (File No. 333-267657))</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Borders>
              <w:bottom w:val="single" w:sz="8" w:color="CCEEFF"/>
              <w:right w:val="single" w:sz="8" w:color="CCEEFF"/>
            </w:tcBorders>
            <w:shd w:val="clear" w:color="auto" w:fill="CCEEFF"/>
          </w:tcPr>
          <w:p>
            <w:pPr>
              <w:spacing w:after="0"/>
              <w:rPr>
                <w:sz w:val="16"/>
                <w:szCs w:val="16"/>
                <w:color w:val="auto"/>
              </w:rPr>
            </w:pPr>
          </w:p>
        </w:tc>
        <w:tc>
          <w:tcPr>
            <w:tcW w:w="300" w:type="dxa"/>
            <w:vAlign w:val="bottom"/>
            <w:tcBorders>
              <w:bottom w:val="single" w:sz="8" w:color="CCEEFF"/>
              <w:right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9220" w:type="dxa"/>
            <w:vAlign w:val="bottom"/>
            <w:tcBorders>
              <w:bottom w:val="single" w:sz="8" w:color="0000FF"/>
            </w:tcBorders>
            <w:gridSpan w:val="14"/>
            <w:shd w:val="clear" w:color="auto" w:fill="CCEEFF"/>
          </w:tcPr>
          <w:p>
            <w:pPr>
              <w:spacing w:after="0" w:line="189"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Amended and Restated Stockholders’ Agreement dated March 22, 2023, by and among the Company, John C. Loeffler, Jennifer</w:t>
              </w:r>
            </w:hyperlink>
          </w:p>
        </w:tc>
        <w:tc>
          <w:tcPr>
            <w:tcW w:w="460" w:type="dxa"/>
            <w:vAlign w:val="bottom"/>
            <w:tcBorders>
              <w:bottom w:val="single" w:sz="8" w:color="CCEEFF"/>
            </w:tcBorders>
            <w:gridSpan w:val="17"/>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tcBorders>
              <w:right w:val="single" w:sz="8" w:color="CCEEFF"/>
            </w:tcBorders>
            <w:gridSpan w:val="2"/>
            <w:vMerge w:val="restart"/>
            <w:shd w:val="clear" w:color="auto" w:fill="CCEEFF"/>
          </w:tcPr>
          <w:p>
            <w:pPr>
              <w:jc w:val="center"/>
              <w:ind w:left="450"/>
              <w:spacing w:after="0"/>
              <w:rPr>
                <w:rFonts w:ascii="Times New Roman" w:cs="Times New Roman" w:eastAsia="Times New Roman" w:hAnsi="Times New Roman"/>
                <w:sz w:val="18"/>
                <w:szCs w:val="18"/>
                <w:color w:val="0000FF"/>
                <w:w w:val="97"/>
              </w:rPr>
            </w:pPr>
            <w:hyperlink r:id="rId42">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3</w:t>
              </w:r>
            </w:hyperlink>
          </w:p>
        </w:tc>
        <w:tc>
          <w:tcPr>
            <w:tcW w:w="5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9680" w:type="dxa"/>
            <w:vAlign w:val="bottom"/>
            <w:gridSpan w:val="31"/>
            <w:shd w:val="clear" w:color="auto" w:fill="CCEEFF"/>
          </w:tcPr>
          <w:p>
            <w:pPr>
              <w:spacing w:after="0" w:line="169"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Schrader and Donnie Schrader (incorporated by reference to Exhibit 4.2 to the Registrant’s Registration Statement on Form S-1/A,</w:t>
              </w:r>
            </w:hyperlink>
          </w:p>
        </w:tc>
        <w:tc>
          <w:tcPr>
            <w:tcW w:w="0" w:type="dxa"/>
            <w:vAlign w:val="bottom"/>
          </w:tcPr>
          <w:p>
            <w:pPr>
              <w:spacing w:after="0"/>
              <w:rPr>
                <w:sz w:val="1"/>
                <w:szCs w:val="1"/>
                <w:color w:val="auto"/>
              </w:rPr>
            </w:pPr>
          </w:p>
        </w:tc>
      </w:tr>
      <w:tr>
        <w:trPr>
          <w:trHeight w:val="155"/>
        </w:trPr>
        <w:tc>
          <w:tcPr>
            <w:tcW w:w="920" w:type="dxa"/>
            <w:vAlign w:val="bottom"/>
            <w:tcBorders>
              <w:top w:val="single" w:sz="8" w:color="CCEEFF"/>
              <w:right w:val="single" w:sz="8" w:color="CCEEFF"/>
            </w:tcBorders>
            <w:gridSpan w:val="2"/>
            <w:vMerge w:val="continue"/>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right w:val="single" w:sz="8" w:color="CCEEFF"/>
            </w:tcBorders>
            <w:shd w:val="clear" w:color="auto" w:fill="CCEEFF"/>
          </w:tcPr>
          <w:p>
            <w:pPr>
              <w:spacing w:after="0"/>
              <w:rPr>
                <w:sz w:val="13"/>
                <w:szCs w:val="13"/>
                <w:color w:val="auto"/>
              </w:rPr>
            </w:pPr>
          </w:p>
        </w:tc>
        <w:tc>
          <w:tcPr>
            <w:tcW w:w="9420" w:type="dxa"/>
            <w:vAlign w:val="bottom"/>
            <w:tcBorders>
              <w:top w:val="single" w:sz="8" w:color="0000FF"/>
            </w:tcBorders>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filed with the SEC on March 22, 2023 (File No. 333-267657))</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20" w:type="dxa"/>
            <w:vAlign w:val="bottom"/>
            <w:gridSpan w:val="2"/>
            <w:vMerge w:val="restart"/>
          </w:tcPr>
          <w:p>
            <w:pPr>
              <w:jc w:val="center"/>
              <w:ind w:left="430"/>
              <w:spacing w:after="0"/>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3.1</w:t>
              </w:r>
            </w:hyperlink>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80" w:type="dxa"/>
            <w:vAlign w:val="bottom"/>
            <w:gridSpan w:val="31"/>
          </w:tcPr>
          <w:p>
            <w:pPr>
              <w:spacing w:after="0" w:line="189"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Stock Purchase Agreement dated September 21, 2018, by and among the Company and Donnie Schrader (incorporated by reference</w:t>
              </w:r>
            </w:hyperlink>
          </w:p>
        </w:tc>
        <w:tc>
          <w:tcPr>
            <w:tcW w:w="0" w:type="dxa"/>
            <w:vAlign w:val="bottom"/>
          </w:tcPr>
          <w:p>
            <w:pPr>
              <w:spacing w:after="0"/>
              <w:rPr>
                <w:sz w:val="1"/>
                <w:szCs w:val="1"/>
                <w:color w:val="auto"/>
              </w:rPr>
            </w:pPr>
          </w:p>
        </w:tc>
      </w:tr>
      <w:tr>
        <w:trPr>
          <w:trHeight w:val="169"/>
        </w:trPr>
        <w:tc>
          <w:tcPr>
            <w:tcW w:w="9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to Exhibit 3.2 of CaliberCos Inc.’s offering statement on Form 1-A (File No.024-11016), filed with the SEC on June 13, 2019)</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22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Borders>
              <w:right w:val="single" w:sz="8" w:color="CCEEFF"/>
            </w:tcBorders>
            <w:shd w:val="clear" w:color="auto" w:fill="CCEEFF"/>
          </w:tcPr>
          <w:p>
            <w:pPr>
              <w:spacing w:after="0"/>
              <w:rPr>
                <w:sz w:val="16"/>
                <w:szCs w:val="16"/>
                <w:color w:val="auto"/>
              </w:rPr>
            </w:pPr>
          </w:p>
        </w:tc>
        <w:tc>
          <w:tcPr>
            <w:tcW w:w="940" w:type="dxa"/>
            <w:vAlign w:val="bottom"/>
            <w:tcBorders>
              <w:right w:val="single" w:sz="8" w:color="CCEEFF"/>
            </w:tcBorders>
            <w:gridSpan w:val="3"/>
            <w:vMerge w:val="restart"/>
            <w:shd w:val="clear" w:color="auto" w:fill="CCEEFF"/>
          </w:tcPr>
          <w:p>
            <w:pPr>
              <w:jc w:val="center"/>
              <w:ind w:right="640"/>
              <w:spacing w:after="0"/>
              <w:rPr>
                <w:rFonts w:ascii="Times New Roman" w:cs="Times New Roman" w:eastAsia="Times New Roman" w:hAnsi="Times New Roman"/>
                <w:sz w:val="18"/>
                <w:szCs w:val="18"/>
                <w:color w:val="0000FF"/>
                <w:w w:val="73"/>
              </w:rPr>
            </w:pPr>
            <w:hyperlink r:id="rId44">
              <w:r>
                <w:rPr>
                  <w:rFonts w:ascii="Times New Roman" w:cs="Times New Roman" w:eastAsia="Times New Roman" w:hAnsi="Times New Roman"/>
                  <w:sz w:val="18"/>
                  <w:szCs w:val="18"/>
                  <w:color w:val="0000FF"/>
                  <w:w w:val="73"/>
                </w:rPr>
                <w:t>10.</w:t>
              </w:r>
              <w:r>
                <w:rPr>
                  <w:rFonts w:ascii="Times New Roman" w:cs="Times New Roman" w:eastAsia="Times New Roman" w:hAnsi="Times New Roman"/>
                  <w:sz w:val="18"/>
                  <w:szCs w:val="18"/>
                  <w:u w:val="single" w:color="auto"/>
                  <w:color w:val="0000FF"/>
                  <w:w w:val="73"/>
                </w:rPr>
                <w:t>1</w:t>
              </w:r>
            </w:hyperlink>
            <w:r>
              <w:rPr>
                <w:rFonts w:ascii="Times New Roman" w:cs="Times New Roman" w:eastAsia="Times New Roman" w:hAnsi="Times New Roman"/>
                <w:sz w:val="18"/>
                <w:szCs w:val="18"/>
                <w:color w:val="000000"/>
                <w:w w:val="73"/>
              </w:rPr>
              <w:t>†</w:t>
            </w:r>
          </w:p>
        </w:tc>
        <w:tc>
          <w:tcPr>
            <w:tcW w:w="968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CaliberCos Inc. Amended and Restated 2017 Stock Incentive Plan (incorporated by reference to Exhibit 99.1 of CaliberCos Inc.’s</w:t>
              </w:r>
            </w:hyperlink>
          </w:p>
        </w:tc>
        <w:tc>
          <w:tcPr>
            <w:tcW w:w="0" w:type="dxa"/>
            <w:vAlign w:val="bottom"/>
          </w:tcPr>
          <w:p>
            <w:pPr>
              <w:spacing w:after="0"/>
              <w:rPr>
                <w:sz w:val="1"/>
                <w:szCs w:val="1"/>
                <w:color w:val="auto"/>
              </w:rPr>
            </w:pPr>
          </w:p>
        </w:tc>
      </w:tr>
      <w:tr>
        <w:trPr>
          <w:trHeight w:val="169"/>
        </w:trPr>
        <w:tc>
          <w:tcPr>
            <w:tcW w:w="620" w:type="dxa"/>
            <w:vAlign w:val="bottom"/>
            <w:tcBorders>
              <w:top w:val="single" w:sz="8" w:color="CCEEFF"/>
              <w:right w:val="single" w:sz="8" w:color="CCEEFF"/>
            </w:tcBorders>
            <w:shd w:val="clear" w:color="auto" w:fill="CCEEFF"/>
          </w:tcPr>
          <w:p>
            <w:pPr>
              <w:spacing w:after="0"/>
              <w:rPr>
                <w:sz w:val="14"/>
                <w:szCs w:val="14"/>
                <w:color w:val="auto"/>
              </w:rPr>
            </w:pPr>
          </w:p>
        </w:tc>
        <w:tc>
          <w:tcPr>
            <w:tcW w:w="940" w:type="dxa"/>
            <w:vAlign w:val="bottom"/>
            <w:tcBorders>
              <w:top w:val="single" w:sz="8" w:color="CCEEFF"/>
              <w:right w:val="single" w:sz="8" w:color="CCEEFF"/>
            </w:tcBorders>
            <w:gridSpan w:val="3"/>
            <w:vMerge w:val="continue"/>
            <w:shd w:val="clear" w:color="auto" w:fill="CCEEFF"/>
          </w:tcPr>
          <w:p>
            <w:pPr>
              <w:spacing w:after="0"/>
              <w:rPr>
                <w:sz w:val="14"/>
                <w:szCs w:val="14"/>
                <w:color w:val="auto"/>
              </w:rPr>
            </w:pPr>
          </w:p>
        </w:tc>
        <w:tc>
          <w:tcPr>
            <w:tcW w:w="9340" w:type="dxa"/>
            <w:vAlign w:val="bottom"/>
            <w:tcBorders>
              <w:top w:val="single" w:sz="8" w:color="0000FF"/>
            </w:tcBorders>
            <w:gridSpan w:val="16"/>
            <w:shd w:val="clear" w:color="auto" w:fill="CCEEFF"/>
          </w:tcPr>
          <w:p>
            <w:pPr>
              <w:spacing w:after="0" w:line="169"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Form S-8 (File No. 333-272078), filed with the SEC on May 19, 2023)</w:t>
              </w:r>
            </w:hyperlink>
          </w:p>
        </w:tc>
        <w:tc>
          <w:tcPr>
            <w:tcW w:w="6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80" w:type="dxa"/>
            <w:vAlign w:val="bottom"/>
            <w:gridSpan w:val="31"/>
          </w:tcPr>
          <w:p>
            <w:pPr>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Loan Agreement, dated as of January 20, 2023, among 47th Street Phoenix Airport LLC, CHPH Holding, LLC, and 44th and</w:t>
              </w:r>
            </w:hyperlink>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2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McDowell Holding, LLC, as Borrower and Trimont Real Estate Advisors, LLC, as Agent for BP Holdings SIGMA LLC, as</w:t>
              </w:r>
            </w:hyperlink>
          </w:p>
        </w:tc>
        <w:tc>
          <w:tcPr>
            <w:tcW w:w="660" w:type="dxa"/>
            <w:vAlign w:val="bottom"/>
            <w:gridSpan w:val="20"/>
          </w:tcPr>
          <w:p>
            <w:pPr>
              <w:spacing w:after="0" w:line="16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Lender</w:t>
              </w:r>
            </w:hyperlink>
          </w:p>
        </w:tc>
        <w:tc>
          <w:tcPr>
            <w:tcW w:w="0" w:type="dxa"/>
            <w:vAlign w:val="bottom"/>
          </w:tcPr>
          <w:p>
            <w:pPr>
              <w:spacing w:after="0"/>
              <w:rPr>
                <w:sz w:val="1"/>
                <w:szCs w:val="1"/>
                <w:color w:val="auto"/>
              </w:rPr>
            </w:pPr>
          </w:p>
        </w:tc>
      </w:tr>
      <w:tr>
        <w:trPr>
          <w:trHeight w:val="156"/>
        </w:trPr>
        <w:tc>
          <w:tcPr>
            <w:tcW w:w="920" w:type="dxa"/>
            <w:vAlign w:val="bottom"/>
            <w:gridSpan w:val="2"/>
            <w:vMerge w:val="restart"/>
          </w:tcPr>
          <w:p>
            <w:pPr>
              <w:jc w:val="center"/>
              <w:ind w:left="430"/>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(Incorporated by reference to the Company’s Quarterly Report on Form 10-Q (File No. 001-04321), filed with the SEC on June 23,</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2023)</w:t>
              </w:r>
            </w:hyperlink>
          </w:p>
        </w:tc>
        <w:tc>
          <w:tcPr>
            <w:tcW w:w="5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68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Guaranty of Recourse Obligations dated January 20, 2023, by John C. Loeffler, II, Jennifer Schrader,CDIF, LLC, Caliber Diversified</w:t>
              </w:r>
            </w:hyperlink>
          </w:p>
        </w:tc>
        <w:tc>
          <w:tcPr>
            <w:tcW w:w="0" w:type="dxa"/>
            <w:vAlign w:val="bottom"/>
          </w:tcPr>
          <w:p>
            <w:pPr>
              <w:spacing w:after="0"/>
              <w:rPr>
                <w:sz w:val="1"/>
                <w:szCs w:val="1"/>
                <w:color w:val="auto"/>
              </w:rPr>
            </w:pPr>
          </w:p>
        </w:tc>
      </w:tr>
      <w:tr>
        <w:trPr>
          <w:trHeight w:val="169"/>
        </w:trPr>
        <w:tc>
          <w:tcPr>
            <w:tcW w:w="620" w:type="dxa"/>
            <w:vAlign w:val="bottom"/>
            <w:tcBorders>
              <w:top w:val="single" w:sz="8" w:color="CCEEFF"/>
              <w:bottom w:val="single" w:sz="8" w:color="CCEEFF"/>
              <w:right w:val="single" w:sz="8" w:color="CCEEFF"/>
            </w:tcBorders>
            <w:vMerge w:val="restart"/>
            <w:shd w:val="clear" w:color="auto" w:fill="CCEEFF"/>
          </w:tcPr>
          <w:p>
            <w:pPr>
              <w:spacing w:after="0"/>
              <w:rPr>
                <w:sz w:val="14"/>
                <w:szCs w:val="14"/>
                <w:color w:val="auto"/>
              </w:rPr>
            </w:pPr>
          </w:p>
        </w:tc>
        <w:tc>
          <w:tcPr>
            <w:tcW w:w="300" w:type="dxa"/>
            <w:vAlign w:val="bottom"/>
            <w:tcBorders>
              <w:top w:val="single" w:sz="8" w:color="CCEEFF"/>
              <w:bottom w:val="single" w:sz="8" w:color="CCEEFF"/>
              <w:right w:val="single" w:sz="8" w:color="CCEEFF"/>
            </w:tcBorders>
            <w:vMerge w:val="restart"/>
            <w:shd w:val="clear" w:color="auto" w:fill="CCEEFF"/>
          </w:tcPr>
          <w:p>
            <w:pPr>
              <w:jc w:val="center"/>
              <w:spacing w:after="0"/>
              <w:rPr>
                <w:rFonts w:ascii="Times New Roman" w:cs="Times New Roman" w:eastAsia="Times New Roman" w:hAnsi="Times New Roman"/>
                <w:sz w:val="18"/>
                <w:szCs w:val="18"/>
                <w:color w:val="0000FF"/>
                <w:w w:val="82"/>
              </w:rPr>
            </w:pPr>
            <w:hyperlink r:id="rId46">
              <w:r>
                <w:rPr>
                  <w:rFonts w:ascii="Times New Roman" w:cs="Times New Roman" w:eastAsia="Times New Roman" w:hAnsi="Times New Roman"/>
                  <w:sz w:val="18"/>
                  <w:szCs w:val="18"/>
                  <w:color w:val="0000FF"/>
                  <w:w w:val="82"/>
                </w:rPr>
                <w:t>10.</w:t>
              </w:r>
              <w:r>
                <w:rPr>
                  <w:rFonts w:ascii="Times New Roman" w:cs="Times New Roman" w:eastAsia="Times New Roman" w:hAnsi="Times New Roman"/>
                  <w:sz w:val="18"/>
                  <w:szCs w:val="18"/>
                  <w:u w:val="single" w:color="auto"/>
                  <w:color w:val="0000FF"/>
                  <w:w w:val="82"/>
                </w:rPr>
                <w:t>3</w:t>
              </w:r>
            </w:hyperlink>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9560" w:type="dxa"/>
            <w:vAlign w:val="bottom"/>
            <w:tcBorders>
              <w:top w:val="single" w:sz="8" w:color="0000FF"/>
              <w:bottom w:val="single" w:sz="8" w:color="0000FF"/>
            </w:tcBorders>
            <w:gridSpan w:val="26"/>
            <w:shd w:val="clear" w:color="auto" w:fill="CCEEFF"/>
          </w:tcPr>
          <w:p>
            <w:pPr>
              <w:spacing w:after="0" w:line="169" w:lineRule="exact"/>
              <w:rPr>
                <w:rFonts w:ascii="Times New Roman" w:cs="Times New Roman" w:eastAsia="Times New Roman" w:hAnsi="Times New Roman"/>
                <w:sz w:val="18"/>
                <w:szCs w:val="18"/>
                <w:color w:val="0000FF"/>
                <w:w w:val="98"/>
              </w:rPr>
            </w:pPr>
            <w:hyperlink r:id="rId46">
              <w:r>
                <w:rPr>
                  <w:rFonts w:ascii="Times New Roman" w:cs="Times New Roman" w:eastAsia="Times New Roman" w:hAnsi="Times New Roman"/>
                  <w:sz w:val="18"/>
                  <w:szCs w:val="18"/>
                  <w:color w:val="0000FF"/>
                  <w:w w:val="98"/>
                </w:rPr>
                <w:t>Opportunity Fund II, LP, and CaliberCos Inc. for the benefit of BP Holdings Sigma, LLC(Incorporated by reference to the Company’s</w:t>
              </w:r>
            </w:hyperlink>
          </w:p>
        </w:tc>
        <w:tc>
          <w:tcPr>
            <w:tcW w:w="6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20" w:type="dxa"/>
            <w:vAlign w:val="bottom"/>
            <w:tcBorders>
              <w:right w:val="single" w:sz="8" w:color="CCEEFF"/>
            </w:tcBorders>
            <w:vMerge w:val="continue"/>
            <w:shd w:val="clear" w:color="auto" w:fill="CCEEFF"/>
          </w:tcPr>
          <w:p>
            <w:pPr>
              <w:spacing w:after="0"/>
              <w:rPr>
                <w:sz w:val="13"/>
                <w:szCs w:val="13"/>
                <w:color w:val="auto"/>
              </w:rPr>
            </w:pPr>
          </w:p>
        </w:tc>
        <w:tc>
          <w:tcPr>
            <w:tcW w:w="300" w:type="dxa"/>
            <w:vAlign w:val="bottom"/>
            <w:tcBorders>
              <w:right w:val="single" w:sz="8" w:color="CCEEFF"/>
            </w:tcBorders>
            <w:vMerge w:val="continue"/>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660" w:type="dxa"/>
            <w:vAlign w:val="bottom"/>
            <w:gridSpan w:val="30"/>
            <w:shd w:val="clear" w:color="auto" w:fill="CCEEFF"/>
          </w:tcPr>
          <w:p>
            <w:pPr>
              <w:spacing w:after="0" w:line="15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Quarterly Report on Form 10-Q (File No. 001-04321), filed with the SEC on June 23, 2023)</w:t>
              </w:r>
            </w:hyperlink>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40" w:type="dxa"/>
            <w:vAlign w:val="bottom"/>
            <w:tcBorders>
              <w:bottom w:val="single" w:sz="8" w:color="0000FF"/>
            </w:tcBorders>
            <w:gridSpan w:val="20"/>
          </w:tcPr>
          <w:p>
            <w:pPr>
              <w:spacing w:after="0" w:line="189"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Loan Agreement dated as of October 17, 2019 between Pollock Gateway II DE LLC, as borrower and Barclays Capital Real Estate</w:t>
              </w:r>
            </w:hyperlink>
          </w:p>
        </w:tc>
        <w:tc>
          <w:tcPr>
            <w:tcW w:w="24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20" w:type="dxa"/>
            <w:vAlign w:val="bottom"/>
            <w:gridSpan w:val="2"/>
            <w:vMerge w:val="restart"/>
          </w:tcPr>
          <w:p>
            <w:pPr>
              <w:jc w:val="center"/>
              <w:ind w:left="430"/>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80" w:type="dxa"/>
            <w:vAlign w:val="bottom"/>
            <w:gridSpan w:val="31"/>
          </w:tcPr>
          <w:p>
            <w:pPr>
              <w:spacing w:after="0" w:line="169"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Inc., as lender (Incorporated by reference to the Company’s Quarterly Report on Form 10-Q (File No. 001-04321), filed with the SEC</w:t>
              </w:r>
            </w:hyperlink>
          </w:p>
        </w:tc>
        <w:tc>
          <w:tcPr>
            <w:tcW w:w="0" w:type="dxa"/>
            <w:vAlign w:val="bottom"/>
          </w:tcPr>
          <w:p>
            <w:pPr>
              <w:spacing w:after="0"/>
              <w:rPr>
                <w:sz w:val="1"/>
                <w:szCs w:val="1"/>
                <w:color w:val="auto"/>
              </w:rPr>
            </w:pPr>
          </w:p>
        </w:tc>
      </w:tr>
      <w:tr>
        <w:trPr>
          <w:trHeight w:val="156"/>
        </w:trPr>
        <w:tc>
          <w:tcPr>
            <w:tcW w:w="92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on June 23, 2023)</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6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Borders>
              <w:right w:val="single" w:sz="8" w:color="CCEEFF"/>
            </w:tcBorders>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9680" w:type="dxa"/>
            <w:vAlign w:val="bottom"/>
            <w:gridSpan w:val="31"/>
            <w:shd w:val="clear" w:color="auto" w:fill="CCEEFF"/>
          </w:tcPr>
          <w:p>
            <w:pPr>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Assumption Agreement dated January 25, 2023 by and among Pollock Gateway II DE LLC, original borrower, Gateway II Holdco,</w:t>
              </w:r>
            </w:hyperlink>
          </w:p>
        </w:tc>
        <w:tc>
          <w:tcPr>
            <w:tcW w:w="0" w:type="dxa"/>
            <w:vAlign w:val="bottom"/>
          </w:tcPr>
          <w:p>
            <w:pPr>
              <w:spacing w:after="0"/>
              <w:rPr>
                <w:sz w:val="1"/>
                <w:szCs w:val="1"/>
                <w:color w:val="auto"/>
              </w:rPr>
            </w:pPr>
          </w:p>
        </w:tc>
      </w:tr>
      <w:tr>
        <w:trPr>
          <w:trHeight w:val="169"/>
        </w:trPr>
        <w:tc>
          <w:tcPr>
            <w:tcW w:w="620" w:type="dxa"/>
            <w:vAlign w:val="bottom"/>
            <w:tcBorders>
              <w:top w:val="single" w:sz="8" w:color="CCEEFF"/>
              <w:right w:val="single" w:sz="8" w:color="CCEEFF"/>
            </w:tcBorders>
            <w:shd w:val="clear" w:color="auto" w:fill="CCEEFF"/>
          </w:tcPr>
          <w:p>
            <w:pPr>
              <w:spacing w:after="0"/>
              <w:rPr>
                <w:sz w:val="14"/>
                <w:szCs w:val="14"/>
                <w:color w:val="auto"/>
              </w:rPr>
            </w:pPr>
          </w:p>
        </w:tc>
        <w:tc>
          <w:tcPr>
            <w:tcW w:w="300" w:type="dxa"/>
            <w:vAlign w:val="bottom"/>
            <w:tcBorders>
              <w:top w:val="single" w:sz="8" w:color="CCEEFF"/>
              <w:right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9460" w:type="dxa"/>
            <w:vAlign w:val="bottom"/>
            <w:tcBorders>
              <w:top w:val="single" w:sz="8" w:color="0000FF"/>
            </w:tcBorders>
            <w:gridSpan w:val="21"/>
            <w:shd w:val="clear" w:color="auto" w:fill="CCEEFF"/>
          </w:tcPr>
          <w:p>
            <w:pPr>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LLC, new borrower, Guila Pollock and Vita Piazza, trustees of The James and Guila Pollock Trust dated June 27, 2006, original</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880" w:type="dxa"/>
            <w:vAlign w:val="bottom"/>
            <w:gridSpan w:val="10"/>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140" w:type="dxa"/>
            <w:vAlign w:val="bottom"/>
            <w:gridSpan w:val="7"/>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20" w:type="dxa"/>
            <w:vAlign w:val="bottom"/>
            <w:tcBorders>
              <w:right w:val="single" w:sz="8" w:color="CCEEFF"/>
            </w:tcBorders>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680" w:type="dxa"/>
            <w:vAlign w:val="bottom"/>
            <w:gridSpan w:val="31"/>
            <w:shd w:val="clear" w:color="auto" w:fill="CCEEFF"/>
          </w:tcPr>
          <w:p>
            <w:pPr>
              <w:spacing w:after="0" w:line="15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guarantor, CaliberCos Inc., new guarantor, and Wells Fargo Bank, National Association, as Trustee for the benefit of the registered</w:t>
              </w:r>
            </w:hyperlink>
          </w:p>
        </w:tc>
        <w:tc>
          <w:tcPr>
            <w:tcW w:w="0" w:type="dxa"/>
            <w:vAlign w:val="bottom"/>
          </w:tcPr>
          <w:p>
            <w:pPr>
              <w:spacing w:after="0"/>
              <w:rPr>
                <w:sz w:val="1"/>
                <w:szCs w:val="1"/>
                <w:color w:val="auto"/>
              </w:rPr>
            </w:pPr>
          </w:p>
        </w:tc>
      </w:tr>
      <w:tr>
        <w:trPr>
          <w:trHeight w:val="155"/>
        </w:trPr>
        <w:tc>
          <w:tcPr>
            <w:tcW w:w="620" w:type="dxa"/>
            <w:vAlign w:val="bottom"/>
            <w:tcBorders>
              <w:top w:val="single" w:sz="8" w:color="CCEEFF"/>
              <w:bottom w:val="single" w:sz="8" w:color="CCEEFF"/>
              <w:right w:val="single" w:sz="8" w:color="CCEEFF"/>
            </w:tcBorders>
            <w:vMerge w:val="restart"/>
            <w:shd w:val="clear" w:color="auto" w:fill="CCEEFF"/>
          </w:tcPr>
          <w:p>
            <w:pPr>
              <w:spacing w:after="0"/>
              <w:rPr>
                <w:sz w:val="13"/>
                <w:szCs w:val="13"/>
                <w:color w:val="auto"/>
              </w:rPr>
            </w:pPr>
          </w:p>
        </w:tc>
        <w:tc>
          <w:tcPr>
            <w:tcW w:w="300" w:type="dxa"/>
            <w:vAlign w:val="bottom"/>
            <w:tcBorders>
              <w:top w:val="single" w:sz="8" w:color="CCEEFF"/>
              <w:bottom w:val="single" w:sz="8" w:color="CCEEFF"/>
              <w:right w:val="single" w:sz="8" w:color="CCEEFF"/>
            </w:tcBorders>
            <w:vMerge w:val="restart"/>
            <w:shd w:val="clear" w:color="auto" w:fill="CCEEFF"/>
          </w:tcPr>
          <w:p>
            <w:pPr>
              <w:jc w:val="center"/>
              <w:spacing w:after="0"/>
              <w:rPr>
                <w:rFonts w:ascii="Times New Roman" w:cs="Times New Roman" w:eastAsia="Times New Roman" w:hAnsi="Times New Roman"/>
                <w:sz w:val="18"/>
                <w:szCs w:val="18"/>
                <w:color w:val="0000FF"/>
                <w:w w:val="82"/>
              </w:rPr>
            </w:pPr>
            <w:hyperlink r:id="rId48">
              <w:r>
                <w:rPr>
                  <w:rFonts w:ascii="Times New Roman" w:cs="Times New Roman" w:eastAsia="Times New Roman" w:hAnsi="Times New Roman"/>
                  <w:sz w:val="18"/>
                  <w:szCs w:val="18"/>
                  <w:color w:val="0000FF"/>
                  <w:w w:val="82"/>
                </w:rPr>
                <w:t>10.</w:t>
              </w:r>
              <w:r>
                <w:rPr>
                  <w:rFonts w:ascii="Times New Roman" w:cs="Times New Roman" w:eastAsia="Times New Roman" w:hAnsi="Times New Roman"/>
                  <w:sz w:val="18"/>
                  <w:szCs w:val="18"/>
                  <w:u w:val="single" w:color="auto"/>
                  <w:color w:val="0000FF"/>
                  <w:w w:val="82"/>
                </w:rPr>
                <w:t>5</w:t>
              </w:r>
            </w:hyperlink>
          </w:p>
        </w:tc>
        <w:tc>
          <w:tcPr>
            <w:tcW w:w="5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9400" w:type="dxa"/>
            <w:vAlign w:val="bottom"/>
            <w:tcBorders>
              <w:top w:val="single" w:sz="8" w:color="0000FF"/>
              <w:bottom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w w:val="97"/>
              </w:rPr>
            </w:pPr>
            <w:hyperlink r:id="rId48">
              <w:r>
                <w:rPr>
                  <w:rFonts w:ascii="Times New Roman" w:cs="Times New Roman" w:eastAsia="Times New Roman" w:hAnsi="Times New Roman"/>
                  <w:sz w:val="18"/>
                  <w:szCs w:val="18"/>
                  <w:color w:val="0000FF"/>
                  <w:w w:val="97"/>
                </w:rPr>
                <w:t>holders of BBCMS Mortgage Trust 2019-C5, Commercial Mortgage Pass Through Certificates, Series 2019-C5, lender (Incorporated</w:t>
              </w:r>
            </w:hyperlink>
          </w:p>
        </w:tc>
        <w:tc>
          <w:tcPr>
            <w:tcW w:w="140" w:type="dxa"/>
            <w:vAlign w:val="bottom"/>
            <w:tcBorders>
              <w:top w:val="single" w:sz="8" w:color="CCEEFF"/>
              <w:bottom w:val="single" w:sz="8" w:color="0000FF"/>
            </w:tcBorders>
            <w:gridSpan w:val="7"/>
            <w:shd w:val="clear" w:color="auto" w:fill="CCEEFF"/>
          </w:tcPr>
          <w:p>
            <w:pPr>
              <w:spacing w:after="0"/>
              <w:rPr>
                <w:sz w:val="13"/>
                <w:szCs w:val="13"/>
                <w:color w:val="auto"/>
              </w:rPr>
            </w:pPr>
          </w:p>
        </w:tc>
        <w:tc>
          <w:tcPr>
            <w:tcW w:w="8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20" w:type="dxa"/>
            <w:vAlign w:val="bottom"/>
            <w:tcBorders>
              <w:right w:val="single" w:sz="8" w:color="CCEEFF"/>
            </w:tcBorders>
            <w:vMerge w:val="continue"/>
            <w:shd w:val="clear" w:color="auto" w:fill="CCEEFF"/>
          </w:tcPr>
          <w:p>
            <w:pPr>
              <w:spacing w:after="0"/>
              <w:rPr>
                <w:sz w:val="14"/>
                <w:szCs w:val="14"/>
                <w:color w:val="auto"/>
              </w:rPr>
            </w:pPr>
          </w:p>
        </w:tc>
        <w:tc>
          <w:tcPr>
            <w:tcW w:w="300" w:type="dxa"/>
            <w:vAlign w:val="bottom"/>
            <w:tcBorders>
              <w:right w:val="single" w:sz="8" w:color="CCEEFF"/>
            </w:tcBorders>
            <w:vMerge w:val="continue"/>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9620" w:type="dxa"/>
            <w:vAlign w:val="bottom"/>
            <w:gridSpan w:val="28"/>
            <w:shd w:val="clear" w:color="auto" w:fill="CCEEFF"/>
          </w:tcPr>
          <w:p>
            <w:pPr>
              <w:spacing w:after="0" w:line="16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by reference to the Company’s Quarterly Report on Form 10-Q (File No. 001-04321), filed with the SEC on June 23, 2023)</w:t>
              </w:r>
            </w:hyperlink>
          </w:p>
        </w:tc>
        <w:tc>
          <w:tcPr>
            <w:tcW w:w="60" w:type="dxa"/>
            <w:vAlign w:val="bottom"/>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22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80" w:type="dxa"/>
            <w:vAlign w:val="bottom"/>
            <w:gridSpan w:val="31"/>
          </w:tcPr>
          <w:p>
            <w:pPr>
              <w:spacing w:after="0" w:line="18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Executive Employment Agreement dated January 1, 2019 by and among CaliberCos Inc. and Jennifer Schrader (incorporated by</w:t>
              </w:r>
            </w:hyperlink>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940" w:type="dxa"/>
            <w:vAlign w:val="bottom"/>
            <w:gridSpan w:val="3"/>
            <w:vMerge w:val="restart"/>
          </w:tcPr>
          <w:p>
            <w:pPr>
              <w:jc w:val="center"/>
              <w:ind w:right="640"/>
              <w:spacing w:after="0"/>
              <w:rPr>
                <w:rFonts w:ascii="Times New Roman" w:cs="Times New Roman" w:eastAsia="Times New Roman" w:hAnsi="Times New Roman"/>
                <w:sz w:val="18"/>
                <w:szCs w:val="18"/>
                <w:color w:val="0000FF"/>
                <w:w w:val="73"/>
              </w:rPr>
            </w:pPr>
            <w:hyperlink r:id="rId49">
              <w:r>
                <w:rPr>
                  <w:rFonts w:ascii="Times New Roman" w:cs="Times New Roman" w:eastAsia="Times New Roman" w:hAnsi="Times New Roman"/>
                  <w:sz w:val="18"/>
                  <w:szCs w:val="18"/>
                  <w:color w:val="0000FF"/>
                  <w:w w:val="73"/>
                </w:rPr>
                <w:t>10.</w:t>
              </w:r>
              <w:r>
                <w:rPr>
                  <w:rFonts w:ascii="Times New Roman" w:cs="Times New Roman" w:eastAsia="Times New Roman" w:hAnsi="Times New Roman"/>
                  <w:sz w:val="18"/>
                  <w:szCs w:val="18"/>
                  <w:u w:val="single" w:color="auto"/>
                  <w:color w:val="0000FF"/>
                  <w:w w:val="73"/>
                </w:rPr>
                <w:t>6</w:t>
              </w:r>
            </w:hyperlink>
            <w:r>
              <w:rPr>
                <w:rFonts w:ascii="Times New Roman" w:cs="Times New Roman" w:eastAsia="Times New Roman" w:hAnsi="Times New Roman"/>
                <w:sz w:val="18"/>
                <w:szCs w:val="18"/>
                <w:color w:val="000000"/>
                <w:w w:val="73"/>
              </w:rPr>
              <w:t>†</w:t>
            </w:r>
          </w:p>
        </w:tc>
        <w:tc>
          <w:tcPr>
            <w:tcW w:w="924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reference to Exhibit 6.5 of CaliberCos Inc.’s offering statement on Form 1-A (File No.024-11016), filed with the SEC on August</w:t>
              </w:r>
            </w:hyperlink>
          </w:p>
        </w:tc>
        <w:tc>
          <w:tcPr>
            <w:tcW w:w="440" w:type="dxa"/>
            <w:vAlign w:val="bottom"/>
            <w:gridSpan w:val="16"/>
          </w:tcPr>
          <w:p>
            <w:pPr>
              <w:jc w:val="right"/>
              <w:ind w:right="140"/>
              <w:spacing w:after="0" w:line="169"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19,</w:t>
              </w:r>
            </w:hyperlink>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28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2019)</w:t>
              </w:r>
            </w:hyperlink>
          </w:p>
        </w:tc>
        <w:tc>
          <w:tcPr>
            <w:tcW w:w="5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Borders>
              <w:right w:val="single" w:sz="8" w:color="0000FF"/>
            </w:tcBorders>
          </w:tcPr>
          <w:p>
            <w:pPr>
              <w:spacing w:after="0" w:line="20" w:lineRule="exact"/>
              <w:rPr>
                <w:sz w:val="1"/>
                <w:szCs w:val="1"/>
                <w:color w:val="auto"/>
              </w:rPr>
            </w:pPr>
          </w:p>
        </w:tc>
        <w:tc>
          <w:tcPr>
            <w:tcW w:w="300" w:type="dxa"/>
            <w:vAlign w:val="bottom"/>
            <w:tcBorders>
              <w:right w:val="single" w:sz="8" w:color="auto"/>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83" w:lineRule="exact"/>
        <w:rPr>
          <w:sz w:val="20"/>
          <w:szCs w:val="20"/>
          <w:color w:val="auto"/>
        </w:rPr>
      </w:pPr>
    </w:p>
    <w:p>
      <w:pPr>
        <w:ind w:left="520"/>
        <w:spacing w:after="0"/>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00"/>
        </w:rPr>
        <w:t>†</w:t>
      </w:r>
    </w:p>
    <w:p>
      <w:pPr>
        <w:spacing w:after="0" w:line="212" w:lineRule="exact"/>
        <w:rPr>
          <w:sz w:val="20"/>
          <w:szCs w:val="20"/>
          <w:color w:val="auto"/>
        </w:rPr>
      </w:pPr>
    </w:p>
    <w:p>
      <w:pPr>
        <w:ind w:left="520"/>
        <w:spacing w:after="0"/>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00"/>
        </w:rPr>
        <w:t>†</w:t>
      </w:r>
    </w:p>
    <w:p>
      <w:pPr>
        <w:spacing w:after="0" w:line="212" w:lineRule="exact"/>
        <w:rPr>
          <w:sz w:val="20"/>
          <w:szCs w:val="20"/>
          <w:color w:val="auto"/>
        </w:rPr>
      </w:pPr>
    </w:p>
    <w:p>
      <w:pPr>
        <w:ind w:left="520"/>
        <w:spacing w:after="0"/>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00"/>
        </w:rPr>
        <w:t>†</w:t>
      </w:r>
    </w:p>
    <w:p>
      <w:pPr>
        <w:spacing w:after="0" w:line="212"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00"/>
        </w:rPr>
        <w:t>†</w:t>
      </w:r>
    </w:p>
    <w:p>
      <w:pPr>
        <w:spacing w:after="0" w:line="20" w:lineRule="exact"/>
        <w:rPr>
          <w:sz w:val="20"/>
          <w:szCs w:val="20"/>
          <w:color w:val="auto"/>
        </w:rPr>
      </w:pPr>
      <w:r>
        <w:rPr>
          <w:sz w:val="20"/>
          <w:szCs w:val="20"/>
          <w:color w:val="auto"/>
        </w:rPr>
        <w:br w:type="column"/>
      </w:r>
    </w:p>
    <w:p>
      <w:pPr>
        <w:ind w:right="140"/>
        <w:spacing w:after="0" w:line="236" w:lineRule="auto"/>
        <w:rPr>
          <w:rFonts w:ascii="Times New Roman" w:cs="Times New Roman" w:eastAsia="Times New Roman" w:hAnsi="Times New Roman"/>
          <w:sz w:val="17"/>
          <w:szCs w:val="17"/>
          <w:u w:val="single" w:color="auto"/>
          <w:color w:val="0000FF"/>
        </w:rPr>
      </w:pPr>
      <w:hyperlink r:id="rId51">
        <w:r>
          <w:rPr>
            <w:rFonts w:ascii="Times New Roman" w:cs="Times New Roman" w:eastAsia="Times New Roman" w:hAnsi="Times New Roman"/>
            <w:sz w:val="17"/>
            <w:szCs w:val="17"/>
            <w:u w:val="single" w:color="auto"/>
            <w:color w:val="0000FF"/>
          </w:rPr>
          <w:t>Executive Employment Agreement dated January 1, 2019 by and among CaliberCos Inc. and John C. Loeffler II (incorporated by</w:t>
        </w:r>
      </w:hyperlink>
      <w:r>
        <w:rPr>
          <w:rFonts w:ascii="Times New Roman" w:cs="Times New Roman" w:eastAsia="Times New Roman" w:hAnsi="Times New Roman"/>
          <w:sz w:val="17"/>
          <w:szCs w:val="17"/>
          <w:u w:val="single" w:color="auto"/>
          <w:color w:val="0000FF"/>
        </w:rPr>
        <w:t xml:space="preserve"> </w:t>
      </w:r>
      <w:hyperlink r:id="rId51">
        <w:r>
          <w:rPr>
            <w:rFonts w:ascii="Times New Roman" w:cs="Times New Roman" w:eastAsia="Times New Roman" w:hAnsi="Times New Roman"/>
            <w:sz w:val="17"/>
            <w:szCs w:val="17"/>
            <w:u w:val="single" w:color="auto"/>
            <w:color w:val="0000FF"/>
          </w:rPr>
          <w:t>reference to Exhibit 6.6 of CaliberCos Inc.’s offering statement on Form 1-A (File No.024-11016), filed with the SEC on August 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-240665</wp:posOffset>
            </wp:positionV>
            <wp:extent cx="7132320" cy="3771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51">
        <w:r>
          <w:rPr>
            <w:rFonts w:ascii="Times New Roman" w:cs="Times New Roman" w:eastAsia="Times New Roman" w:hAnsi="Times New Roman"/>
            <w:sz w:val="18"/>
            <w:szCs w:val="18"/>
            <w:u w:val="single" w:color="auto"/>
            <w:color w:val="0000FF"/>
          </w:rPr>
          <w:t>2019)</w:t>
        </w:r>
      </w:hyperlink>
    </w:p>
    <w:p>
      <w:pPr>
        <w:spacing w:after="0" w:line="7" w:lineRule="exact"/>
        <w:rPr>
          <w:sz w:val="20"/>
          <w:szCs w:val="20"/>
          <w:color w:val="auto"/>
        </w:rPr>
      </w:pPr>
    </w:p>
    <w:p>
      <w:pPr>
        <w:ind w:right="80"/>
        <w:spacing w:after="0" w:line="234" w:lineRule="auto"/>
        <w:rPr>
          <w:rFonts w:ascii="Times New Roman" w:cs="Times New Roman" w:eastAsia="Times New Roman" w:hAnsi="Times New Roman"/>
          <w:sz w:val="18"/>
          <w:szCs w:val="18"/>
          <w:u w:val="single" w:color="auto"/>
          <w:color w:val="0000FF"/>
        </w:rPr>
      </w:pPr>
      <w:hyperlink r:id="rId52">
        <w:r>
          <w:rPr>
            <w:rFonts w:ascii="Times New Roman" w:cs="Times New Roman" w:eastAsia="Times New Roman" w:hAnsi="Times New Roman"/>
            <w:sz w:val="18"/>
            <w:szCs w:val="18"/>
            <w:u w:val="single" w:color="auto"/>
            <w:color w:val="0000FF"/>
          </w:rPr>
          <w:t>Executive Employment Agreement dated January 1, 2019 by and among CaliberCos Inc. and Roy Bade (incorporated by reference to</w:t>
        </w:r>
      </w:hyperlink>
      <w:r>
        <w:rPr>
          <w:rFonts w:ascii="Times New Roman" w:cs="Times New Roman" w:eastAsia="Times New Roman" w:hAnsi="Times New Roman"/>
          <w:sz w:val="18"/>
          <w:szCs w:val="18"/>
          <w:u w:val="single" w:color="auto"/>
          <w:color w:val="0000FF"/>
        </w:rPr>
        <w:t xml:space="preserve"> </w:t>
      </w:r>
      <w:hyperlink r:id="rId52">
        <w:r>
          <w:rPr>
            <w:rFonts w:ascii="Times New Roman" w:cs="Times New Roman" w:eastAsia="Times New Roman" w:hAnsi="Times New Roman"/>
            <w:sz w:val="18"/>
            <w:szCs w:val="18"/>
            <w:u w:val="single" w:color="auto"/>
            <w:color w:val="0000FF"/>
          </w:rPr>
          <w:t>Exhibit 6.7 of CaliberCos Inc.’s offering statement on Form 1-A (File No.024-11016), filed with the SEC on August 19, 2019)</w:t>
        </w:r>
      </w:hyperlink>
    </w:p>
    <w:p>
      <w:pPr>
        <w:spacing w:after="0" w:line="10" w:lineRule="exact"/>
        <w:rPr>
          <w:sz w:val="20"/>
          <w:szCs w:val="20"/>
          <w:color w:val="auto"/>
        </w:rPr>
      </w:pPr>
    </w:p>
    <w:p>
      <w:pPr>
        <w:ind w:right="160"/>
        <w:spacing w:after="0" w:line="256" w:lineRule="auto"/>
        <w:rPr>
          <w:rFonts w:ascii="Times New Roman" w:cs="Times New Roman" w:eastAsia="Times New Roman" w:hAnsi="Times New Roman"/>
          <w:sz w:val="17"/>
          <w:szCs w:val="17"/>
          <w:u w:val="single" w:color="auto"/>
          <w:color w:val="0000FF"/>
        </w:rPr>
      </w:pPr>
      <w:hyperlink r:id="rId53">
        <w:r>
          <w:rPr>
            <w:rFonts w:ascii="Times New Roman" w:cs="Times New Roman" w:eastAsia="Times New Roman" w:hAnsi="Times New Roman"/>
            <w:sz w:val="17"/>
            <w:szCs w:val="17"/>
            <w:u w:val="single" w:color="auto"/>
            <w:color w:val="0000FF"/>
          </w:rPr>
          <w:t>Executive Employment Agreement dated January 1, 2019 by and among CaliberCos Inc. and Jade Leung (incorporated by reference</w:t>
        </w:r>
      </w:hyperlink>
      <w:r>
        <w:rPr>
          <w:rFonts w:ascii="Times New Roman" w:cs="Times New Roman" w:eastAsia="Times New Roman" w:hAnsi="Times New Roman"/>
          <w:sz w:val="17"/>
          <w:szCs w:val="17"/>
          <w:u w:val="single" w:color="auto"/>
          <w:color w:val="0000FF"/>
        </w:rPr>
        <w:t xml:space="preserve"> </w:t>
      </w:r>
      <w:hyperlink r:id="rId53">
        <w:r>
          <w:rPr>
            <w:rFonts w:ascii="Times New Roman" w:cs="Times New Roman" w:eastAsia="Times New Roman" w:hAnsi="Times New Roman"/>
            <w:sz w:val="17"/>
            <w:szCs w:val="17"/>
            <w:u w:val="single" w:color="auto"/>
            <w:color w:val="0000FF"/>
          </w:rPr>
          <w:t>to Exhibit 6.8 of CaliberCos Inc.’s offering statement on Form 1-A (File No.024-11016), filed with the SEC on August 19,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-260985</wp:posOffset>
            </wp:positionV>
            <wp:extent cx="713232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right="60"/>
        <w:spacing w:after="0" w:line="237" w:lineRule="auto"/>
        <w:rPr>
          <w:rFonts w:ascii="Times New Roman" w:cs="Times New Roman" w:eastAsia="Times New Roman" w:hAnsi="Times New Roman"/>
          <w:sz w:val="18"/>
          <w:szCs w:val="18"/>
          <w:u w:val="single" w:color="auto"/>
          <w:color w:val="0000FF"/>
        </w:rPr>
      </w:pPr>
      <w:hyperlink r:id="rId57">
        <w:r>
          <w:rPr>
            <w:rFonts w:ascii="Times New Roman" w:cs="Times New Roman" w:eastAsia="Times New Roman" w:hAnsi="Times New Roman"/>
            <w:sz w:val="18"/>
            <w:szCs w:val="18"/>
            <w:u w:val="single" w:color="auto"/>
            <w:color w:val="0000FF"/>
          </w:rPr>
          <w:t>Employment Agreement dated May 25, 2023 by and between Caliber Services, LLC and Ignacio Martinez (Incorporated by reference</w:t>
        </w:r>
      </w:hyperlink>
      <w:r>
        <w:rPr>
          <w:rFonts w:ascii="Times New Roman" w:cs="Times New Roman" w:eastAsia="Times New Roman" w:hAnsi="Times New Roman"/>
          <w:sz w:val="18"/>
          <w:szCs w:val="18"/>
          <w:u w:val="single" w:color="auto"/>
          <w:color w:val="0000FF"/>
        </w:rPr>
        <w:t xml:space="preserve"> </w:t>
      </w:r>
      <w:hyperlink r:id="rId57">
        <w:r>
          <w:rPr>
            <w:rFonts w:ascii="Times New Roman" w:cs="Times New Roman" w:eastAsia="Times New Roman" w:hAnsi="Times New Roman"/>
            <w:sz w:val="18"/>
            <w:szCs w:val="18"/>
            <w:u w:val="single" w:color="auto"/>
            <w:color w:val="0000FF"/>
          </w:rPr>
          <w:t>to the Company’s Current Report on Form 8-K (File No. 024-11016), filed with the SEC on April 5, 2024)</w:t>
        </w:r>
      </w:hyperlink>
    </w:p>
    <w:p>
      <w:pPr>
        <w:spacing w:after="0" w:line="1" w:lineRule="exact"/>
        <w:rPr>
          <w:sz w:val="20"/>
          <w:szCs w:val="20"/>
          <w:color w:val="auto"/>
        </w:rPr>
      </w:pPr>
    </w:p>
    <w:p>
      <w:pPr>
        <w:sectPr>
          <w:pgSz w:w="11900" w:h="16838" w:orient="portrait"/>
          <w:cols w:equalWidth="0" w:num="2">
            <w:col w:w="980" w:space="580"/>
            <w:col w:w="968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04"/>
        </w:trPr>
        <w:tc>
          <w:tcPr>
            <w:tcW w:w="920" w:type="dxa"/>
            <w:vAlign w:val="bottom"/>
            <w:tcBorders>
              <w:bottom w:val="single" w:sz="8" w:color="CCEEFF"/>
            </w:tcBorders>
            <w:gridSpan w:val="4"/>
            <w:vMerge w:val="restart"/>
            <w:shd w:val="clear" w:color="auto" w:fill="CCEEFF"/>
          </w:tcPr>
          <w:p>
            <w:pPr>
              <w:jc w:val="center"/>
              <w:ind w:left="430"/>
              <w:spacing w:after="0"/>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11</w:t>
              </w:r>
            </w:hyperlink>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240" w:type="dxa"/>
            <w:vAlign w:val="bottom"/>
            <w:tcBorders>
              <w:bottom w:val="single" w:sz="8" w:color="0000FF"/>
            </w:tcBorders>
            <w:gridSpan w:val="16"/>
            <w:shd w:val="clear" w:color="auto" w:fill="CCEEFF"/>
          </w:tcPr>
          <w:p>
            <w:pPr>
              <w:spacing w:after="0" w:line="204"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Form of Indemnification Agreement between CaliberCos Inc. and its directors and officers (incorporated by reference to Exhibit</w:t>
              </w:r>
            </w:hyperlink>
          </w:p>
        </w:tc>
        <w:tc>
          <w:tcPr>
            <w:tcW w:w="440" w:type="dxa"/>
            <w:vAlign w:val="bottom"/>
            <w:tcBorders>
              <w:bottom w:val="single" w:sz="8" w:color="CCEEFF"/>
            </w:tcBorders>
            <w:gridSpan w:val="10"/>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920" w:type="dxa"/>
            <w:vAlign w:val="bottom"/>
            <w:tcBorders>
              <w:bottom w:val="single" w:sz="8" w:color="CCEEFF"/>
            </w:tcBorders>
            <w:gridSpan w:val="4"/>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420" w:type="dxa"/>
            <w:vAlign w:val="bottom"/>
            <w:tcBorders>
              <w:bottom w:val="single" w:sz="8" w:color="0000FF"/>
            </w:tcBorders>
            <w:gridSpan w:val="22"/>
            <w:shd w:val="clear" w:color="auto" w:fill="CCEEFF"/>
          </w:tcPr>
          <w:p>
            <w:pPr>
              <w:spacing w:after="0" w:line="142" w:lineRule="exact"/>
              <w:rPr>
                <w:rFonts w:ascii="Times New Roman" w:cs="Times New Roman" w:eastAsia="Times New Roman" w:hAnsi="Times New Roman"/>
                <w:sz w:val="16"/>
                <w:szCs w:val="16"/>
                <w:color w:val="0000FF"/>
              </w:rPr>
            </w:pPr>
            <w:hyperlink r:id="rId58">
              <w:r>
                <w:rPr>
                  <w:rFonts w:ascii="Times New Roman" w:cs="Times New Roman" w:eastAsia="Times New Roman" w:hAnsi="Times New Roman"/>
                  <w:sz w:val="16"/>
                  <w:szCs w:val="16"/>
                  <w:color w:val="0000FF"/>
                </w:rPr>
                <w:t>10.11 to the Registrant’s Registration Statement on Form S-1/A, filed with the SEC on November 23, 2022 (File No. 333-267657))</w:t>
              </w:r>
            </w:hyperlink>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9300" w:type="dxa"/>
            <w:vAlign w:val="bottom"/>
            <w:tcBorders>
              <w:top w:val="single" w:sz="8" w:color="CCEEFF"/>
              <w:bottom w:val="single" w:sz="8" w:color="0000FF"/>
            </w:tcBorders>
            <w:gridSpan w:val="19"/>
          </w:tcPr>
          <w:p>
            <w:pPr>
              <w:spacing w:after="0" w:line="183"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Form of Escrow Agreement by and among CaliberCos Inc., SI Securities, LLC and The Bryn Mawr Trust Company of Delaware</w:t>
              </w:r>
            </w:hyperlink>
          </w:p>
        </w:tc>
        <w:tc>
          <w:tcPr>
            <w:tcW w:w="380" w:type="dxa"/>
            <w:vAlign w:val="bottom"/>
            <w:tcBorders>
              <w:top w:val="single" w:sz="8" w:color="CCEEFF"/>
            </w:tcBorders>
            <w:gridSpan w:val="7"/>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980" w:type="dxa"/>
            <w:vAlign w:val="bottom"/>
            <w:gridSpan w:val="5"/>
            <w:vMerge w:val="restart"/>
          </w:tcPr>
          <w:p>
            <w:pPr>
              <w:jc w:val="center"/>
              <w:ind w:left="370"/>
              <w:spacing w:after="0"/>
              <w:rPr>
                <w:rFonts w:ascii="Times New Roman" w:cs="Times New Roman" w:eastAsia="Times New Roman" w:hAnsi="Times New Roman"/>
                <w:sz w:val="18"/>
                <w:szCs w:val="18"/>
                <w:color w:val="0000FF"/>
                <w:w w:val="98"/>
              </w:rPr>
            </w:pPr>
            <w:hyperlink r:id="rId5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12</w:t>
              </w:r>
            </w:hyperlink>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80" w:type="dxa"/>
            <w:vAlign w:val="bottom"/>
            <w:gridSpan w:val="26"/>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(incorporated by reference to Exhibit 8.1 of CaliberCos Inc.’s offering statement on Form 1-A (File No.024-11016), filed with the</w:t>
              </w:r>
            </w:hyperlink>
          </w:p>
        </w:tc>
        <w:tc>
          <w:tcPr>
            <w:tcW w:w="0" w:type="dxa"/>
            <w:vAlign w:val="bottom"/>
          </w:tcPr>
          <w:p>
            <w:pPr>
              <w:spacing w:after="0"/>
              <w:rPr>
                <w:sz w:val="1"/>
                <w:szCs w:val="1"/>
                <w:color w:val="auto"/>
              </w:rPr>
            </w:pPr>
          </w:p>
        </w:tc>
      </w:tr>
      <w:tr>
        <w:trPr>
          <w:trHeight w:val="169"/>
        </w:trPr>
        <w:tc>
          <w:tcPr>
            <w:tcW w:w="98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3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SEC on January 3, 2020)</w:t>
              </w:r>
            </w:hyperlink>
          </w:p>
        </w:tc>
        <w:tc>
          <w:tcPr>
            <w:tcW w:w="1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8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Caliber/ Encore Opportunistic Growth Fund Limited Liability Company Agreement dated May 1, 2022 by and between CaliberCos</w:t>
              </w:r>
            </w:hyperlink>
          </w:p>
        </w:tc>
        <w:tc>
          <w:tcPr>
            <w:tcW w:w="0" w:type="dxa"/>
            <w:vAlign w:val="bottom"/>
          </w:tcPr>
          <w:p>
            <w:pPr>
              <w:spacing w:after="0"/>
              <w:rPr>
                <w:sz w:val="1"/>
                <w:szCs w:val="1"/>
                <w:color w:val="auto"/>
              </w:rPr>
            </w:pPr>
          </w:p>
        </w:tc>
      </w:tr>
      <w:tr>
        <w:trPr>
          <w:trHeight w:val="156"/>
        </w:trPr>
        <w:tc>
          <w:tcPr>
            <w:tcW w:w="520" w:type="dxa"/>
            <w:vAlign w:val="bottom"/>
            <w:tcBorders>
              <w:top w:val="single" w:sz="8" w:color="CCEEFF"/>
            </w:tcBorders>
            <w:gridSpan w:val="3"/>
            <w:vMerge w:val="restart"/>
            <w:shd w:val="clear" w:color="auto" w:fill="CCEEFF"/>
          </w:tcPr>
          <w:p>
            <w:pPr>
              <w:spacing w:after="0"/>
              <w:rPr>
                <w:sz w:val="13"/>
                <w:szCs w:val="13"/>
                <w:color w:val="auto"/>
              </w:rPr>
            </w:pPr>
          </w:p>
        </w:tc>
        <w:tc>
          <w:tcPr>
            <w:tcW w:w="460" w:type="dxa"/>
            <w:vAlign w:val="bottom"/>
            <w:tcBorders>
              <w:top w:val="single" w:sz="8" w:color="CCEEFF"/>
            </w:tcBorders>
            <w:gridSpan w:val="2"/>
            <w:vMerge w:val="restart"/>
            <w:shd w:val="clear" w:color="auto" w:fill="CCEEFF"/>
          </w:tcPr>
          <w:p>
            <w:pPr>
              <w:jc w:val="center"/>
              <w:ind w:right="60"/>
              <w:spacing w:after="0"/>
              <w:rPr>
                <w:rFonts w:ascii="Times New Roman" w:cs="Times New Roman" w:eastAsia="Times New Roman" w:hAnsi="Times New Roman"/>
                <w:sz w:val="18"/>
                <w:szCs w:val="18"/>
                <w:color w:val="0000FF"/>
                <w:w w:val="98"/>
              </w:rPr>
            </w:pPr>
            <w:hyperlink r:id="rId60">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13</w:t>
              </w:r>
            </w:hyperlink>
          </w:p>
        </w:tc>
        <w:tc>
          <w:tcPr>
            <w:tcW w:w="4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9460" w:type="dxa"/>
            <w:vAlign w:val="bottom"/>
            <w:tcBorders>
              <w:top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Inc. and Encore Caliber Holdings, LLC (incorporated by reference to Exhibit 10.13 to the Registrant’s Registration Statement on</w:t>
              </w:r>
            </w:hyperlink>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CCEEFF"/>
            </w:tcBorders>
            <w:gridSpan w:val="3"/>
            <w:vMerge w:val="continue"/>
            <w:shd w:val="clear" w:color="auto" w:fill="CCEEFF"/>
          </w:tcPr>
          <w:p>
            <w:pPr>
              <w:spacing w:after="0"/>
              <w:rPr>
                <w:sz w:val="14"/>
                <w:szCs w:val="14"/>
                <w:color w:val="auto"/>
              </w:rPr>
            </w:pPr>
          </w:p>
        </w:tc>
        <w:tc>
          <w:tcPr>
            <w:tcW w:w="460" w:type="dxa"/>
            <w:vAlign w:val="bottom"/>
            <w:tcBorders>
              <w:top w:val="single" w:sz="8" w:color="CCEEFF"/>
            </w:tcBorders>
            <w:gridSpan w:val="2"/>
            <w:vMerge w:val="continue"/>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9260" w:type="dxa"/>
            <w:vAlign w:val="bottom"/>
            <w:tcBorders>
              <w:top w:val="single" w:sz="8" w:color="0000FF"/>
            </w:tcBorders>
            <w:gridSpan w:val="17"/>
            <w:shd w:val="clear" w:color="auto" w:fill="CCEEFF"/>
          </w:tcPr>
          <w:p>
            <w:pPr>
              <w:spacing w:after="0" w:line="169"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Form S-1/A, filed with the SEC on April 12, 2023 (File No. 333-267657))</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80" w:type="dxa"/>
            <w:vAlign w:val="bottom"/>
            <w:tcBorders>
              <w:top w:val="single" w:sz="8" w:color="CCEEFF"/>
            </w:tcBorders>
            <w:gridSpan w:val="4"/>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80" w:type="dxa"/>
            <w:vAlign w:val="bottom"/>
            <w:gridSpan w:val="26"/>
          </w:tcPr>
          <w:p>
            <w:pPr>
              <w:spacing w:after="0" w:line="18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Form of Managing Dealer Agreement by and among CaliberCos Inc., Skyway Capital Markets, LLC and Issuer (incorporated by</w:t>
              </w:r>
            </w:hyperlink>
          </w:p>
        </w:tc>
        <w:tc>
          <w:tcPr>
            <w:tcW w:w="0" w:type="dxa"/>
            <w:vAlign w:val="bottom"/>
          </w:tcPr>
          <w:p>
            <w:pPr>
              <w:spacing w:after="0"/>
              <w:rPr>
                <w:sz w:val="1"/>
                <w:szCs w:val="1"/>
                <w:color w:val="auto"/>
              </w:rPr>
            </w:pPr>
          </w:p>
        </w:tc>
      </w:tr>
      <w:tr>
        <w:trPr>
          <w:trHeight w:val="155"/>
        </w:trPr>
        <w:tc>
          <w:tcPr>
            <w:tcW w:w="980" w:type="dxa"/>
            <w:vAlign w:val="bottom"/>
            <w:gridSpan w:val="5"/>
            <w:vMerge w:val="restart"/>
          </w:tcPr>
          <w:p>
            <w:pPr>
              <w:jc w:val="center"/>
              <w:ind w:left="370"/>
              <w:spacing w:after="0"/>
              <w:rPr>
                <w:rFonts w:ascii="Times New Roman" w:cs="Times New Roman" w:eastAsia="Times New Roman" w:hAnsi="Times New Roman"/>
                <w:sz w:val="18"/>
                <w:szCs w:val="18"/>
                <w:color w:val="0000FF"/>
                <w:w w:val="98"/>
              </w:rPr>
            </w:pPr>
            <w:hyperlink r:id="rId61">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14</w:t>
              </w:r>
            </w:hyperlink>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reference to Exhibit 10.14 to the Registrant’s Registration Statement on Form S-1/A, filed with the SEC on April 12, 2023 (File</w:t>
              </w:r>
            </w:hyperlink>
          </w:p>
        </w:tc>
        <w:tc>
          <w:tcPr>
            <w:tcW w:w="400" w:type="dxa"/>
            <w:vAlign w:val="bottom"/>
            <w:gridSpan w:val="8"/>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No.</w:t>
              </w:r>
            </w:hyperlink>
          </w:p>
        </w:tc>
        <w:tc>
          <w:tcPr>
            <w:tcW w:w="0" w:type="dxa"/>
            <w:vAlign w:val="bottom"/>
          </w:tcPr>
          <w:p>
            <w:pPr>
              <w:spacing w:after="0"/>
              <w:rPr>
                <w:sz w:val="1"/>
                <w:szCs w:val="1"/>
                <w:color w:val="auto"/>
              </w:rPr>
            </w:pPr>
          </w:p>
        </w:tc>
      </w:tr>
      <w:tr>
        <w:trPr>
          <w:trHeight w:val="169"/>
        </w:trPr>
        <w:tc>
          <w:tcPr>
            <w:tcW w:w="98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333-267657))</w:t>
              </w:r>
            </w:hyperlink>
          </w:p>
        </w:tc>
        <w:tc>
          <w:tcPr>
            <w:tcW w:w="1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18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8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Sponsor Consulting Agreement dated December 1, 2022 by and among CaliberCos Inc. and Skyway Capital Markets, LLC</w:t>
              </w:r>
            </w:hyperlink>
          </w:p>
        </w:tc>
        <w:tc>
          <w:tcPr>
            <w:tcW w:w="0" w:type="dxa"/>
            <w:vAlign w:val="bottom"/>
          </w:tcPr>
          <w:p>
            <w:pPr>
              <w:spacing w:after="0"/>
              <w:rPr>
                <w:sz w:val="1"/>
                <w:szCs w:val="1"/>
                <w:color w:val="auto"/>
              </w:rPr>
            </w:pPr>
          </w:p>
        </w:tc>
      </w:tr>
      <w:tr>
        <w:trPr>
          <w:trHeight w:val="20"/>
        </w:trPr>
        <w:tc>
          <w:tcPr>
            <w:tcW w:w="4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60" w:type="dxa"/>
            <w:vAlign w:val="bottom"/>
            <w:gridSpan w:val="5"/>
            <w:shd w:val="clear" w:color="auto" w:fill="CCEEFF"/>
          </w:tcPr>
          <w:p>
            <w:pPr>
              <w:spacing w:after="0" w:line="20" w:lineRule="exact"/>
              <w:rPr>
                <w:sz w:val="1"/>
                <w:szCs w:val="1"/>
                <w:color w:val="auto"/>
              </w:rPr>
            </w:pPr>
          </w:p>
        </w:tc>
        <w:tc>
          <w:tcPr>
            <w:tcW w:w="320" w:type="dxa"/>
            <w:vAlign w:val="bottom"/>
            <w:gridSpan w:val="5"/>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0" w:type="dxa"/>
            <w:vAlign w:val="bottom"/>
            <w:gridSpan w:val="3"/>
            <w:vMerge w:val="restart"/>
            <w:shd w:val="clear" w:color="auto" w:fill="CCEEFF"/>
          </w:tcPr>
          <w:p>
            <w:pPr>
              <w:spacing w:after="0"/>
              <w:rPr>
                <w:sz w:val="13"/>
                <w:szCs w:val="13"/>
                <w:color w:val="auto"/>
              </w:rPr>
            </w:pPr>
          </w:p>
        </w:tc>
        <w:tc>
          <w:tcPr>
            <w:tcW w:w="460" w:type="dxa"/>
            <w:vAlign w:val="bottom"/>
            <w:gridSpan w:val="2"/>
            <w:vMerge w:val="restart"/>
            <w:shd w:val="clear" w:color="auto" w:fill="CCEEFF"/>
          </w:tcPr>
          <w:p>
            <w:pPr>
              <w:jc w:val="center"/>
              <w:ind w:right="60"/>
              <w:spacing w:after="0"/>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15</w:t>
              </w:r>
            </w:hyperlink>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80" w:type="dxa"/>
            <w:vAlign w:val="bottom"/>
            <w:gridSpan w:val="26"/>
            <w:shd w:val="clear" w:color="auto" w:fill="CCEEFF"/>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(incorporated by reference to Exhibit 10.15 to the Registrant’s Registration Statement on Form S-1/A, filed with the SEC on April 12,</w:t>
              </w:r>
            </w:hyperlink>
          </w:p>
        </w:tc>
        <w:tc>
          <w:tcPr>
            <w:tcW w:w="0" w:type="dxa"/>
            <w:vAlign w:val="bottom"/>
          </w:tcPr>
          <w:p>
            <w:pPr>
              <w:spacing w:after="0"/>
              <w:rPr>
                <w:sz w:val="1"/>
                <w:szCs w:val="1"/>
                <w:color w:val="auto"/>
              </w:rPr>
            </w:pPr>
          </w:p>
        </w:tc>
      </w:tr>
      <w:tr>
        <w:trPr>
          <w:trHeight w:val="169"/>
        </w:trPr>
        <w:tc>
          <w:tcPr>
            <w:tcW w:w="520" w:type="dxa"/>
            <w:vAlign w:val="bottom"/>
            <w:tcBorders>
              <w:top w:val="single" w:sz="8" w:color="CCEEFF"/>
            </w:tcBorders>
            <w:gridSpan w:val="3"/>
            <w:vMerge w:val="continue"/>
            <w:shd w:val="clear" w:color="auto" w:fill="CCEEFF"/>
          </w:tcPr>
          <w:p>
            <w:pPr>
              <w:spacing w:after="0"/>
              <w:rPr>
                <w:sz w:val="14"/>
                <w:szCs w:val="14"/>
                <w:color w:val="auto"/>
              </w:rPr>
            </w:pPr>
          </w:p>
        </w:tc>
        <w:tc>
          <w:tcPr>
            <w:tcW w:w="460" w:type="dxa"/>
            <w:vAlign w:val="bottom"/>
            <w:tcBorders>
              <w:top w:val="single" w:sz="8" w:color="CCEEFF"/>
            </w:tcBorders>
            <w:gridSpan w:val="2"/>
            <w:vMerge w:val="continue"/>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9640" w:type="dxa"/>
            <w:vAlign w:val="bottom"/>
            <w:tcBorders>
              <w:top w:val="single" w:sz="8" w:color="0000FF"/>
            </w:tcBorders>
            <w:gridSpan w:val="25"/>
            <w:shd w:val="clear" w:color="auto" w:fill="CCEEFF"/>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2023 (File No. 333-267657))</w:t>
              </w:r>
            </w:hyperlink>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gridSpan w:val="3"/>
            <w:vMerge w:val="restart"/>
          </w:tcPr>
          <w:p>
            <w:pPr>
              <w:spacing w:after="0"/>
              <w:rPr>
                <w:sz w:val="16"/>
                <w:szCs w:val="16"/>
                <w:color w:val="auto"/>
              </w:rPr>
            </w:pPr>
          </w:p>
        </w:tc>
        <w:tc>
          <w:tcPr>
            <w:tcW w:w="460" w:type="dxa"/>
            <w:vAlign w:val="bottom"/>
            <w:gridSpan w:val="2"/>
            <w:vMerge w:val="restart"/>
          </w:tcPr>
          <w:p>
            <w:pPr>
              <w:jc w:val="center"/>
              <w:ind w:right="60"/>
              <w:spacing w:after="0"/>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16</w:t>
              </w:r>
            </w:hyperlink>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80" w:type="dxa"/>
            <w:vAlign w:val="bottom"/>
            <w:gridSpan w:val="26"/>
          </w:tcPr>
          <w:p>
            <w:pPr>
              <w:spacing w:after="0" w:line="18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Contribution Agreement dated June 30, 2023 (Incorporated by reference to the Company’s Current Report on Form 8-K (File No.</w:t>
              </w:r>
            </w:hyperlink>
          </w:p>
        </w:tc>
        <w:tc>
          <w:tcPr>
            <w:tcW w:w="0" w:type="dxa"/>
            <w:vAlign w:val="bottom"/>
          </w:tcPr>
          <w:p>
            <w:pPr>
              <w:spacing w:after="0"/>
              <w:rPr>
                <w:sz w:val="1"/>
                <w:szCs w:val="1"/>
                <w:color w:val="auto"/>
              </w:rPr>
            </w:pPr>
          </w:p>
        </w:tc>
      </w:tr>
      <w:tr>
        <w:trPr>
          <w:trHeight w:val="155"/>
        </w:trPr>
        <w:tc>
          <w:tcPr>
            <w:tcW w:w="520" w:type="dxa"/>
            <w:vAlign w:val="bottom"/>
            <w:gridSpan w:val="3"/>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9"/>
          </w:tcPr>
          <w:p>
            <w:pPr>
              <w:spacing w:after="0" w:line="142" w:lineRule="exact"/>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024-11016), filed with the SEC on July 7, 2023)</w:t>
              </w:r>
            </w:hyperlink>
          </w:p>
        </w:tc>
        <w:tc>
          <w:tcPr>
            <w:tcW w:w="2200" w:type="dxa"/>
            <w:vAlign w:val="bottom"/>
            <w:tcBorders>
              <w:top w:val="single" w:sz="8" w:color="0000FF"/>
            </w:tcBorders>
            <w:gridSpan w:val="2"/>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80" w:type="dxa"/>
            <w:vAlign w:val="bottom"/>
            <w:tcBorders>
              <w:top w:val="single" w:sz="8" w:color="0000FF"/>
            </w:tcBorders>
            <w:gridSpan w:val="6"/>
          </w:tcPr>
          <w:p>
            <w:pPr>
              <w:spacing w:after="0"/>
              <w:rPr>
                <w:sz w:val="13"/>
                <w:szCs w:val="13"/>
                <w:color w:val="auto"/>
              </w:rPr>
            </w:pPr>
          </w:p>
        </w:tc>
        <w:tc>
          <w:tcPr>
            <w:tcW w:w="3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0" w:type="dxa"/>
            <w:vAlign w:val="bottom"/>
            <w:gridSpan w:val="6"/>
            <w:shd w:val="clear" w:color="auto" w:fill="CCEEFF"/>
          </w:tcPr>
          <w:p>
            <w:pPr>
              <w:jc w:val="center"/>
              <w:ind w:left="350"/>
              <w:spacing w:after="0" w:line="203"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14.</w:t>
              </w:r>
              <w:r>
                <w:rPr>
                  <w:rFonts w:ascii="Times New Roman" w:cs="Times New Roman" w:eastAsia="Times New Roman" w:hAnsi="Times New Roman"/>
                  <w:sz w:val="18"/>
                  <w:szCs w:val="18"/>
                  <w:u w:val="single" w:color="auto"/>
                  <w:color w:val="0000FF"/>
                </w:rPr>
                <w:t>1**</w:t>
              </w:r>
            </w:hyperlink>
          </w:p>
        </w:tc>
        <w:tc>
          <w:tcPr>
            <w:tcW w:w="540" w:type="dxa"/>
            <w:vAlign w:val="bottom"/>
            <w:shd w:val="clear" w:color="auto" w:fill="CCEEFF"/>
          </w:tcPr>
          <w:p>
            <w:pPr>
              <w:spacing w:after="0"/>
              <w:rPr>
                <w:sz w:val="17"/>
                <w:szCs w:val="17"/>
                <w:color w:val="auto"/>
              </w:rPr>
            </w:pPr>
          </w:p>
        </w:tc>
        <w:tc>
          <w:tcPr>
            <w:tcW w:w="9680" w:type="dxa"/>
            <w:vAlign w:val="bottom"/>
            <w:gridSpan w:val="26"/>
            <w:shd w:val="clear" w:color="auto" w:fill="CCEEFF"/>
          </w:tcPr>
          <w:p>
            <w:pPr>
              <w:spacing w:after="0" w:line="203" w:lineRule="exact"/>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Code of Ethics</w:t>
              </w:r>
            </w:hyperlink>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gridSpan w:val="6"/>
          </w:tcPr>
          <w:p>
            <w:pPr>
              <w:jc w:val="center"/>
              <w:ind w:left="350"/>
              <w:spacing w:after="0" w:line="18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19.</w:t>
              </w:r>
              <w:r>
                <w:rPr>
                  <w:rFonts w:ascii="Times New Roman" w:cs="Times New Roman" w:eastAsia="Times New Roman" w:hAnsi="Times New Roman"/>
                  <w:sz w:val="18"/>
                  <w:szCs w:val="18"/>
                  <w:u w:val="single" w:color="auto"/>
                  <w:color w:val="0000FF"/>
                </w:rPr>
                <w:t>1**</w:t>
              </w:r>
            </w:hyperlink>
          </w:p>
        </w:tc>
        <w:tc>
          <w:tcPr>
            <w:tcW w:w="540" w:type="dxa"/>
            <w:vAlign w:val="bottom"/>
          </w:tcPr>
          <w:p>
            <w:pPr>
              <w:spacing w:after="0"/>
              <w:rPr>
                <w:sz w:val="16"/>
                <w:szCs w:val="16"/>
                <w:color w:val="auto"/>
              </w:rPr>
            </w:pPr>
          </w:p>
        </w:tc>
        <w:tc>
          <w:tcPr>
            <w:tcW w:w="9680" w:type="dxa"/>
            <w:vAlign w:val="bottom"/>
            <w:gridSpan w:val="26"/>
          </w:tcPr>
          <w:p>
            <w:pPr>
              <w:spacing w:after="0" w:line="189"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Insider Trading Policy</w:t>
              </w:r>
            </w:hyperlink>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gridSpan w:val="6"/>
            <w:shd w:val="clear" w:color="auto" w:fill="CCEEFF"/>
          </w:tcPr>
          <w:p>
            <w:pPr>
              <w:jc w:val="center"/>
              <w:ind w:left="350"/>
              <w:spacing w:after="0" w:line="18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540" w:type="dxa"/>
            <w:vAlign w:val="bottom"/>
            <w:shd w:val="clear" w:color="auto" w:fill="CCEEFF"/>
          </w:tcPr>
          <w:p>
            <w:pPr>
              <w:spacing w:after="0"/>
              <w:rPr>
                <w:sz w:val="16"/>
                <w:szCs w:val="16"/>
                <w:color w:val="auto"/>
              </w:rPr>
            </w:pPr>
          </w:p>
        </w:tc>
        <w:tc>
          <w:tcPr>
            <w:tcW w:w="968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Subsidiaries</w:t>
              </w:r>
            </w:hyperlink>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gridSpan w:val="6"/>
          </w:tcPr>
          <w:p>
            <w:pPr>
              <w:jc w:val="center"/>
              <w:ind w:left="350"/>
              <w:spacing w:after="0" w:line="18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hyperlink>
          </w:p>
        </w:tc>
        <w:tc>
          <w:tcPr>
            <w:tcW w:w="540" w:type="dxa"/>
            <w:vAlign w:val="bottom"/>
          </w:tcPr>
          <w:p>
            <w:pPr>
              <w:spacing w:after="0"/>
              <w:rPr>
                <w:sz w:val="16"/>
                <w:szCs w:val="16"/>
                <w:color w:val="auto"/>
              </w:rPr>
            </w:pPr>
          </w:p>
        </w:tc>
        <w:tc>
          <w:tcPr>
            <w:tcW w:w="9680" w:type="dxa"/>
            <w:vAlign w:val="bottom"/>
            <w:gridSpan w:val="26"/>
          </w:tcPr>
          <w:p>
            <w:pPr>
              <w:spacing w:after="0" w:line="18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Consent of Deloitte &amp; Touche LLP</w:t>
              </w:r>
            </w:hyperlink>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gridSpan w:val="3"/>
            <w:shd w:val="clear" w:color="auto" w:fill="CCEEFF"/>
          </w:tcPr>
          <w:p>
            <w:pPr>
              <w:spacing w:after="0"/>
              <w:rPr>
                <w:sz w:val="16"/>
                <w:szCs w:val="16"/>
                <w:color w:val="auto"/>
              </w:rPr>
            </w:pPr>
          </w:p>
        </w:tc>
        <w:tc>
          <w:tcPr>
            <w:tcW w:w="460" w:type="dxa"/>
            <w:vAlign w:val="bottom"/>
            <w:gridSpan w:val="2"/>
            <w:shd w:val="clear" w:color="auto" w:fill="CCEEFF"/>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8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w:t>
            </w:r>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gridSpan w:val="3"/>
          </w:tcPr>
          <w:p>
            <w:pPr>
              <w:spacing w:after="0"/>
              <w:rPr>
                <w:sz w:val="16"/>
                <w:szCs w:val="16"/>
                <w:color w:val="auto"/>
              </w:rPr>
            </w:pPr>
          </w:p>
        </w:tc>
        <w:tc>
          <w:tcPr>
            <w:tcW w:w="46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8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60" w:type="dxa"/>
            <w:vAlign w:val="bottom"/>
            <w:gridSpan w:val="7"/>
            <w:shd w:val="clear" w:color="auto" w:fill="CCEEFF"/>
          </w:tcPr>
          <w:p>
            <w:pPr>
              <w:jc w:val="center"/>
              <w:ind w:right="100"/>
              <w:spacing w:after="0" w:line="189"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32.</w:t>
              </w:r>
              <w:r>
                <w:rPr>
                  <w:rFonts w:ascii="Times New Roman" w:cs="Times New Roman" w:eastAsia="Times New Roman" w:hAnsi="Times New Roman"/>
                  <w:sz w:val="18"/>
                  <w:szCs w:val="18"/>
                  <w:u w:val="single" w:color="auto"/>
                  <w:color w:val="0000FF"/>
                  <w:w w:val="99"/>
                </w:rPr>
                <w:t>1**#</w:t>
              </w:r>
            </w:hyperlink>
          </w:p>
        </w:tc>
        <w:tc>
          <w:tcPr>
            <w:tcW w:w="968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Certification of Principal Executive Officer Pursuant to 18 U.S.C. Section 1350</w:t>
              </w:r>
            </w:hyperlink>
          </w:p>
        </w:tc>
        <w:tc>
          <w:tcPr>
            <w:tcW w:w="0" w:type="dxa"/>
            <w:vAlign w:val="bottom"/>
          </w:tcPr>
          <w:p>
            <w:pPr>
              <w:spacing w:after="0"/>
              <w:rPr>
                <w:sz w:val="1"/>
                <w:szCs w:val="1"/>
                <w:color w:val="auto"/>
              </w:rPr>
            </w:pP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8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60" w:type="dxa"/>
            <w:vAlign w:val="bottom"/>
            <w:gridSpan w:val="7"/>
          </w:tcPr>
          <w:p>
            <w:pPr>
              <w:jc w:val="center"/>
              <w:ind w:right="100"/>
              <w:spacing w:after="0" w:line="189"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32.</w:t>
              </w:r>
              <w:r>
                <w:rPr>
                  <w:rFonts w:ascii="Times New Roman" w:cs="Times New Roman" w:eastAsia="Times New Roman" w:hAnsi="Times New Roman"/>
                  <w:sz w:val="18"/>
                  <w:szCs w:val="18"/>
                  <w:u w:val="single" w:color="auto"/>
                  <w:color w:val="0000FF"/>
                  <w:w w:val="99"/>
                </w:rPr>
                <w:t>2**#</w:t>
              </w:r>
            </w:hyperlink>
          </w:p>
        </w:tc>
        <w:tc>
          <w:tcPr>
            <w:tcW w:w="9680" w:type="dxa"/>
            <w:vAlign w:val="bottom"/>
            <w:gridSpan w:val="26"/>
          </w:tcPr>
          <w:p>
            <w:pPr>
              <w:spacing w:after="0" w:line="18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Certification of Principal Financial Officer Pursuant to 18 U.S.C. Section 1350</w:t>
              </w:r>
            </w:hyperlink>
          </w:p>
        </w:tc>
        <w:tc>
          <w:tcPr>
            <w:tcW w:w="0" w:type="dxa"/>
            <w:vAlign w:val="bottom"/>
          </w:tcPr>
          <w:p>
            <w:pPr>
              <w:spacing w:after="0"/>
              <w:rPr>
                <w:sz w:val="1"/>
                <w:szCs w:val="1"/>
                <w:color w:val="auto"/>
              </w:rPr>
            </w:pPr>
          </w:p>
        </w:tc>
      </w:tr>
      <w:tr>
        <w:trPr>
          <w:trHeight w:val="21"/>
        </w:trPr>
        <w:tc>
          <w:tcPr>
            <w:tcW w:w="4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8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20" w:type="dxa"/>
            <w:vAlign w:val="bottom"/>
            <w:gridSpan w:val="6"/>
            <w:shd w:val="clear" w:color="auto" w:fill="CCEEFF"/>
          </w:tcPr>
          <w:p>
            <w:pPr>
              <w:jc w:val="center"/>
              <w:ind w:left="350"/>
              <w:spacing w:after="0" w:line="18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hyperlink>
          </w:p>
        </w:tc>
        <w:tc>
          <w:tcPr>
            <w:tcW w:w="540" w:type="dxa"/>
            <w:vAlign w:val="bottom"/>
            <w:shd w:val="clear" w:color="auto" w:fill="CCEEFF"/>
          </w:tcPr>
          <w:p>
            <w:pPr>
              <w:spacing w:after="0"/>
              <w:rPr>
                <w:sz w:val="16"/>
                <w:szCs w:val="16"/>
                <w:color w:val="auto"/>
              </w:rPr>
            </w:pPr>
          </w:p>
        </w:tc>
        <w:tc>
          <w:tcPr>
            <w:tcW w:w="9680" w:type="dxa"/>
            <w:vAlign w:val="bottom"/>
            <w:gridSpan w:val="26"/>
            <w:shd w:val="clear" w:color="auto" w:fill="CCEEFF"/>
          </w:tcPr>
          <w:p>
            <w:pPr>
              <w:spacing w:after="0" w:line="18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Clawback Policy</w:t>
              </w:r>
            </w:hyperlink>
          </w:p>
        </w:tc>
        <w:tc>
          <w:tcPr>
            <w:tcW w:w="0" w:type="dxa"/>
            <w:vAlign w:val="bottom"/>
          </w:tcPr>
          <w:p>
            <w:pPr>
              <w:spacing w:after="0"/>
              <w:rPr>
                <w:sz w:val="1"/>
                <w:szCs w:val="1"/>
                <w:color w:val="auto"/>
              </w:rPr>
            </w:pP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5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color w:val="auto"/>
              </w:rPr>
              <w:t>101.INS*</w:t>
            </w:r>
          </w:p>
        </w:tc>
        <w:tc>
          <w:tcPr>
            <w:tcW w:w="96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0" w:type="dxa"/>
            <w:vAlign w:val="bottom"/>
          </w:tcPr>
          <w:p>
            <w:pPr>
              <w:spacing w:after="0"/>
              <w:rPr>
                <w:sz w:val="1"/>
                <w:szCs w:val="1"/>
                <w:color w:val="auto"/>
              </w:rPr>
            </w:pPr>
          </w:p>
        </w:tc>
      </w:tr>
      <w:tr>
        <w:trPr>
          <w:trHeight w:val="230"/>
        </w:trPr>
        <w:tc>
          <w:tcPr>
            <w:tcW w:w="1560" w:type="dxa"/>
            <w:vAlign w:val="bottom"/>
            <w:gridSpan w:val="7"/>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101.SCH*</w:t>
            </w:r>
          </w:p>
        </w:tc>
        <w:tc>
          <w:tcPr>
            <w:tcW w:w="96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30"/>
        </w:trPr>
        <w:tc>
          <w:tcPr>
            <w:tcW w:w="15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101.CAL*</w:t>
            </w:r>
          </w:p>
        </w:tc>
        <w:tc>
          <w:tcPr>
            <w:tcW w:w="96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0" w:type="dxa"/>
            <w:vAlign w:val="bottom"/>
          </w:tcPr>
          <w:p>
            <w:pPr>
              <w:spacing w:after="0"/>
              <w:rPr>
                <w:sz w:val="1"/>
                <w:szCs w:val="1"/>
                <w:color w:val="auto"/>
              </w:rPr>
            </w:pPr>
          </w:p>
        </w:tc>
      </w:tr>
      <w:tr>
        <w:trPr>
          <w:trHeight w:val="229"/>
        </w:trPr>
        <w:tc>
          <w:tcPr>
            <w:tcW w:w="1560" w:type="dxa"/>
            <w:vAlign w:val="bottom"/>
            <w:gridSpan w:val="7"/>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101.LAB*</w:t>
            </w:r>
          </w:p>
        </w:tc>
        <w:tc>
          <w:tcPr>
            <w:tcW w:w="96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Labels</w:t>
            </w:r>
          </w:p>
        </w:tc>
        <w:tc>
          <w:tcPr>
            <w:tcW w:w="0" w:type="dxa"/>
            <w:vAlign w:val="bottom"/>
          </w:tcPr>
          <w:p>
            <w:pPr>
              <w:spacing w:after="0"/>
              <w:rPr>
                <w:sz w:val="1"/>
                <w:szCs w:val="1"/>
                <w:color w:val="auto"/>
              </w:rPr>
            </w:pPr>
          </w:p>
        </w:tc>
      </w:tr>
      <w:tr>
        <w:trPr>
          <w:trHeight w:val="230"/>
        </w:trPr>
        <w:tc>
          <w:tcPr>
            <w:tcW w:w="156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color w:val="auto"/>
              </w:rPr>
              <w:t>101.PRE*</w:t>
            </w:r>
          </w:p>
        </w:tc>
        <w:tc>
          <w:tcPr>
            <w:tcW w:w="968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0" w:type="dxa"/>
            <w:vAlign w:val="bottom"/>
          </w:tcPr>
          <w:p>
            <w:pPr>
              <w:spacing w:after="0"/>
              <w:rPr>
                <w:sz w:val="1"/>
                <w:szCs w:val="1"/>
                <w:color w:val="auto"/>
              </w:rPr>
            </w:pPr>
          </w:p>
        </w:tc>
      </w:tr>
      <w:tr>
        <w:trPr>
          <w:trHeight w:val="230"/>
        </w:trPr>
        <w:tc>
          <w:tcPr>
            <w:tcW w:w="920" w:type="dxa"/>
            <w:vAlign w:val="bottom"/>
            <w:gridSpan w:val="4"/>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8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18" w:lineRule="exact"/>
        <w:rPr>
          <w:sz w:val="20"/>
          <w:szCs w:val="20"/>
          <w:color w:val="auto"/>
        </w:rPr>
      </w:pPr>
    </w:p>
    <w:p>
      <w:pPr>
        <w:ind w:left="20" w:right="8340" w:firstLine="6"/>
        <w:spacing w:after="0" w:line="268"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in Original Filing. * Filed herewith</w:t>
      </w:r>
    </w:p>
    <w:p>
      <w:pPr>
        <w:spacing w:after="0" w:line="2" w:lineRule="exact"/>
        <w:rPr>
          <w:sz w:val="20"/>
          <w:szCs w:val="20"/>
          <w:color w:val="auto"/>
        </w:rPr>
      </w:pPr>
    </w:p>
    <w:p>
      <w:pPr>
        <w:jc w:val="both"/>
        <w:ind w:left="380" w:hanging="354"/>
        <w:spacing w:after="0" w:line="229"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 of Regulation S-K, this Exhibit is not deemed “filed” for purposes of Section 18 of the Exchange Act or otherwise subject to the liabilities of that section. Such certifications will not be deemed incorporated by reference into any filing under the Securities Act or the Exchange Act, except to the extent that the registrant specifically incorporates it by reference.</w:t>
      </w:r>
    </w:p>
    <w:p>
      <w:pPr>
        <w:spacing w:after="0" w:line="2" w:lineRule="exact"/>
        <w:rPr>
          <w:sz w:val="20"/>
          <w:szCs w:val="20"/>
          <w:color w:val="auto"/>
        </w:rPr>
      </w:pPr>
    </w:p>
    <w:p>
      <w:pPr>
        <w:ind w:left="380" w:hanging="354"/>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21"/>
          <w:szCs w:val="21"/>
          <w:b w:val="1"/>
          <w:bCs w:val="1"/>
          <w:color w:val="auto"/>
        </w:rPr>
        <w:t>FORM 10-K SUMMARY</w:t>
      </w: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as amended, the registrant has duly caused this Amendment No. 1 to its Annual Report on Form 10-K/A to be signed on its behalf by the undersigned, thereunto duly authorized, in Scottsdale, Arizona, on April 29, 2024.</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CALIBERCOS INC.</w:t>
      </w:r>
    </w:p>
    <w:p>
      <w:pPr>
        <w:spacing w:after="0" w:line="229" w:lineRule="exact"/>
        <w:rPr>
          <w:sz w:val="20"/>
          <w:szCs w:val="20"/>
          <w:color w:val="auto"/>
        </w:rPr>
      </w:pPr>
    </w:p>
    <w:tbl>
      <w:tblPr>
        <w:tblLayout w:type="fixed"/>
        <w:tblInd w:w="51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C. Loeffler, II</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 Loeffler, II</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C. Loeffler, II, certify that:</w:t>
      </w:r>
    </w:p>
    <w:p>
      <w:pPr>
        <w:spacing w:after="0" w:line="23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10-K/A of CaliberCos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820" w:val="left"/>
          <w:tab w:leader="none" w:pos="6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29,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John C. Loeffler,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34290</wp:posOffset>
            </wp:positionV>
            <wp:extent cx="25457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4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John C. Loeffler, II</w:t>
      </w:r>
    </w:p>
    <w:p>
      <w:pPr>
        <w:spacing w:after="0" w:line="2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3"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Jade Leung, certify that:</w:t>
      </w:r>
    </w:p>
    <w:p>
      <w:pPr>
        <w:spacing w:after="0" w:line="23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the Annual Report on Form 10-K/A of CaliberCos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50"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840" w:val="left"/>
          <w:tab w:leader="none" w:pos="68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29, 2024</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Jade Leung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34290</wp:posOffset>
            </wp:positionV>
            <wp:extent cx="26142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4">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4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Jade Leung</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lvl w:ilvl="1">
      <w:lvlJc w:val="left"/>
      <w:lvlText w:val="(%2)"/>
      <w:numFmt w:val="decimal"/>
      <w:start w:val="36"/>
    </w:lvl>
  </w:abstractNum>
  <w:abstractNum w:abstractNumId="5">
    <w:nsid w:val="DED7263"/>
    <w:multiLevelType w:val="hybridMultilevel"/>
    <w:lvl w:ilvl="0">
      <w:lvlJc w:val="left"/>
      <w:lvlText w:val="•"/>
      <w:numFmt w:val="bullet"/>
      <w:start w:val="1"/>
    </w:lvl>
    <w:lvl w:ilvl="1">
      <w:lvlJc w:val="left"/>
      <w:lvlText w:val="(%2)"/>
      <w:numFmt w:val="decimal"/>
      <w:start w:val="12"/>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3"/>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
      <w:numFmt w:val="bullet"/>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50" Type="http://schemas.openxmlformats.org/officeDocument/2006/relationships/image" Target="media/image31.png"/><Relationship Id="rId55" Type="http://schemas.openxmlformats.org/officeDocument/2006/relationships/image" Target="media/image32.png"/><Relationship Id="rId56" Type="http://schemas.openxmlformats.org/officeDocument/2006/relationships/image" Target="media/image33.png"/><Relationship Id="rId71" Type="http://schemas.openxmlformats.org/officeDocument/2006/relationships/image" Target="media/image34.png"/><Relationship Id="rId72" Type="http://schemas.openxmlformats.org/officeDocument/2006/relationships/image" Target="media/image35.png"/><Relationship Id="rId73" Type="http://schemas.openxmlformats.org/officeDocument/2006/relationships/image" Target="media/image36.png"/><Relationship Id="rId74" Type="http://schemas.openxmlformats.org/officeDocument/2006/relationships/image" Target="media/image37.png"/><Relationship Id="rId38" Type="http://schemas.openxmlformats.org/officeDocument/2006/relationships/hyperlink" Target="https://www.sec.gov/Archives/edgar/data/1627282/000110465923062737/tm2316200d1_ex3-1.htm" TargetMode="External"/><Relationship Id="rId39" Type="http://schemas.openxmlformats.org/officeDocument/2006/relationships/hyperlink" Target="https://www.sec.gov/Archives/edgar/data/1627282/000110465923062737/tm2316200d1_ex3-2.htm" TargetMode="External"/><Relationship Id="rId40" Type="http://schemas.openxmlformats.org/officeDocument/2006/relationships/hyperlink" Target="https://www.sec.gov/Archives/edgar/data/1627282/000162728224000039/exhibit41-descriptionofsec.htm" TargetMode="External"/><Relationship Id="rId41" Type="http://schemas.openxmlformats.org/officeDocument/2006/relationships/hyperlink" Target="https://www.sec.gov/Archives/edgar/data/1627282/000110465922112555/tm2228946d1_ex4-1.htm" TargetMode="External"/><Relationship Id="rId42" Type="http://schemas.openxmlformats.org/officeDocument/2006/relationships/hyperlink" Target="https://www.sec.gov/Archives/edgar/data/1627282/000110465923035668/tm2230806d13_ex4-2.htm" TargetMode="External"/><Relationship Id="rId43" Type="http://schemas.openxmlformats.org/officeDocument/2006/relationships/hyperlink" Target="https://www.sec.gov/Archives/edgar/data/1627282/000114420419030743/tv515450_ex3-2.htm" TargetMode="External"/><Relationship Id="rId44" Type="http://schemas.openxmlformats.org/officeDocument/2006/relationships/hyperlink" Target="https://www.sec.gov/Archives/edgar/data/1627282/000110465923062652/tm2232225d2_ex99-1.htm" TargetMode="External"/><Relationship Id="rId45" Type="http://schemas.openxmlformats.org/officeDocument/2006/relationships/hyperlink" Target="https://www.sec.gov/Archives/edgar/data/1627282/000162728223000012/ex102_loanagreementxairp.htm" TargetMode="External"/><Relationship Id="rId46" Type="http://schemas.openxmlformats.org/officeDocument/2006/relationships/hyperlink" Target="https://www.sec.gov/Archives/edgar/data/1627282/000162728223000012/ex-103guarantyofrecourse.htm" TargetMode="External"/><Relationship Id="rId47" Type="http://schemas.openxmlformats.org/officeDocument/2006/relationships/hyperlink" Target="https://www.sec.gov/Archives/edgar/data/1627282/000162728223000012/ex-104gatewayloan.htm" TargetMode="External"/><Relationship Id="rId48" Type="http://schemas.openxmlformats.org/officeDocument/2006/relationships/hyperlink" Target="https://www.sec.gov/Archives/edgar/data/1627282/000162728223000012/ex-105assumptionagreemen.htm" TargetMode="External"/><Relationship Id="rId49" Type="http://schemas.openxmlformats.org/officeDocument/2006/relationships/hyperlink" Target="https://www.sec.gov/Archives/edgar/data/1627282/000114420419040575/tv527915_ex6-5.htm" TargetMode="External"/><Relationship Id="rId51" Type="http://schemas.openxmlformats.org/officeDocument/2006/relationships/hyperlink" Target="https://www.sec.gov/Archives/edgar/data/1627282/000114420419040575/tv527915_ex6-6.htm" TargetMode="External"/><Relationship Id="rId52" Type="http://schemas.openxmlformats.org/officeDocument/2006/relationships/hyperlink" Target="https://www.sec.gov/Archives/edgar/data/1627282/000114420419040575/tv527915_ex6-7.htm" TargetMode="External"/><Relationship Id="rId53" Type="http://schemas.openxmlformats.org/officeDocument/2006/relationships/hyperlink" Target="https://www.sec.gov/Archives/edgar/data/1627282/000114420419040575/tv527915_ex6-8.htm" TargetMode="External"/><Relationship Id="rId54" Type="http://schemas.openxmlformats.org/officeDocument/2006/relationships/hyperlink" Target="https://www.sec.gov/ix?doc=/Archives/edgar/data/1627282/000162728224000029/cwd-20240401.htm" TargetMode="External"/><Relationship Id="rId57" Type="http://schemas.openxmlformats.org/officeDocument/2006/relationships/hyperlink" Target="https://www.sec.gov/Archives/edgar/data/1627282/000162728224000029/ex101martinezemploymenta.htm" TargetMode="External"/><Relationship Id="rId58" Type="http://schemas.openxmlformats.org/officeDocument/2006/relationships/hyperlink" Target="https://www.sec.gov/Archives/edgar/data/1627282/000110465922121830/tm2230806d1_ex10-11.htm" TargetMode="External"/><Relationship Id="rId59" Type="http://schemas.openxmlformats.org/officeDocument/2006/relationships/hyperlink" Target="https://www.sec.gov/Archives/edgar/data/1627282/000110465920000830/tv534320_ex8-1.htm" TargetMode="External"/><Relationship Id="rId60" Type="http://schemas.openxmlformats.org/officeDocument/2006/relationships/hyperlink" Target="https://www.sec.gov/Archives/edgar/data/1627282/000110465923044483/tm2230806d15_ex10-13.htm" TargetMode="External"/><Relationship Id="rId61" Type="http://schemas.openxmlformats.org/officeDocument/2006/relationships/hyperlink" Target="https://www.sec.gov/Archives/edgar/data/1627282/000110465923044483/tm2230806d15_ex10-14.htm" TargetMode="External"/><Relationship Id="rId62" Type="http://schemas.openxmlformats.org/officeDocument/2006/relationships/hyperlink" Target="https://www.sec.gov/Archives/edgar/data/1627282/000110465923044483/tm2230806d15_ex10-15.htm" TargetMode="External"/><Relationship Id="rId63" Type="http://schemas.openxmlformats.org/officeDocument/2006/relationships/hyperlink" Target="https://www.sec.gov/Archives/edgar/data/1627282/000162728223000018/caliber-reitltdxcontribu.htm" TargetMode="External"/><Relationship Id="rId64" Type="http://schemas.openxmlformats.org/officeDocument/2006/relationships/hyperlink" Target="https://www.sec.gov/Archives/edgar/data/1627282/000162728224000039/exhibit141-codeofethics.htm" TargetMode="External"/><Relationship Id="rId65" Type="http://schemas.openxmlformats.org/officeDocument/2006/relationships/hyperlink" Target="https://www.sec.gov/Archives/edgar/data/1627282/000162728224000039/exhibit191-insidertradingp.htm" TargetMode="External"/><Relationship Id="rId66" Type="http://schemas.openxmlformats.org/officeDocument/2006/relationships/hyperlink" Target="https://www.sec.gov/Archives/edgar/data/1627282/000162728224000039/exhibit211-listofsubsidiar.htm" TargetMode="External"/><Relationship Id="rId67" Type="http://schemas.openxmlformats.org/officeDocument/2006/relationships/hyperlink" Target="https://www.sec.gov/Archives/edgar/data/1627282/000162728224000039/exhibit231-auditorconsent.htm" TargetMode="External"/><Relationship Id="rId68" Type="http://schemas.openxmlformats.org/officeDocument/2006/relationships/hyperlink" Target="https://www.sec.gov/Archives/edgar/data/1627282/000162728224000039/cwd-ex321_q42023.htm" TargetMode="External"/><Relationship Id="rId69" Type="http://schemas.openxmlformats.org/officeDocument/2006/relationships/hyperlink" Target="https://www.sec.gov/Archives/edgar/data/1627282/000162728224000039/cwd-ex322_q42023.htm" TargetMode="External"/><Relationship Id="rId70" Type="http://schemas.openxmlformats.org/officeDocument/2006/relationships/hyperlink" Target="https://www.sec.gov/Archives/edgar/data/1627282/000162728224000039/exhibit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2024-04-29T13:07:00Z</dcterms:created>
  <dcterms:modified xsi:type="dcterms:W3CDTF">2024-04-29T13:07:00Z</dcterms:modified>
</cp:coreProperties>
</file>